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9E628">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w:hAnsi="Times New Roman" w:eastAsia="Times New Roman" w:cs="Times New Roman"/>
          <w:i w:val="0"/>
          <w:iCs w:val="0"/>
          <w:caps w:val="0"/>
          <w:color w:val="333333"/>
          <w:spacing w:val="0"/>
          <w:sz w:val="24"/>
          <w:szCs w:val="24"/>
          <w:u w:val="none"/>
        </w:rPr>
      </w:pPr>
      <w:r>
        <w:rPr>
          <w:rFonts w:hint="default" w:ascii="Times New Roman" w:hAnsi="Times New Roman" w:eastAsia="Times New Roman" w:cs="Times New Roman"/>
          <w:i w:val="0"/>
          <w:iCs w:val="0"/>
          <w:caps w:val="0"/>
          <w:color w:val="333333"/>
          <w:spacing w:val="0"/>
          <w:sz w:val="24"/>
          <w:szCs w:val="24"/>
          <w:u w:val="none"/>
          <w:shd w:val="clear" w:fill="FFFFFF"/>
        </w:rPr>
        <w:t>Dear Editor,</w:t>
      </w:r>
    </w:p>
    <w:p w14:paraId="6C6B531E">
      <w:pPr>
        <w:pStyle w:val="3"/>
        <w:keepNext w:val="0"/>
        <w:keepLines w:val="0"/>
        <w:widowControl/>
        <w:suppressLineNumbers w:val="0"/>
        <w:shd w:val="clear" w:fill="FFFFFF"/>
        <w:spacing w:before="210" w:beforeAutospacing="0" w:after="210" w:afterAutospacing="0"/>
        <w:ind w:left="0" w:right="0" w:firstLine="0"/>
        <w:jc w:val="both"/>
        <w:rPr>
          <w:rFonts w:hint="default" w:ascii="Times New Roman" w:hAnsi="Times New Roman" w:eastAsia="Times New Roman" w:cs="Times New Roman"/>
          <w:i w:val="0"/>
          <w:iCs w:val="0"/>
          <w:caps w:val="0"/>
          <w:color w:val="333333"/>
          <w:spacing w:val="0"/>
          <w:sz w:val="24"/>
          <w:szCs w:val="24"/>
          <w:u w:val="none"/>
        </w:rPr>
      </w:pPr>
      <w:r>
        <w:rPr>
          <w:rFonts w:hint="default" w:ascii="Times New Roman" w:hAnsi="Times New Roman" w:eastAsia="Times New Roman" w:cs="Times New Roman"/>
          <w:i w:val="0"/>
          <w:iCs w:val="0"/>
          <w:caps w:val="0"/>
          <w:color w:val="333333"/>
          <w:spacing w:val="0"/>
          <w:sz w:val="24"/>
          <w:szCs w:val="24"/>
          <w:u w:val="none"/>
          <w:shd w:val="clear" w:fill="FFFFFF"/>
        </w:rPr>
        <w:t>We are pleased to submit our manuscript, "Preoperative ACEI/ARB Discontinuation Versus Continuation in Cardiac Surgery Patients: A Causal Forest Analysis of Outcomes and Heterogeneous Treatment Effects," for consideration as an Original Research Article in eClinicalMedicine. This study addresses the common clinical dilemma of whether to co</w:t>
      </w:r>
      <w:bookmarkStart w:id="0" w:name="_GoBack"/>
      <w:bookmarkEnd w:id="0"/>
      <w:r>
        <w:rPr>
          <w:rFonts w:hint="default" w:ascii="Times New Roman" w:hAnsi="Times New Roman" w:eastAsia="Times New Roman" w:cs="Times New Roman"/>
          <w:i w:val="0"/>
          <w:iCs w:val="0"/>
          <w:caps w:val="0"/>
          <w:color w:val="333333"/>
          <w:spacing w:val="0"/>
          <w:sz w:val="24"/>
          <w:szCs w:val="24"/>
          <w:u w:val="none"/>
          <w:shd w:val="clear" w:fill="FFFFFF"/>
        </w:rPr>
        <w:t>ntinue or hold angiotensin-converting enzyme inhibitors (ACEIs) and angiotensin II receptor blockers (ARBs) before cardiac surgery. We analyzed a retrospective cohort of 9,430 cardiac surgery patients using propensity score matching and causal forest modeling to compare postoperative outcomes between those who discontinued ACEI/ARB therapy preoperatively and those who continued these medications.</w:t>
      </w:r>
    </w:p>
    <w:p w14:paraId="2EBFC2DD">
      <w:pPr>
        <w:pStyle w:val="3"/>
        <w:keepNext w:val="0"/>
        <w:keepLines w:val="0"/>
        <w:widowControl/>
        <w:suppressLineNumbers w:val="0"/>
        <w:shd w:val="clear" w:fill="FFFFFF"/>
        <w:spacing w:before="210" w:beforeAutospacing="0" w:after="210" w:afterAutospacing="0"/>
        <w:ind w:left="0" w:right="0" w:firstLine="0"/>
        <w:jc w:val="both"/>
        <w:rPr>
          <w:rFonts w:hint="default" w:ascii="Times New Roman" w:hAnsi="Times New Roman" w:eastAsia="Times New Roman" w:cs="Times New Roman"/>
          <w:i w:val="0"/>
          <w:iCs w:val="0"/>
          <w:caps w:val="0"/>
          <w:color w:val="333333"/>
          <w:spacing w:val="0"/>
          <w:sz w:val="24"/>
          <w:szCs w:val="24"/>
          <w:u w:val="none"/>
        </w:rPr>
      </w:pPr>
      <w:r>
        <w:rPr>
          <w:rFonts w:hint="default" w:ascii="Times New Roman" w:hAnsi="Times New Roman" w:eastAsia="Times New Roman" w:cs="Times New Roman"/>
          <w:i w:val="0"/>
          <w:iCs w:val="0"/>
          <w:caps w:val="0"/>
          <w:color w:val="333333"/>
          <w:spacing w:val="0"/>
          <w:sz w:val="24"/>
          <w:szCs w:val="24"/>
          <w:u w:val="none"/>
          <w:shd w:val="clear" w:fill="FFFFFF"/>
        </w:rPr>
        <w:t>Preoperative discontinuation of ACEI/ARB was associated with a modest reduction in the risk of major postoperative complications—particularly a lower incidence of mild acute kidney injury—compared to continuation. However, we also observed a slight increase in all-cause mortality with preoperative discontinuation. Notably, our causal forest analysis identified key patient subgroups (such as very elderly patients and those with chronic kidney disease) who appear to derive the greatest benefit from holding ACEI/ARBs before surgery. To our knowledge, this is the first study to apply a causal forest model to quantify heterogeneous treatment effects in this context, providing a novel perspective on personalized perioperative medication management.</w:t>
      </w:r>
    </w:p>
    <w:p w14:paraId="5A02E263">
      <w:pPr>
        <w:pStyle w:val="3"/>
        <w:keepNext w:val="0"/>
        <w:keepLines w:val="0"/>
        <w:widowControl/>
        <w:suppressLineNumbers w:val="0"/>
        <w:shd w:val="clear" w:fill="FFFFFF"/>
        <w:spacing w:before="210" w:beforeAutospacing="0" w:after="210" w:afterAutospacing="0"/>
        <w:ind w:left="0" w:right="0" w:firstLine="0"/>
        <w:jc w:val="both"/>
        <w:rPr>
          <w:rFonts w:hint="default" w:ascii="Times New Roman" w:hAnsi="Times New Roman" w:eastAsia="Times New Roman" w:cs="Times New Roman"/>
          <w:i w:val="0"/>
          <w:iCs w:val="0"/>
          <w:caps w:val="0"/>
          <w:color w:val="333333"/>
          <w:spacing w:val="0"/>
          <w:sz w:val="24"/>
          <w:szCs w:val="24"/>
          <w:u w:val="none"/>
        </w:rPr>
      </w:pPr>
      <w:r>
        <w:rPr>
          <w:rFonts w:hint="default" w:ascii="Times New Roman" w:hAnsi="Times New Roman" w:eastAsia="Times New Roman" w:cs="Times New Roman"/>
          <w:i w:val="0"/>
          <w:iCs w:val="0"/>
          <w:caps w:val="0"/>
          <w:color w:val="333333"/>
          <w:spacing w:val="0"/>
          <w:sz w:val="24"/>
          <w:szCs w:val="24"/>
          <w:u w:val="none"/>
          <w:shd w:val="clear" w:fill="FFFFFF"/>
        </w:rPr>
        <w:t>These findings have significant clinical implications, providing much-needed evidence to inform perioperative ACEI/ARB management where current guidelines lack consensus. By highlighting overall and patient-specific effects, our study can help clinicians tailor preoperative ACEI/ARB decisions to maximize benefit while minimizing risk. We believe this work aligns well with eClinicalMedicine’s focus on practice-changing research and will be of broad interest to its readership of frontline clinical practitioners.</w:t>
      </w:r>
    </w:p>
    <w:p w14:paraId="41CFBADE">
      <w:pPr>
        <w:pStyle w:val="3"/>
        <w:keepNext w:val="0"/>
        <w:keepLines w:val="0"/>
        <w:widowControl/>
        <w:suppressLineNumbers w:val="0"/>
        <w:shd w:val="clear" w:fill="FFFFFF"/>
        <w:spacing w:before="210" w:beforeAutospacing="0" w:after="210" w:afterAutospacing="0"/>
        <w:ind w:left="0" w:right="0" w:firstLine="0"/>
        <w:jc w:val="both"/>
        <w:rPr>
          <w:rFonts w:hint="default" w:ascii="Times New Roman" w:hAnsi="Times New Roman" w:eastAsia="Times New Roman" w:cs="Times New Roman"/>
          <w:i w:val="0"/>
          <w:iCs w:val="0"/>
          <w:caps w:val="0"/>
          <w:color w:val="333333"/>
          <w:spacing w:val="0"/>
          <w:sz w:val="24"/>
          <w:szCs w:val="24"/>
          <w:u w:val="none"/>
        </w:rPr>
      </w:pPr>
      <w:r>
        <w:rPr>
          <w:rFonts w:hint="default" w:ascii="Times New Roman" w:hAnsi="Times New Roman" w:eastAsia="Times New Roman" w:cs="Times New Roman"/>
          <w:i w:val="0"/>
          <w:iCs w:val="0"/>
          <w:caps w:val="0"/>
          <w:color w:val="333333"/>
          <w:spacing w:val="0"/>
          <w:sz w:val="24"/>
          <w:szCs w:val="24"/>
          <w:u w:val="none"/>
          <w:shd w:val="clear" w:fill="FFFFFF"/>
        </w:rPr>
        <w:t>We affirm that this manuscript is original, not under consideration elsewhere, and approved by all authors. We have no conflicts of interest to declare. Thank you for your consideration.</w:t>
      </w:r>
    </w:p>
    <w:p w14:paraId="34D17D2C">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w:hAnsi="Times New Roman" w:eastAsia="Times New Roman" w:cs="Times New Roman"/>
          <w:i w:val="0"/>
          <w:iCs w:val="0"/>
          <w:caps w:val="0"/>
          <w:color w:val="333333"/>
          <w:spacing w:val="0"/>
          <w:sz w:val="24"/>
          <w:szCs w:val="24"/>
          <w:u w:val="none"/>
          <w:shd w:val="clear" w:fill="FFFFFF"/>
        </w:rPr>
      </w:pPr>
    </w:p>
    <w:p w14:paraId="155B0687">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w:hAnsi="Times New Roman" w:eastAsia="Times New Roman" w:cs="Times New Roman"/>
          <w:i w:val="0"/>
          <w:iCs w:val="0"/>
          <w:caps w:val="0"/>
          <w:color w:val="333333"/>
          <w:spacing w:val="0"/>
          <w:sz w:val="24"/>
          <w:szCs w:val="24"/>
          <w:u w:val="none"/>
          <w:shd w:val="clear" w:fill="FFFFFF"/>
        </w:rPr>
      </w:pPr>
      <w:r>
        <w:rPr>
          <w:rFonts w:hint="default" w:ascii="Times New Roman" w:hAnsi="Times New Roman" w:eastAsia="Times New Roman" w:cs="Times New Roman"/>
          <w:i w:val="0"/>
          <w:iCs w:val="0"/>
          <w:caps w:val="0"/>
          <w:color w:val="333333"/>
          <w:spacing w:val="0"/>
          <w:sz w:val="24"/>
          <w:szCs w:val="24"/>
          <w:u w:val="none"/>
          <w:shd w:val="clear" w:fill="FFFFFF"/>
        </w:rPr>
        <w:t>Sincerely,</w:t>
      </w:r>
    </w:p>
    <w:p w14:paraId="139B4499">
      <w:pPr>
        <w:pStyle w:val="3"/>
        <w:keepNext w:val="0"/>
        <w:keepLines w:val="0"/>
        <w:widowControl/>
        <w:suppressLineNumbers w:val="0"/>
        <w:shd w:val="clear" w:fill="FFFFFF"/>
        <w:spacing w:before="210" w:beforeAutospacing="0" w:after="210" w:afterAutospacing="0"/>
        <w:ind w:left="0" w:right="0" w:firstLine="0"/>
        <w:jc w:val="both"/>
        <w:rPr>
          <w:rFonts w:hint="default" w:ascii="Times New Roman" w:hAnsi="Times New Roman" w:eastAsia="Times New Roman" w:cs="Times New Roman"/>
          <w:i w:val="0"/>
          <w:iCs w:val="0"/>
          <w:caps w:val="0"/>
          <w:color w:val="333333"/>
          <w:spacing w:val="0"/>
          <w:sz w:val="24"/>
          <w:szCs w:val="24"/>
          <w:u w:val="none"/>
          <w:shd w:val="clear" w:fill="FFFFFF"/>
        </w:rPr>
      </w:pPr>
    </w:p>
    <w:p w14:paraId="5312598E">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w:hAnsi="Times New Roman" w:eastAsia="Times New Roman" w:cs="Times New Roman"/>
          <w:i w:val="0"/>
          <w:iCs w:val="0"/>
          <w:caps w:val="0"/>
          <w:color w:val="333333"/>
          <w:spacing w:val="0"/>
          <w:sz w:val="24"/>
          <w:szCs w:val="24"/>
          <w:u w:val="none"/>
          <w:shd w:val="clear" w:fill="FFFFFF"/>
        </w:rPr>
      </w:pPr>
      <w:r>
        <w:rPr>
          <w:rFonts w:hint="default" w:ascii="Times New Roman" w:hAnsi="Times New Roman" w:eastAsia="Times New Roman" w:cs="Times New Roman"/>
          <w:i w:val="0"/>
          <w:iCs w:val="0"/>
          <w:caps w:val="0"/>
          <w:color w:val="333333"/>
          <w:spacing w:val="0"/>
          <w:sz w:val="24"/>
          <w:szCs w:val="24"/>
          <w:u w:val="none"/>
          <w:shd w:val="clear" w:fill="FFFFFF"/>
        </w:rPr>
        <w:t xml:space="preserve">Kunlun He </w:t>
      </w:r>
    </w:p>
    <w:p w14:paraId="62E2B71F">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w:hAnsi="Times New Roman" w:eastAsia="Times New Roman" w:cs="Times New Roman"/>
          <w:i w:val="0"/>
          <w:iCs w:val="0"/>
          <w:caps w:val="0"/>
          <w:color w:val="333333"/>
          <w:spacing w:val="0"/>
          <w:sz w:val="24"/>
          <w:szCs w:val="24"/>
          <w:u w:val="none"/>
          <w:shd w:val="clear" w:fill="FFFFFF"/>
        </w:rPr>
      </w:pPr>
      <w:r>
        <w:rPr>
          <w:rFonts w:hint="default" w:ascii="Times New Roman" w:hAnsi="Times New Roman" w:eastAsia="Times New Roman" w:cs="Times New Roman"/>
          <w:i w:val="0"/>
          <w:iCs w:val="0"/>
          <w:caps w:val="0"/>
          <w:color w:val="333333"/>
          <w:spacing w:val="0"/>
          <w:sz w:val="24"/>
          <w:szCs w:val="24"/>
          <w:u w:val="none"/>
          <w:shd w:val="clear" w:fill="FFFFFF"/>
        </w:rPr>
        <w:t xml:space="preserve">M.D, Ph. D. Professor </w:t>
      </w:r>
    </w:p>
    <w:p w14:paraId="1D6696E4">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Italic" w:hAnsi="Times New Roman Italic" w:eastAsia="Times New Roman" w:cs="Times New Roman Italic"/>
          <w:i/>
          <w:iCs/>
          <w:caps w:val="0"/>
          <w:color w:val="333333"/>
          <w:spacing w:val="0"/>
          <w:sz w:val="24"/>
          <w:szCs w:val="24"/>
          <w:u w:val="none"/>
          <w:shd w:val="clear" w:fill="FFFFFF"/>
        </w:rPr>
      </w:pPr>
      <w:r>
        <w:rPr>
          <w:rFonts w:hint="default" w:ascii="Times New Roman Italic" w:hAnsi="Times New Roman Italic" w:eastAsia="Times New Roman" w:cs="Times New Roman Italic"/>
          <w:i/>
          <w:iCs/>
          <w:caps w:val="0"/>
          <w:color w:val="333333"/>
          <w:spacing w:val="0"/>
          <w:sz w:val="24"/>
          <w:szCs w:val="24"/>
          <w:u w:val="none"/>
          <w:shd w:val="clear" w:fill="FFFFFF"/>
        </w:rPr>
        <w:t xml:space="preserve">Director of National Engineering Research Center of Medical Big Data Application Technology, </w:t>
      </w:r>
    </w:p>
    <w:p w14:paraId="6385C67F">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Italic" w:hAnsi="Times New Roman Italic" w:eastAsia="Times New Roman" w:cs="Times New Roman Italic"/>
          <w:i/>
          <w:iCs/>
          <w:caps w:val="0"/>
          <w:color w:val="333333"/>
          <w:spacing w:val="0"/>
          <w:sz w:val="24"/>
          <w:szCs w:val="24"/>
          <w:u w:val="none"/>
          <w:shd w:val="clear" w:fill="FFFFFF"/>
        </w:rPr>
      </w:pPr>
      <w:r>
        <w:rPr>
          <w:rFonts w:hint="default" w:ascii="Times New Roman Italic" w:hAnsi="Times New Roman Italic" w:eastAsia="Times New Roman" w:cs="Times New Roman Italic"/>
          <w:i/>
          <w:iCs/>
          <w:caps w:val="0"/>
          <w:color w:val="333333"/>
          <w:spacing w:val="0"/>
          <w:sz w:val="24"/>
          <w:szCs w:val="24"/>
          <w:u w:val="none"/>
          <w:shd w:val="clear" w:fill="FFFFFF"/>
        </w:rPr>
        <w:t xml:space="preserve">Chinese PLA General Hospital Director of Medical Big Data Research Center Medical Innovation Research Division of Chinese PLA General Hospital Beijing 100853, China </w:t>
      </w:r>
    </w:p>
    <w:p w14:paraId="55602DD5">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Italic" w:hAnsi="Times New Roman Italic" w:eastAsia="Times New Roman" w:cs="Times New Roman Italic"/>
          <w:i/>
          <w:iCs/>
          <w:caps w:val="0"/>
          <w:color w:val="333333"/>
          <w:spacing w:val="0"/>
          <w:sz w:val="24"/>
          <w:szCs w:val="24"/>
          <w:u w:val="none"/>
          <w:shd w:val="clear" w:fill="FFFFFF"/>
        </w:rPr>
      </w:pPr>
      <w:r>
        <w:rPr>
          <w:rFonts w:hint="default" w:ascii="Times New Roman Italic" w:hAnsi="Times New Roman Italic" w:eastAsia="Times New Roman" w:cs="Times New Roman Italic"/>
          <w:i/>
          <w:iCs/>
          <w:caps w:val="0"/>
          <w:color w:val="333333"/>
          <w:spacing w:val="0"/>
          <w:sz w:val="24"/>
          <w:szCs w:val="24"/>
          <w:u w:val="none"/>
          <w:shd w:val="clear" w:fill="FFFFFF"/>
        </w:rPr>
        <w:t xml:space="preserve">Tel: +86 139 1123 2619 </w:t>
      </w:r>
    </w:p>
    <w:p w14:paraId="6C42961D">
      <w:pPr>
        <w:pStyle w:val="3"/>
        <w:keepNext w:val="0"/>
        <w:keepLines w:val="0"/>
        <w:widowControl/>
        <w:suppressLineNumbers w:val="0"/>
        <w:shd w:val="clear" w:fill="FFFFFF"/>
        <w:spacing w:before="210" w:beforeAutospacing="0" w:after="210" w:afterAutospacing="0"/>
        <w:ind w:left="0" w:leftChars="0" w:right="0" w:firstLine="0" w:firstLineChars="0"/>
        <w:jc w:val="both"/>
        <w:rPr>
          <w:rFonts w:hint="default" w:ascii="Times New Roman Italic" w:hAnsi="Times New Roman Italic" w:eastAsia="Times New Roman" w:cs="Times New Roman Italic"/>
          <w:i/>
          <w:iCs/>
          <w:caps w:val="0"/>
          <w:color w:val="333333"/>
          <w:spacing w:val="0"/>
          <w:sz w:val="24"/>
          <w:szCs w:val="24"/>
          <w:u w:val="none"/>
          <w:shd w:val="clear" w:fill="FFFFFF"/>
        </w:rPr>
      </w:pPr>
      <w:r>
        <w:rPr>
          <w:rFonts w:hint="default" w:ascii="Times New Roman Italic" w:hAnsi="Times New Roman Italic" w:eastAsia="Times New Roman" w:cs="Times New Roman Italic"/>
          <w:i/>
          <w:iCs/>
          <w:caps w:val="0"/>
          <w:color w:val="333333"/>
          <w:spacing w:val="0"/>
          <w:sz w:val="24"/>
          <w:szCs w:val="24"/>
          <w:u w:val="none"/>
          <w:shd w:val="clear" w:fill="FFFFFF"/>
        </w:rPr>
        <w:t>Email: kunlunhe@plagh.org</w:t>
      </w:r>
    </w:p>
    <w:p w14:paraId="42CE7F5A">
      <w:pPr>
        <w:rPr>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FF60A3"/>
    <w:rsid w:val="797FCE97"/>
    <w:rsid w:val="CFFFA852"/>
    <w:rsid w:val="DBFF6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1" w:firstLineChars="200"/>
      <w:jc w:val="both"/>
    </w:pPr>
    <w:rPr>
      <w:rFonts w:asciiTheme="minorAscii" w:hAnsiTheme="minorAscii" w:eastAsiaTheme="minorEastAsia" w:cstheme="minorBidi"/>
      <w:kern w:val="2"/>
      <w:sz w:val="24"/>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uiPriority w:val="0"/>
    <w:pPr>
      <w:spacing w:after="200"/>
    </w:pPr>
    <w:rPr>
      <w:color w:val="404040" w:themeColor="text1" w:themeTint="BF"/>
      <w:szCs w:val="20"/>
      <w14:textFill>
        <w14:solidFill>
          <w14:schemeClr w14:val="tx1">
            <w14:lumMod w14:val="75000"/>
            <w14:lumOff w14:val="25000"/>
          </w14:schemeClr>
        </w14:solidFill>
      </w14:textFill>
    </w:r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2025-05-06T20:34:00Z</dcterms:created>
  <dc:creator>李宗任</dc:creator>
  <cp:lastModifiedBy>李宗任</cp:lastModifiedBy>
  <dcterms:modified xsi:type="dcterms:W3CDTF">2025-05-06T20:36:51Z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7DB77A0797A5AA37F3011A68E8C6B273_41</vt:lpwstr>
  </property>
</Properties>
</file>