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52" w:lineRule="auto"/>
        <w:jc w:val="left"/>
      </w:pPr>
      <w:r>
        <w:rPr>
          <w:rFonts w:ascii="Arial" w:cs="Arial" w:eastAsia="Arial" w:hAnsi="Arial"/>
          <w:b w:val="false"/>
          <w:bCs w:val="false"/>
          <w:color w:val="0F172A"/>
          <w:sz w:val="17"/>
          <w:szCs w:val="17"/>
        </w:rPr>
        <w:t xml:space="preserve">Date: 10/08/2026</w:t>
      </w:r>
    </w:p>
    <w:p>
      <w:pPr>
        <w:spacing w:after="40" w:before="0" w:line="252" w:lineRule="auto"/>
        <w:jc w:val="left"/>
      </w:pPr>
      <w:r>
        <w:rPr>
          <w:rFonts w:ascii="Arial" w:cs="Arial" w:eastAsia="Arial" w:hAnsi="Arial"/>
          <w:b w:val="false"/>
          <w:bCs w:val="false"/>
          <w:color w:val="0F172A"/>
          <w:sz w:val="17"/>
          <w:szCs w:val="17"/>
        </w:rPr>
        <w:t xml:space="preserve">Reference: KYC-2026-0042</w:t>
      </w:r>
    </w:p>
    <w:p>
      <w:pPr>
        <w:spacing w:after="60" w:before="120"/>
        <w:jc w:val="center"/>
      </w:pPr>
      <w:r>
        <w:rPr>
          <w:rFonts w:ascii="Arial" w:cs="Arial" w:eastAsia="Arial" w:hAnsi="Arial"/>
          <w:b/>
          <w:bCs/>
          <w:color w:val="020617"/>
          <w:sz w:val="24"/>
          <w:szCs w:val="24"/>
        </w:rPr>
        <w:t xml:space="preserve">Know Your Client (KYC)</w:t>
      </w:r>
    </w:p>
    <w:p>
      <w:pPr>
        <w:spacing w:after="40" w:before="0" w:line="252" w:lineRule="auto"/>
        <w:jc w:val="both"/>
      </w:pPr>
      <w:r>
        <w:rPr>
          <w:rFonts w:ascii="Arial" w:cs="Arial" w:eastAsia="Arial" w:hAnsi="Arial"/>
          <w:b w:val="false"/>
          <w:bCs w:val="false"/>
          <w:color w:val="0F172A"/>
          <w:sz w:val="17"/>
          <w:szCs w:val="17"/>
        </w:rPr>
        <w:t xml:space="preserve">Newoon LLC, as a registered business support services provider in the Qatar Financial Centre (“QFC”), is required to obtain, maintain, and keep up to date “Know Your Client” (“KYC”) information for all clients in line with applicable regulatory and compliance requirements. Accordingly, we would be grateful if you could provide the information and supporting documentation requested below, to enable us to complete and/or update our records.</w:t>
      </w:r>
    </w:p>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A. GENERAL COMPANY INFORMATION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KYC Number: </w:t>
                  </w:r>
                  <w:r>
                    <w:rPr>
                      <w:rFonts w:ascii="Arial" w:cs="Arial" w:eastAsia="Arial" w:hAnsi="Arial"/>
                      <w:b w:val="false"/>
                      <w:bCs w:val="false"/>
                      <w:color w:val="0F172A"/>
                      <w:sz w:val="17"/>
                      <w:szCs w:val="17"/>
                    </w:rPr>
                    <w:t xml:space="preserve">KYC-2026-0042</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Legal Name of Company: </w:t>
                  </w:r>
                  <w:r>
                    <w:rPr>
                      <w:rFonts w:ascii="Arial" w:cs="Arial" w:eastAsia="Arial" w:hAnsi="Arial"/>
                      <w:b w:val="false"/>
                      <w:bCs w:val="false"/>
                      <w:color w:val="0F172A"/>
                      <w:sz w:val="17"/>
                      <w:szCs w:val="17"/>
                    </w:rPr>
                    <w:t xml:space="preserve">Gulf Horizon Strategic Holdings and Investments W.L.L. (Qatar Financial Centre Branch)</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Commercial Registration No.: </w:t>
                  </w:r>
                  <w:r>
                    <w:rPr>
                      <w:rFonts w:ascii="Arial" w:cs="Arial" w:eastAsia="Arial" w:hAnsi="Arial"/>
                      <w:b w:val="false"/>
                      <w:bCs w:val="false"/>
                      <w:color w:val="0F172A"/>
                      <w:sz w:val="17"/>
                      <w:szCs w:val="17"/>
                    </w:rPr>
                    <w:t xml:space="preserve">00000(QFC)</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Tax Identification No.: </w:t>
                  </w:r>
                  <w:r>
                    <w:rPr>
                      <w:rFonts w:ascii="Arial" w:cs="Arial" w:eastAsia="Arial" w:hAnsi="Arial"/>
                      <w:b w:val="false"/>
                      <w:bCs w:val="false"/>
                      <w:color w:val="0F172A"/>
                      <w:sz w:val="17"/>
                      <w:szCs w:val="17"/>
                    </w:rPr>
                    <w:t xml:space="preserv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of Incorporation: </w:t>
                  </w:r>
                  <w:r>
                    <w:rPr>
                      <w:rFonts w:ascii="Arial" w:cs="Arial" w:eastAsia="Arial" w:hAnsi="Arial"/>
                      <w:b w:val="false"/>
                      <w:bCs w:val="false"/>
                      <w:color w:val="0F172A"/>
                      <w:sz w:val="17"/>
                      <w:szCs w:val="17"/>
                    </w:rPr>
                    <w:t xml:space="preserve">2026-04-09</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Country of Incorporation: </w:t>
                  </w:r>
                  <w:r>
                    <w:rPr>
                      <w:rFonts w:ascii="Arial" w:cs="Arial" w:eastAsia="Arial" w:hAnsi="Arial"/>
                      <w:b w:val="false"/>
                      <w:bCs w:val="false"/>
                      <w:color w:val="0F172A"/>
                      <w:sz w:val="17"/>
                      <w:szCs w:val="17"/>
                    </w:rPr>
                    <w:t xml:space="preserve">Qatar</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Legal Form: </w:t>
                  </w:r>
                  <w:r>
                    <w:rPr>
                      <w:rFonts w:ascii="Arial" w:cs="Arial" w:eastAsia="Arial" w:hAnsi="Arial"/>
                      <w:b w:val="false"/>
                      <w:bCs w:val="false"/>
                      <w:color w:val="0F172A"/>
                      <w:sz w:val="17"/>
                      <w:szCs w:val="17"/>
                    </w:rPr>
                    <w:t xml:space="preserve">LLC</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Registered Office Address: </w:t>
                  </w:r>
                  <w:r>
                    <w:rPr>
                      <w:rFonts w:ascii="Arial" w:cs="Arial" w:eastAsia="Arial" w:hAnsi="Arial"/>
                      <w:b w:val="false"/>
                      <w:bCs w:val="false"/>
                      <w:color w:val="0F172A"/>
                      <w:sz w:val="17"/>
                      <w:szCs w:val="17"/>
                    </w:rPr>
                    <w:t xml:space="preserve">QFC Tower 1, Office No. 4, Floor 9, Doha, Qatar</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Telephone: </w:t>
                  </w:r>
                  <w:r>
                    <w:rPr>
                      <w:rFonts w:ascii="Arial" w:cs="Arial" w:eastAsia="Arial" w:hAnsi="Arial"/>
                      <w:b w:val="false"/>
                      <w:bCs w:val="false"/>
                      <w:color w:val="0F172A"/>
                      <w:sz w:val="17"/>
                      <w:szCs w:val="17"/>
                    </w:rPr>
                    <w:t xml:space="preserve">+974 0000 0000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Email: </w:t>
                  </w:r>
                  <w:r>
                    <w:rPr>
                      <w:rFonts w:ascii="Arial" w:cs="Arial" w:eastAsia="Arial" w:hAnsi="Arial"/>
                      <w:b w:val="false"/>
                      <w:bCs w:val="false"/>
                      <w:color w:val="0F172A"/>
                      <w:sz w:val="17"/>
                      <w:szCs w:val="17"/>
                    </w:rPr>
                    <w:t xml:space="preserve">contact@example.test</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Website: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Main purpose / nature of business: </w:t>
                  </w:r>
                  <w:r>
                    <w:rPr>
                      <w:rFonts w:ascii="Arial" w:cs="Arial" w:eastAsia="Arial" w:hAnsi="Arial"/>
                      <w:b w:val="false"/>
                      <w:bCs w:val="false"/>
                      <w:color w:val="0F172A"/>
                      <w:sz w:val="17"/>
                      <w:szCs w:val="17"/>
                    </w:rPr>
                    <w:t xml:space="preserve">Holding company</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License activities: </w:t>
                  </w:r>
                  <w:r>
                    <w:rPr>
                      <w:rFonts w:ascii="Arial" w:cs="Arial" w:eastAsia="Arial" w:hAnsi="Arial"/>
                      <w:b w:val="false"/>
                      <w:bCs w:val="false"/>
                      <w:color w:val="0F172A"/>
                      <w:sz w:val="17"/>
                      <w:szCs w:val="17"/>
                    </w:rPr>
                    <w:t xml:space="preserve">Holding company activities; management consultancy; investment advisory to affiliated entities; real estate holding; procurement and logistics coordination for group companies across the GCC and Europe.</w:t>
                  </w:r>
                </w:p>
                <w:p>
                  <w:pPr>
                    <w:spacing w:after="0" w:before="0" w:line="252" w:lineRule="auto"/>
                    <w:jc w:val="left"/>
                  </w:pPr>
                  <w:r>
                    <w:rPr>
                      <w:rFonts w:ascii="Arial" w:cs="Arial" w:eastAsia="Arial" w:hAnsi="Arial"/>
                      <w:b w:val="false"/>
                      <w:bCs w:val="false"/>
                      <w:color w:val="0F172A"/>
                      <w:sz w:val="17"/>
                      <w:szCs w:val="17"/>
                    </w:rPr>
                    <w:t xml:space="preserve">Second line entered by the user.</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Related Industry: </w:t>
                  </w:r>
                  <w:r>
                    <w:rPr>
                      <w:rFonts w:ascii="Arial" w:cs="Arial" w:eastAsia="Arial" w:hAnsi="Arial"/>
                      <w:b w:val="false"/>
                      <w:bCs w:val="false"/>
                      <w:color w:val="0F172A"/>
                      <w:sz w:val="17"/>
                      <w:szCs w:val="17"/>
                    </w:rPr>
                    <w:t xml:space="preserve">Finance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Nature of prospective service from Newoon: </w:t>
                  </w:r>
                  <w:r>
                    <w:rPr>
                      <w:rFonts w:ascii="Arial" w:cs="Arial" w:eastAsia="Arial" w:hAnsi="Arial"/>
                      <w:b w:val="false"/>
                      <w:bCs w:val="false"/>
                      <w:color w:val="0F172A"/>
                      <w:sz w:val="17"/>
                      <w:szCs w:val="17"/>
                    </w:rPr>
                    <w:t xml:space="preserve">N022 - Temporary Secretary and QFC Compliance Service, N025 - Assistant with Company Initial Setup Tasks</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B. CONTROL / INTEREST DETAILS</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97"/>
              <w:gridCol w:w="1296"/>
              <w:gridCol w:w="1097"/>
              <w:gridCol w:w="1197"/>
              <w:gridCol w:w="1197"/>
              <w:gridCol w:w="1097"/>
              <w:gridCol w:w="1296"/>
              <w:gridCol w:w="897"/>
              <w:gridCol w:w="1002"/>
            </w:tblGrid>
            <w:tr>
              <w:trPr>
                <w:cantSplit/>
                <w:tblHeader/>
              </w:trPr>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Type</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Full name</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 / country</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 / Incorporation</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QID / Passport / CR</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Shareholder %</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Linked client</w:t>
                  </w:r>
                </w:p>
              </w:tc>
              <w:tc>
                <w:tcPr>
                  <w:tcW w:type="dxa" w:w="1002"/>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Beneficial person</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Corporate</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Qatar</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2010-01-15</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ID-H1-2026-0002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60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Corporate</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Société Générale de Participations Européennes S.à r.l.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Luxembourg</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2010-01-15</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ID-H2-2026-0002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25</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محمد بن عبدالله آل ثاني</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Qatar</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ID-I1-2026-0002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15</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Johnathan Alexander Montgomery-Fitzgerald III</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United Kingdom</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ID-I2-2026-0002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40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Priya Raghunathan Venkataraman</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India</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ID-I3-2026-0002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35</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Corporate</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Desert Pearl Family Trust Company Limited</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Cayman Islands</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2010-01-15</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ID-C3-2026-0002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25</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Élodie Marchand-Dubois</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ID-I4-2026-0002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50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Kenji Watanabe</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Japan</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ID-I5-2026-0002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50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Lukas Schneider</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Germany</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ID-I6-2026-0002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100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Orphaned Row Example (parent removed)</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Oman</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ID-I7-2026-0002</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5</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bl>
          <w:p>
            <w:pPr>
              <w:spacing w:after="20" w:before="80" w:line="252" w:lineRule="auto"/>
              <w:jc w:val="left"/>
            </w:pPr>
            <w:r>
              <w:rPr>
                <w:rFonts w:ascii="Arial" w:cs="Arial" w:eastAsia="Arial" w:hAnsi="Arial"/>
                <w:b/>
                <w:bCs/>
                <w:color w:val="0F172A"/>
                <w:sz w:val="17"/>
                <w:szCs w:val="17"/>
              </w:rPr>
              <w:t xml:space="preserve">Total shareholder %: 105% | Total UBO %: 0%</w:t>
            </w:r>
          </w:p>
          <w:p>
            <w:pPr>
              <w:spacing w:after="20" w:before="0" w:line="252" w:lineRule="auto"/>
              <w:jc w:val="left"/>
            </w:pPr>
            <w:r>
              <w:rPr>
                <w:rFonts w:ascii="Arial" w:cs="Arial" w:eastAsia="Arial" w:hAnsi="Arial"/>
                <w:b w:val="false"/>
                <w:bCs w:val="false"/>
                <w:color w:val="0F172A"/>
                <w:sz w:val="17"/>
                <w:szCs w:val="17"/>
              </w:rPr>
              <w:t xml:space="preserve">Beneficial person different from listed parties: Yes</w:t>
            </w:r>
          </w:p>
          <w:p>
            <w:pPr>
              <w:spacing w:after="80" w:before="0" w:line="252" w:lineRule="auto"/>
              <w:jc w:val="left"/>
            </w:pPr>
            <w:r>
              <w:rPr>
                <w:rFonts w:ascii="Arial" w:cs="Arial" w:eastAsia="Arial" w:hAnsi="Arial"/>
                <w:b w:val="false"/>
                <w:bCs w:val="false"/>
                <w:color w:val="0F172A"/>
                <w:sz w:val="17"/>
                <w:szCs w:val="17"/>
              </w:rPr>
              <w:t xml:space="preserve">Beneficial structure notes: Ultimate control is exercised through Gulf Horizon Strategic Holdings and a family trust company.</w:t>
            </w:r>
          </w:p>
          <w:p>
            <w:pPr>
              <w:spacing w:after="0" w:before="0" w:line="120" w:lineRule="exact"/>
            </w:pPr>
          </w:p>
          <w:tbl>
            <w:tblPr>
              <w:tblW w:type="dxa" w:w="9976"/>
              <w:tblBorders>
                <w:top w:val="single" w:color="E2E8F0" w:sz="4"/>
                <w:left w:val="single" w:color="E2E8F0" w:sz="4"/>
                <w:bottom w:val="single" w:color="E2E8F0" w:sz="4"/>
                <w:right w:val="single" w:color="E2E8F0" w:sz="4"/>
                <w:insideH w:val="none" w:color="FFFFFF" w:sz="0"/>
                <w:insideV w:val="none" w:color="FFFFFF" w:sz="0"/>
              </w:tblBorders>
              <w:tblLayout w:type="fixed"/>
            </w:tblPr>
            <w:tblGrid>
              <w:gridCol w:w="9976"/>
            </w:tblGrid>
            <w:tr>
              <w:trPr>
                <w:cantSplit/>
              </w:trPr>
              <w:tc>
                <w:tcPr>
                  <w:tcW w:type="dxa" w:w="9976"/>
                  <w:shd w:fill="F8FAFC" w:color="auto" w:val="clear"/>
                  <w:tcMar>
                    <w:top w:type="dxa" w:w="160"/>
                    <w:left w:type="dxa" w:w="160"/>
                    <w:bottom w:type="dxa" w:w="100"/>
                    <w:right w:type="dxa" w:w="160"/>
                  </w:tcMar>
                </w:tcPr>
                <w:p>
                  <w:pPr>
                    <w:keepNext/>
                    <w:spacing w:after="100"/>
                  </w:pPr>
                  <w:r>
                    <w:rPr>
                      <w:rFonts w:ascii="Arial" w:cs="Arial" w:eastAsia="Arial" w:hAnsi="Arial"/>
                      <w:b/>
                      <w:bCs/>
                      <w:color w:val="0F172A"/>
                      <w:sz w:val="19"/>
                      <w:szCs w:val="19"/>
                    </w:rPr>
                    <w:t xml:space="preserve">Control Structure</w:t>
                  </w:r>
                </w:p>
                <w:tbl>
                  <w:tblPr>
                    <w:tblW w:type="dxa" w:w="9656"/>
                    <w:tblBorders>
                      <w:top w:val="single" w:color="1E293B" w:sz="12"/>
                      <w:left w:val="single" w:color="1E293B" w:sz="12"/>
                      <w:bottom w:val="single" w:color="1E293B" w:sz="12"/>
                      <w:right w:val="single" w:color="1E293B" w:sz="12"/>
                      <w:insideH w:val="none" w:color="FFFFFF" w:sz="0"/>
                      <w:insideV w:val="none" w:color="FFFFFF" w:sz="0"/>
                    </w:tblBorders>
                    <w:tblLayout w:type="fixed"/>
                  </w:tblPr>
                  <w:tblGrid>
                    <w:gridCol w:w="9656"/>
                  </w:tblGrid>
                  <w:tr>
                    <w:trPr>
                      <w:cantSplit/>
                    </w:trPr>
                    <w:tc>
                      <w:tcPr>
                        <w:tcW w:type="dxa" w:w="9656"/>
                        <w:tcMar>
                          <w:top w:type="dxa" w:w="50"/>
                          <w:left w:type="dxa" w:w="80"/>
                          <w:bottom w:type="dxa" w:w="40"/>
                          <w:right w:type="dxa" w:w="80"/>
                        </w:tcMar>
                      </w:tcPr>
                      <w:p>
                        <w:pPr>
                          <w:spacing w:after="60" w:before="60"/>
                          <w:jc w:val="center"/>
                        </w:pPr>
                        <w:r>
                          <w:drawing>
                            <wp:inline distT="0" distB="0" distL="0" distR="0">
                              <wp:extent cx="6096000" cy="52292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229225"/>
                                      </a:xfrm>
                                      <a:prstGeom prst="rect">
                                        <a:avLst/>
                                      </a:prstGeom>
                                    </pic:spPr>
                                  </pic:pic>
                                </a:graphicData>
                              </a:graphic>
                            </wp:inline>
                          </w:drawing>
                        </w:r>
                      </w:p>
                    </w:tc>
                  </w:tr>
                </w:tbl>
                <w:p>
                  <w:pPr>
                    <w:spacing w:after="0" w:before="0" w:line="20" w:lineRule="exact"/>
                  </w:pPr>
                </w:p>
              </w:tc>
            </w:tr>
          </w:tbl>
          <w:p>
            <w:pPr>
              <w:spacing w:after="0" w:before="0" w:line="120" w:lineRule="exact"/>
            </w:pP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95"/>
              <w:gridCol w:w="1396"/>
              <w:gridCol w:w="1197"/>
              <w:gridCol w:w="1596"/>
              <w:gridCol w:w="897"/>
              <w:gridCol w:w="2895"/>
            </w:tblGrid>
            <w:tr>
              <w:trPr>
                <w:cantSplit/>
                <w:tblHeader/>
              </w:trPr>
              <w:tc>
                <w:tcPr>
                  <w:tcW w:type="dxa" w:w="1995"/>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Beneficial person</w:t>
                  </w:r>
                </w:p>
              </w:tc>
              <w:tc>
                <w:tcPr>
                  <w:tcW w:type="dxa" w:w="13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w:t>
                  </w:r>
                </w:p>
              </w:tc>
              <w:tc>
                <w:tcPr>
                  <w:tcW w:type="dxa" w:w="15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Identity No.</w:t>
                  </w:r>
                </w:p>
              </w:tc>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UBO %</w:t>
                  </w:r>
                </w:p>
              </w:tc>
              <w:tc>
                <w:tcPr>
                  <w:tcW w:type="dxa" w:w="2895"/>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محمد بن عبدالله آل ثاني</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Qatar</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ID-I1-2026-0002</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15</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Johnathan Alexander Montgomery-Fitzgerald III</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United Kingdom</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ID-I2-2026-0002</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40</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Priya Raghunathan Venkataraman</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India</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ID-I3-2026-0002</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35</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Élodie Marchand-Dubois</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ID-I4-2026-0002</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50</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Lukas Schneider</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Germany</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1975-06-03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ID-I6-2026-0002</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100</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Building 12, Street 840, Zone 66, West Bay, Doha, State of Qatar</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C. MANAGER / AUTHORIZED SIGNATORY / DIRECTORS / SECRETARY</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1296"/>
              <w:gridCol w:w="1396"/>
              <w:gridCol w:w="1097"/>
              <w:gridCol w:w="1496"/>
              <w:gridCol w:w="997"/>
              <w:gridCol w:w="1197"/>
              <w:gridCol w:w="1001"/>
            </w:tblGrid>
            <w:tr>
              <w:trPr>
                <w:cantSplit/>
                <w:tblHeader/>
              </w:trPr>
              <w:tc>
                <w:tcPr>
                  <w:tcW w:type="dxa" w:w="14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Full name</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Position</w:t>
                  </w:r>
                </w:p>
              </w:tc>
              <w:tc>
                <w:tcPr>
                  <w:tcW w:type="dxa" w:w="13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Entity</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w:t>
                  </w:r>
                </w:p>
              </w:tc>
              <w:tc>
                <w:tcPr>
                  <w:tcW w:type="dxa" w:w="14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c>
                <w:tcPr>
                  <w:tcW w:type="dxa" w:w="9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ID No.</w:t>
                  </w:r>
                </w:p>
              </w:tc>
              <w:tc>
                <w:tcPr>
                  <w:tcW w:type="dxa" w:w="1001"/>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Signatory</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Johnathan Alexander Montgomery-Fitzgerald III</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Chief Executive Officer</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United Kingdom</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Tower 3, Floor 41, The Pearl, Doha</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1979-11-20</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PASSPORT-XX-000</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Priya Raghunathan Venkataraman</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Director</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India</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Doha, Qatar</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1979-11-21</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PASSPORT-XXX-001</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محمد بن عبدالله آل ثاني</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Company Secretary</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Qatar</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Tower 3, Floor 41, The Pearl, Doha</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1979-11-22</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PASSPORT-XXXX-002</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Lukas Schneider</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Authorised Signatory</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Germany</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Doha, Qatar</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1979-11-23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PASSPORT-XXXXX-003</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Élodie Marchand-Dubois</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Finance Director</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Tower 3, Floor 41, The Pearl, Doha</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1979-11-24</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PASSPORT-XXXXXX-004</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Director</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Gulf Horizon Strategic Holdings and Investments W.L.L.</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Doha, Qatar</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D. COMPLIANCE AND RISK INFORMATION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PEP exposure?: </w:t>
                  </w:r>
                  <w:r>
                    <w:rPr>
                      <w:rFonts w:ascii="Arial" w:cs="Arial" w:eastAsia="Arial" w:hAnsi="Arial"/>
                      <w:b w:val="false"/>
                      <w:bCs w:val="false"/>
                      <w:color w:val="0F172A"/>
                      <w:sz w:val="17"/>
                      <w:szCs w:val="17"/>
                    </w:rPr>
                    <w:t xml:space="preserve">Yes</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PEP details: </w:t>
                  </w:r>
                  <w:r>
                    <w:rPr>
                      <w:rFonts w:ascii="Arial" w:cs="Arial" w:eastAsia="Arial" w:hAnsi="Arial"/>
                      <w:b w:val="false"/>
                      <w:bCs w:val="false"/>
                      <w:color w:val="0F172A"/>
                      <w:sz w:val="17"/>
                      <w:szCs w:val="17"/>
                    </w:rPr>
                    <w:t xml:space="preserve">One beneficial person holds a senior government advisory role.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sanction exposure?: </w:t>
                  </w:r>
                  <w:r>
                    <w:rPr>
                      <w:rFonts w:ascii="Arial" w:cs="Arial" w:eastAsia="Arial" w:hAnsi="Arial"/>
                      <w:b w:val="false"/>
                      <w:bCs w:val="false"/>
                      <w:color w:val="0F172A"/>
                      <w:sz w:val="17"/>
                      <w:szCs w:val="17"/>
                    </w:rPr>
                    <w:t xml:space="preserv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Sanction details: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dual citizenship?: </w:t>
                  </w:r>
                  <w:r>
                    <w:rPr>
                      <w:rFonts w:ascii="Arial" w:cs="Arial" w:eastAsia="Arial" w:hAnsi="Arial"/>
                      <w:b w:val="false"/>
                      <w:bCs w:val="false"/>
                      <w:color w:val="0F172A"/>
                      <w:sz w:val="17"/>
                      <w:szCs w:val="17"/>
                    </w:rPr>
                    <w:t xml:space="preserve">Yes</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Dual citizenship details: </w:t>
                  </w:r>
                  <w:r>
                    <w:rPr>
                      <w:rFonts w:ascii="Arial" w:cs="Arial" w:eastAsia="Arial" w:hAnsi="Arial"/>
                      <w:b w:val="false"/>
                      <w:bCs w:val="false"/>
                      <w:color w:val="0F172A"/>
                      <w:sz w:val="17"/>
                      <w:szCs w:val="17"/>
                    </w:rPr>
                    <w:t xml:space="preserve">United Kingdom and Ireland.</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E. KEY COMMUNICATION PERSON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Full name: </w:t>
                  </w:r>
                  <w:r>
                    <w:rPr>
                      <w:rFonts w:ascii="Arial" w:cs="Arial" w:eastAsia="Arial" w:hAnsi="Arial"/>
                      <w:b w:val="false"/>
                      <w:bCs w:val="false"/>
                      <w:color w:val="0F172A"/>
                      <w:sz w:val="17"/>
                      <w:szCs w:val="17"/>
                    </w:rPr>
                    <w:t xml:space="preserve">Priya Raghunathan Venkataraman</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Position / Job title: </w:t>
                  </w:r>
                  <w:r>
                    <w:rPr>
                      <w:rFonts w:ascii="Arial" w:cs="Arial" w:eastAsia="Arial" w:hAnsi="Arial"/>
                      <w:b w:val="false"/>
                      <w:bCs w:val="false"/>
                      <w:color w:val="0F172A"/>
                      <w:sz w:val="17"/>
                      <w:szCs w:val="17"/>
                    </w:rPr>
                    <w:t xml:space="preserve">Head of Group Compliance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Nationality: </w:t>
                  </w:r>
                  <w:r>
                    <w:rPr>
                      <w:rFonts w:ascii="Arial" w:cs="Arial" w:eastAsia="Arial" w:hAnsi="Arial"/>
                      <w:b w:val="false"/>
                      <w:bCs w:val="false"/>
                      <w:color w:val="0F172A"/>
                      <w:sz w:val="17"/>
                      <w:szCs w:val="17"/>
                    </w:rPr>
                    <w:t xml:space="preserve">India</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QID / Passport Number: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Mobile Number: </w:t>
                  </w:r>
                  <w:r>
                    <w:rPr>
                      <w:rFonts w:ascii="Arial" w:cs="Arial" w:eastAsia="Arial" w:hAnsi="Arial"/>
                      <w:b w:val="false"/>
                      <w:bCs w:val="false"/>
                      <w:color w:val="0F172A"/>
                      <w:sz w:val="17"/>
                      <w:szCs w:val="17"/>
                    </w:rPr>
                    <w:t xml:space="preserve">+974 5555 1234</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Email: </w:t>
                  </w:r>
                  <w:r>
                    <w:rPr>
                      <w:rFonts w:ascii="Arial" w:cs="Arial" w:eastAsia="Arial" w:hAnsi="Arial"/>
                      <w:b w:val="false"/>
                      <w:bCs w:val="false"/>
                      <w:color w:val="0F172A"/>
                      <w:sz w:val="17"/>
                      <w:szCs w:val="17"/>
                    </w:rPr>
                    <w:t xml:space="preserve">priya.venkataraman@gulf-horizon.example.test</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F. REQUIRED DOCUMENTS CHECKLIST</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980"/>
              <w:gridCol w:w="1996"/>
            </w:tblGrid>
            <w:tr>
              <w:trPr>
                <w:cantSplit/>
                <w:tblHeader/>
              </w:trPr>
              <w:tc>
                <w:tcPr>
                  <w:tcW w:type="dxa" w:w="7980"/>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Document</w:t>
                  </w:r>
                </w:p>
              </w:tc>
              <w:tc>
                <w:tcPr>
                  <w:tcW w:type="dxa" w:w="19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Received</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Commercial Registration / CR Extract</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Entity Card / Computer Card</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Certificate of Incorporation</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Articles of Association</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QID / Passport copies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CR of legal entity parties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National address certificates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Latest Audited Financial Statements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Tax Card</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bl>
          <w:p>
            <w:pPr>
              <w:spacing w:after="0" w:before="0" w:line="120" w:lineRule="exact"/>
            </w:pP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Additional notes for KYC preparation documents: </w:t>
                  </w:r>
                  <w:r>
                    <w:rPr>
                      <w:rFonts w:ascii="Arial" w:cs="Arial" w:eastAsia="Arial" w:hAnsi="Arial"/>
                      <w:b w:val="false"/>
                      <w:bCs w:val="false"/>
                      <w:color w:val="0F172A"/>
                      <w:sz w:val="17"/>
                      <w:szCs w:val="17"/>
                    </w:rPr>
                    <w:t xml:space="preserve">-</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G. CLIENT DECLARATION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Full name: </w:t>
                  </w:r>
                  <w:r>
                    <w:rPr>
                      <w:rFonts w:ascii="Arial" w:cs="Arial" w:eastAsia="Arial" w:hAnsi="Arial"/>
                      <w:b w:val="false"/>
                      <w:bCs w:val="false"/>
                      <w:color w:val="0F172A"/>
                      <w:sz w:val="17"/>
                      <w:szCs w:val="17"/>
                    </w:rPr>
                    <w:t xml:space="preserve">Johnathan Alexander Montgomery-Fitzgerald III</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Position: </w:t>
                  </w:r>
                  <w:r>
                    <w:rPr>
                      <w:rFonts w:ascii="Arial" w:cs="Arial" w:eastAsia="Arial" w:hAnsi="Arial"/>
                      <w:b w:val="false"/>
                      <w:bCs w:val="false"/>
                      <w:color w:val="0F172A"/>
                      <w:sz w:val="17"/>
                      <w:szCs w:val="17"/>
                    </w:rPr>
                    <w:t xml:space="preserve">Director</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2026-10-05</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Authorized signature: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Company stamp: </w:t>
                  </w:r>
                  <w:r>
                    <w:rPr>
                      <w:rFonts w:ascii="Arial" w:cs="Arial" w:eastAsia="Arial" w:hAnsi="Arial"/>
                      <w:b w:val="false"/>
                      <w:bCs w:val="false"/>
                      <w:color w:val="0F172A"/>
                      <w:sz w:val="17"/>
                      <w:szCs w:val="17"/>
                    </w:rPr>
                    <w:t xml:space="preserve">-</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H. INTERNAL USE ONLY</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classification: </w:t>
                  </w:r>
                  <w:r>
                    <w:rPr>
                      <w:rFonts w:ascii="Arial" w:cs="Arial" w:eastAsia="Arial" w:hAnsi="Arial"/>
                      <w:b w:val="false"/>
                      <w:bCs w:val="false"/>
                      <w:color w:val="0F172A"/>
                      <w:sz w:val="17"/>
                      <w:szCs w:val="17"/>
                    </w:rPr>
                    <w:t xml:space="preserve">High</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Due diligence type: </w:t>
                  </w:r>
                  <w:r>
                    <w:rPr>
                      <w:rFonts w:ascii="Arial" w:cs="Arial" w:eastAsia="Arial" w:hAnsi="Arial"/>
                      <w:b w:val="false"/>
                      <w:bCs w:val="false"/>
                      <w:color w:val="0F172A"/>
                      <w:sz w:val="17"/>
                      <w:szCs w:val="17"/>
                    </w:rPr>
                    <w:t xml:space="preserve">Enhanced</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AML SUPERVISOR</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The Company is a holding company of an existing client. No adverse media, sanctions, or PEP concerns were identified in respect of the UBO, Director, and SEF. The KYC has been prepared and submitted to the DMLRO for review.</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DMLRO</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Sample DMLRO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w:t>
                  </w:r>
                </w:p>
                <w:p>
                  <w:pPr>
                    <w:spacing w:after="0" w:before="30"/>
                  </w:pPr>
                  <w:r>
                    <w:drawing>
                      <wp:inline distT="0" distB="0" distL="0" distR="0">
                        <wp:extent cx="1838325" cy="457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38325" cy="457200"/>
                                </a:xfrm>
                                <a:prstGeom prst="rect">
                                  <a:avLst/>
                                </a:prstGeom>
                              </pic:spPr>
                            </pic:pic>
                          </a:graphicData>
                        </a:graphic>
                      </wp:inline>
                    </w:drawing>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classification: </w:t>
                  </w:r>
                  <w:r>
                    <w:rPr>
                      <w:rFonts w:ascii="Arial" w:cs="Arial" w:eastAsia="Arial" w:hAnsi="Arial"/>
                      <w:b w:val="false"/>
                      <w:bCs w:val="false"/>
                      <w:color w:val="0F172A"/>
                      <w:sz w:val="17"/>
                      <w:szCs w:val="17"/>
                    </w:rPr>
                    <w:t xml:space="preserve">Low</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Decision: </w:t>
                  </w:r>
                  <w:r>
                    <w:rPr>
                      <w:rFonts w:ascii="Arial" w:cs="Arial" w:eastAsia="Arial" w:hAnsi="Arial"/>
                      <w:b w:val="false"/>
                      <w:bCs w:val="false"/>
                      <w:color w:val="0F172A"/>
                      <w:sz w:val="17"/>
                      <w:szCs w:val="17"/>
                    </w:rPr>
                    <w:t xml:space="preserve">Approve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Reason: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PEP exposure confirmed; enhanced due diligence applied. Source of wealth evidence reviewed and accepted.</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MLRO</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Sample MLRO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w:t>
                  </w:r>
                </w:p>
                <w:p>
                  <w:pPr>
                    <w:spacing w:after="0" w:before="30"/>
                  </w:pPr>
                  <w:r>
                    <w:drawing>
                      <wp:inline distT="0" distB="0" distL="0" distR="0">
                        <wp:extent cx="1838325" cy="457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38325" cy="457200"/>
                                </a:xfrm>
                                <a:prstGeom prst="rect">
                                  <a:avLst/>
                                </a:prstGeom>
                              </pic:spPr>
                            </pic:pic>
                          </a:graphicData>
                        </a:graphic>
                      </wp:inline>
                    </w:drawing>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Final decision: </w:t>
                  </w:r>
                  <w:r>
                    <w:rPr>
                      <w:rFonts w:ascii="Arial" w:cs="Arial" w:eastAsia="Arial" w:hAnsi="Arial"/>
                      <w:b w:val="false"/>
                      <w:bCs w:val="false"/>
                      <w:color w:val="0F172A"/>
                      <w:sz w:val="17"/>
                      <w:szCs w:val="17"/>
                    </w:rPr>
                    <w:t xml:space="preserve">Send to SEF</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Final risk classification: </w:t>
                  </w:r>
                  <w:r>
                    <w:rPr>
                      <w:rFonts w:ascii="Arial" w:cs="Arial" w:eastAsia="Arial" w:hAnsi="Arial"/>
                      <w:b w:val="false"/>
                      <w:bCs w:val="false"/>
                      <w:color w:val="0F172A"/>
                      <w:sz w:val="17"/>
                      <w:szCs w:val="17"/>
                    </w:rPr>
                    <w:t xml:space="preserve">High</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reason category: </w:t>
                  </w:r>
                  <w:r>
                    <w:rPr>
                      <w:rFonts w:ascii="Arial" w:cs="Arial" w:eastAsia="Arial" w:hAnsi="Arial"/>
                      <w:b w:val="false"/>
                      <w:bCs w:val="false"/>
                      <w:color w:val="0F172A"/>
                      <w:sz w:val="17"/>
                      <w:szCs w:val="17"/>
                    </w:rPr>
                    <w:t xml:space="preserve">PEP exposure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explanation: </w:t>
                  </w:r>
                  <w:r>
                    <w:rPr>
                      <w:rFonts w:ascii="Arial" w:cs="Arial" w:eastAsia="Arial" w:hAnsi="Arial"/>
                      <w:b w:val="false"/>
                      <w:bCs w:val="false"/>
                      <w:color w:val="0F172A"/>
                      <w:sz w:val="17"/>
                      <w:szCs w:val="17"/>
                    </w:rPr>
                    <w:t xml:space="preserve">Beneficial person is a domestic PEP.</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b/>
                      <w:bCs/>
                      <w:i w:val="false"/>
                      <w:iCs w:val="false"/>
                      <w:color w:val="0F172A"/>
                      <w:sz w:val="17"/>
                      <w:szCs w:val="17"/>
                    </w:rPr>
                    <w:t xml:space="preserve">Enhanced due diligence completed.</w:t>
                  </w:r>
                  <w:r>
                    <w:rPr>
                      <w:rFonts w:ascii="Arial" w:cs="Arial" w:eastAsia="Arial" w:hAnsi="Arial"/>
                      <w:b w:val="false"/>
                      <w:bCs w:val="false"/>
                      <w:i w:val="false"/>
                      <w:iCs w:val="false"/>
                      <w:color w:val="0F172A"/>
                      <w:sz w:val="17"/>
                      <w:szCs w:val="17"/>
                    </w:rPr>
                    <w:t xml:space="preserve"> </w:t>
                  </w:r>
                  <w:r>
                    <w:rPr>
                      <w:rFonts w:ascii="Arial" w:cs="Arial" w:eastAsia="Arial" w:hAnsi="Arial"/>
                      <w:b w:val="false"/>
                      <w:bCs w:val="false"/>
                      <w:i w:val="false"/>
                      <w:iCs w:val="false"/>
                      <w:color w:val="0F172A"/>
                      <w:sz w:val="17"/>
                      <w:szCs w:val="17"/>
                      <w:highlight w:val="yellow"/>
                    </w:rPr>
                    <w:t xml:space="preserve">Annual review required.</w:t>
                  </w:r>
                </w:p>
                <w:p>
                  <w:pPr>
                    <w:spacing w:after="80" w:before="0" w:line="252" w:lineRule="auto"/>
                    <w:jc w:val="left"/>
                  </w:pPr>
                  <w:r>
                    <w:rPr>
                      <w:rFonts w:ascii="Arial" w:cs="Arial" w:eastAsia="Arial" w:hAnsi="Arial"/>
                      <w:b w:val="false"/>
                      <w:bCs w:val="false"/>
                      <w:i w:val="false"/>
                      <w:iCs w:val="false"/>
                      <w:color w:val="0F172A"/>
                      <w:sz w:val="17"/>
                      <w:szCs w:val="17"/>
                    </w:rPr>
                    <w:t xml:space="preserve">Source of wealth and ownership documentation were reviewed. This paragraph must use the full available width.</w:t>
                  </w:r>
                </w:p>
                <w:p>
                  <w:pPr>
                    <w:spacing w:after="80" w:before="0" w:line="252" w:lineRule="auto"/>
                    <w:jc w:val="left"/>
                  </w:pPr>
                  <w:r>
                    <w:rPr>
                      <w:rFonts w:ascii="Arial" w:cs="Arial" w:eastAsia="Arial" w:hAnsi="Arial"/>
                      <w:color w:val="0F172A"/>
                      <w:sz w:val="17"/>
                      <w:szCs w:val="17"/>
                    </w:rPr>
                    <w:t xml:space="preserve">- </w:t>
                  </w:r>
                  <w:r>
                    <w:rPr>
                      <w:rFonts w:ascii="Arial" w:cs="Arial" w:eastAsia="Arial" w:hAnsi="Arial"/>
                      <w:b w:val="false"/>
                      <w:bCs w:val="false"/>
                      <w:i w:val="false"/>
                      <w:iCs w:val="false"/>
                      <w:color w:val="0F172A"/>
                      <w:sz w:val="17"/>
                      <w:szCs w:val="17"/>
                    </w:rPr>
                    <w:t xml:space="preserve">Monitor changes in ownership.</w:t>
                  </w:r>
                </w:p>
                <w:p>
                  <w:pPr>
                    <w:spacing w:after="80" w:before="0" w:line="252" w:lineRule="auto"/>
                    <w:jc w:val="left"/>
                  </w:pPr>
                  <w:r>
                    <w:rPr>
                      <w:rFonts w:ascii="Arial" w:cs="Arial" w:eastAsia="Arial" w:hAnsi="Arial"/>
                      <w:color w:val="0F172A"/>
                      <w:sz w:val="17"/>
                      <w:szCs w:val="17"/>
                    </w:rPr>
                    <w:t xml:space="preserve">- </w:t>
                  </w:r>
                  <w:r>
                    <w:rPr>
                      <w:rFonts w:ascii="Arial" w:cs="Arial" w:eastAsia="Arial" w:hAnsi="Arial"/>
                      <w:b w:val="false"/>
                      <w:bCs w:val="false"/>
                      <w:i/>
                      <w:iCs/>
                      <w:color w:val="0F172A"/>
                      <w:sz w:val="17"/>
                      <w:szCs w:val="17"/>
                    </w:rPr>
                    <w:t xml:space="preserve">Escalate material risk changes.</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SEF</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Sample SEF Member</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2026-10-05</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w:t>
                  </w:r>
                </w:p>
                <w:p>
                  <w:pPr>
                    <w:spacing w:after="0" w:before="30"/>
                  </w:pPr>
                  <w:r>
                    <w:drawing>
                      <wp:inline distT="0" distB="0" distL="0" distR="0">
                        <wp:extent cx="1838325" cy="4572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38325" cy="457200"/>
                                </a:xfrm>
                                <a:prstGeom prst="rect">
                                  <a:avLst/>
                                </a:prstGeom>
                              </pic:spPr>
                            </pic:pic>
                          </a:graphicData>
                        </a:graphic>
                      </wp:inline>
                    </w:drawing>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Management decision: </w:t>
                  </w:r>
                  <w:r>
                    <w:rPr>
                      <w:rFonts w:ascii="Arial" w:cs="Arial" w:eastAsia="Arial" w:hAnsi="Arial"/>
                      <w:b w:val="false"/>
                      <w:bCs w:val="false"/>
                      <w:color w:val="0F172A"/>
                      <w:sz w:val="17"/>
                      <w:szCs w:val="17"/>
                    </w:rPr>
                    <w:t xml:space="preserve">Approve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Approved subject to annual review.</w:t>
                  </w:r>
                </w:p>
              </w:tc>
            </w:tr>
          </w:tbl>
          <w:p>
            <w:pPr>
              <w:spacing w:after="0" w:before="0" w:line="20" w:lineRule="exact"/>
            </w:pPr>
          </w:p>
        </w:tc>
      </w:tr>
    </w:tbl>
    <w:sectPr>
      <w:headerReference w:type="default" r:id="rId6"/>
      <w:footerReference w:type="default" r:id="rId7"/>
      <w:pgSz w:w="11906" w:h="16838" w:orient="portrait"/>
      <w:pgMar w:top="2000" w:right="850" w:bottom="1000" w:left="850" w:header="300" w:footer="535"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drawing>
        <wp:anchor distT="0" distB="0" distL="0" distR="0" simplePos="0" allowOverlap="1" behindDoc="1" locked="0" layoutInCell="1" relativeHeight="276225">
          <wp:simplePos x="0" y="0"/>
          <wp:positionH relativeFrom="page">
            <wp:posOffset>0</wp:posOffset>
          </wp:positionH>
          <wp:positionV relativeFrom="page">
            <wp:posOffset>10226000</wp:posOffset>
          </wp:positionV>
          <wp:extent cx="7562850" cy="276225"/>
          <wp:effectExtent t="0" r="0" b="0" l="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2762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971550">
          <wp:simplePos x="0" y="0"/>
          <wp:positionH relativeFrom="page">
            <wp:posOffset>0</wp:posOffset>
          </wp:positionH>
          <wp:positionV relativeFrom="page">
            <wp:posOffset>217719</wp:posOffset>
          </wp:positionV>
          <wp:extent cx="7562850" cy="971550"/>
          <wp:effectExtent t="0" r="0" b="0" l="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715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7"/>
        <w:szCs w:val="17"/>
      </w:rPr>
    </w:rPrDefault>
    <w:pPrDefault>
      <w:pPr>
        <w:spacing w:after="0" w:line="25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537182f2b22df9fbcedc412311674f7c4eb690f.png"/><Relationship Id="rId10" Type="http://schemas.openxmlformats.org/officeDocument/2006/relationships/image" Target="media/66c315b0efdb6aeddd455039d22485df514cff07.png"/><Relationship Id="rId11" Type="http://schemas.openxmlformats.org/officeDocument/2006/relationships/image" Target="media/c8d53530ee2d95ccd2bf622d72e983842bf3fefc.png"/><Relationship Id="rId12" Type="http://schemas.openxmlformats.org/officeDocument/2006/relationships/image" Target="media/334dada9e2ad8d1a52c364d47db3daaa40fe93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6bbede683be80ac852253d7f5f2e0d1f4b509c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7caa655c4b5d915b6823c999923b2fc31ca6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 Your Customer Form - Gulf Horizon Strategic Holdings and Investments W.L.L. (Qatar Financial Centre Branch)</dc:title>
  <dc:creator>Newoon MIS</dc:creator>
  <dc:description>KYC document KYC-2026-0042 v3</dc:description>
  <cp:lastModifiedBy>Un-named</cp:lastModifiedBy>
  <cp:revision>1</cp:revision>
  <dcterms:created xsi:type="dcterms:W3CDTF">2026-10-06T11:12:45.781Z</dcterms:created>
  <dcterms:modified xsi:type="dcterms:W3CDTF">2026-10-06T11:12:45.781Z</dcterms:modified>
</cp:coreProperties>
</file>

<file path=docProps/custom.xml><?xml version="1.0" encoding="utf-8"?>
<Properties xmlns="http://schemas.openxmlformats.org/officeDocument/2006/custom-properties" xmlns:vt="http://schemas.openxmlformats.org/officeDocument/2006/docPropsVTypes"/>
</file>