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52" w:lineRule="auto"/>
        <w:jc w:val="left"/>
      </w:pPr>
      <w:r>
        <w:rPr>
          <w:rFonts w:ascii="Arial" w:cs="Arial" w:eastAsia="Arial" w:hAnsi="Arial"/>
          <w:b w:val="false"/>
          <w:bCs w:val="false"/>
          <w:color w:val="0F172A"/>
          <w:sz w:val="17"/>
          <w:szCs w:val="17"/>
        </w:rPr>
        <w:t xml:space="preserve">Date: 10/08/2026</w:t>
      </w:r>
    </w:p>
    <w:p>
      <w:pPr>
        <w:spacing w:after="40" w:before="0" w:line="252" w:lineRule="auto"/>
        <w:jc w:val="left"/>
      </w:pPr>
      <w:r>
        <w:rPr>
          <w:rFonts w:ascii="Arial" w:cs="Arial" w:eastAsia="Arial" w:hAnsi="Arial"/>
          <w:b w:val="false"/>
          <w:bCs w:val="false"/>
          <w:color w:val="0F172A"/>
          <w:sz w:val="17"/>
          <w:szCs w:val="17"/>
        </w:rPr>
        <w:t xml:space="preserve">Reference: KYC-2026-0042</w:t>
      </w:r>
    </w:p>
    <w:p>
      <w:pPr>
        <w:spacing w:after="60" w:before="120"/>
        <w:jc w:val="center"/>
      </w:pPr>
      <w:r>
        <w:rPr>
          <w:rFonts w:ascii="Arial" w:cs="Arial" w:eastAsia="Arial" w:hAnsi="Arial"/>
          <w:b/>
          <w:bCs/>
          <w:color w:val="020617"/>
          <w:sz w:val="24"/>
          <w:szCs w:val="24"/>
        </w:rPr>
        <w:t xml:space="preserve">Know Your Client (KYC)</w:t>
      </w:r>
    </w:p>
    <w:p>
      <w:pPr>
        <w:spacing w:after="40" w:before="0" w:line="252" w:lineRule="auto"/>
        <w:jc w:val="both"/>
      </w:pPr>
      <w:r>
        <w:rPr>
          <w:rFonts w:ascii="Arial" w:cs="Arial" w:eastAsia="Arial" w:hAnsi="Arial"/>
          <w:b w:val="false"/>
          <w:bCs w:val="false"/>
          <w:color w:val="0F172A"/>
          <w:sz w:val="17"/>
          <w:szCs w:val="17"/>
        </w:rPr>
        <w:t xml:space="preserve">Newoon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A. GENERAL COMPANY INFORMATION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KYC Number: </w:t>
                  </w:r>
                  <w:r>
                    <w:rPr>
                      <w:rFonts w:ascii="Arial" w:cs="Arial" w:eastAsia="Arial" w:hAnsi="Arial"/>
                      <w:b w:val="false"/>
                      <w:bCs w:val="false"/>
                      <w:color w:val="0F172A"/>
                      <w:sz w:val="17"/>
                      <w:szCs w:val="17"/>
                    </w:rPr>
                    <w:t xml:space="preserve">KYC-2026-0042</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Legal Name of Company: </w:t>
                  </w:r>
                  <w:r>
                    <w:rPr>
                      <w:rFonts w:ascii="Arial" w:cs="Arial" w:eastAsia="Arial" w:hAnsi="Arial"/>
                      <w:b w:val="false"/>
                      <w:bCs w:val="false"/>
                      <w:color w:val="0F172A"/>
                      <w:sz w:val="17"/>
                      <w:szCs w:val="17"/>
                    </w:rPr>
                    <w:t xml:space="preserve">Gulf Horizon Strategic Holdings and Investments W.L.L. (Qatar Financial Centre Branch)</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Commercial Registration No.: </w:t>
                  </w:r>
                  <w:r>
                    <w:rPr>
                      <w:rFonts w:ascii="Arial" w:cs="Arial" w:eastAsia="Arial" w:hAnsi="Arial"/>
                      <w:b w:val="false"/>
                      <w:bCs w:val="false"/>
                      <w:color w:val="0F172A"/>
                      <w:sz w:val="17"/>
                      <w:szCs w:val="17"/>
                    </w:rPr>
                    <w:t xml:space="preserve">00000(QFC)</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Tax Identification No.: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of Incorporation: </w:t>
                  </w:r>
                  <w:r>
                    <w:rPr>
                      <w:rFonts w:ascii="Arial" w:cs="Arial" w:eastAsia="Arial" w:hAnsi="Arial"/>
                      <w:b w:val="false"/>
                      <w:bCs w:val="false"/>
                      <w:color w:val="0F172A"/>
                      <w:sz w:val="17"/>
                      <w:szCs w:val="17"/>
                    </w:rPr>
                    <w:t xml:space="preserve">2026-04-09</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Country of Incorporation: </w:t>
                  </w:r>
                  <w:r>
                    <w:rPr>
                      <w:rFonts w:ascii="Arial" w:cs="Arial" w:eastAsia="Arial" w:hAnsi="Arial"/>
                      <w:b w:val="false"/>
                      <w:bCs w:val="false"/>
                      <w:color w:val="0F172A"/>
                      <w:sz w:val="17"/>
                      <w:szCs w:val="17"/>
                    </w:rPr>
                    <w:t xml:space="preserve">Qatar</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Legal Form: </w:t>
                  </w:r>
                  <w:r>
                    <w:rPr>
                      <w:rFonts w:ascii="Arial" w:cs="Arial" w:eastAsia="Arial" w:hAnsi="Arial"/>
                      <w:b w:val="false"/>
                      <w:bCs w:val="false"/>
                      <w:color w:val="0F172A"/>
                      <w:sz w:val="17"/>
                      <w:szCs w:val="17"/>
                    </w:rPr>
                    <w:t xml:space="preserve">LLC</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Registered Office Address: </w:t>
                  </w:r>
                  <w:r>
                    <w:rPr>
                      <w:rFonts w:ascii="Arial" w:cs="Arial" w:eastAsia="Arial" w:hAnsi="Arial"/>
                      <w:b w:val="false"/>
                      <w:bCs w:val="false"/>
                      <w:color w:val="0F172A"/>
                      <w:sz w:val="17"/>
                      <w:szCs w:val="17"/>
                    </w:rPr>
                    <w:t xml:space="preserve">QFC Tower 1, Office No. 4, Floor 9, Doha, Qatar</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Telephone: </w:t>
                  </w:r>
                  <w:r>
                    <w:rPr>
                      <w:rFonts w:ascii="Arial" w:cs="Arial" w:eastAsia="Arial" w:hAnsi="Arial"/>
                      <w:b w:val="false"/>
                      <w:bCs w:val="false"/>
                      <w:color w:val="0F172A"/>
                      <w:sz w:val="17"/>
                      <w:szCs w:val="17"/>
                    </w:rPr>
                    <w:t xml:space="preserve">+974 0000 0000</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Email: </w:t>
                  </w:r>
                  <w:r>
                    <w:rPr>
                      <w:rFonts w:ascii="Arial" w:cs="Arial" w:eastAsia="Arial" w:hAnsi="Arial"/>
                      <w:b w:val="false"/>
                      <w:bCs w:val="false"/>
                      <w:color w:val="0F172A"/>
                      <w:sz w:val="17"/>
                      <w:szCs w:val="17"/>
                    </w:rPr>
                    <w:t xml:space="preserve">contact@example.test</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Website: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Main purpose / nature of business: </w:t>
                  </w:r>
                  <w:r>
                    <w:rPr>
                      <w:rFonts w:ascii="Arial" w:cs="Arial" w:eastAsia="Arial" w:hAnsi="Arial"/>
                      <w:b w:val="false"/>
                      <w:bCs w:val="false"/>
                      <w:color w:val="0F172A"/>
                      <w:sz w:val="17"/>
                      <w:szCs w:val="17"/>
                    </w:rPr>
                    <w:t xml:space="preserve">Holding company</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License activities: </w:t>
                  </w:r>
                  <w:r>
                    <w:rPr>
                      <w:rFonts w:ascii="Arial" w:cs="Arial" w:eastAsia="Arial" w:hAnsi="Arial"/>
                      <w:b w:val="false"/>
                      <w:bCs w:val="false"/>
                      <w:color w:val="0F172A"/>
                      <w:sz w:val="17"/>
                      <w:szCs w:val="17"/>
                    </w:rPr>
                    <w:t xml:space="preserve">Holding company activities; management consultancy; investment advisory to affiliated entities; real estate holding; procurement and logistics coordination for group companies across the GCC and Europe.</w:t>
                  </w:r>
                </w:p>
                <w:p>
                  <w:pPr>
                    <w:spacing w:after="0" w:before="0" w:line="252" w:lineRule="auto"/>
                    <w:jc w:val="left"/>
                  </w:pPr>
                  <w:r>
                    <w:rPr>
                      <w:rFonts w:ascii="Arial" w:cs="Arial" w:eastAsia="Arial" w:hAnsi="Arial"/>
                      <w:b w:val="false"/>
                      <w:bCs w:val="false"/>
                      <w:color w:val="0F172A"/>
                      <w:sz w:val="17"/>
                      <w:szCs w:val="17"/>
                    </w:rPr>
                    <w:t xml:space="preserve">Second line entered by the user.</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Related Industry: </w:t>
                  </w:r>
                  <w:r>
                    <w:rPr>
                      <w:rFonts w:ascii="Arial" w:cs="Arial" w:eastAsia="Arial" w:hAnsi="Arial"/>
                      <w:b w:val="false"/>
                      <w:bCs w:val="false"/>
                      <w:color w:val="0F172A"/>
                      <w:sz w:val="17"/>
                      <w:szCs w:val="17"/>
                    </w:rPr>
                    <w:t xml:space="preserve">Finance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Nature of prospective service from Newoon: </w:t>
                  </w:r>
                  <w:r>
                    <w:rPr>
                      <w:rFonts w:ascii="Arial" w:cs="Arial" w:eastAsia="Arial" w:hAnsi="Arial"/>
                      <w:b w:val="false"/>
                      <w:bCs w:val="false"/>
                      <w:color w:val="0F172A"/>
                      <w:sz w:val="17"/>
                      <w:szCs w:val="17"/>
                    </w:rPr>
                    <w:t xml:space="preserve">N022 - Temporary Secretary and QFC Compliance Service, N025 - Assistant with Company Initial Setup Tasks</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B. CONTROL / INTEREST DETAILS</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97"/>
              <w:gridCol w:w="1296"/>
              <w:gridCol w:w="1097"/>
              <w:gridCol w:w="1197"/>
              <w:gridCol w:w="1197"/>
              <w:gridCol w:w="1097"/>
              <w:gridCol w:w="1296"/>
              <w:gridCol w:w="897"/>
              <w:gridCol w:w="1002"/>
            </w:tblGrid>
            <w:tr>
              <w:trPr>
                <w:cantSplit/>
                <w:tblHeader/>
              </w:trPr>
              <w:tc>
                <w:tcPr>
                  <w:tcW w:type="dxa" w:w="8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Type</w:t>
                  </w:r>
                </w:p>
              </w:tc>
              <w:tc>
                <w:tcPr>
                  <w:tcW w:type="dxa" w:w="12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Full name</w:t>
                  </w:r>
                </w:p>
              </w:tc>
              <w:tc>
                <w:tcPr>
                  <w:tcW w:type="dxa" w:w="10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Nationality / country</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DOB / Incorporation</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QID / Passport / CR</w:t>
                  </w:r>
                </w:p>
              </w:tc>
              <w:tc>
                <w:tcPr>
                  <w:tcW w:type="dxa" w:w="10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Shareholder %</w:t>
                  </w:r>
                </w:p>
              </w:tc>
              <w:tc>
                <w:tcPr>
                  <w:tcW w:type="dxa" w:w="12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Address</w:t>
                  </w:r>
                </w:p>
              </w:tc>
              <w:tc>
                <w:tcPr>
                  <w:tcW w:type="dxa" w:w="8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Linked client</w:t>
                  </w:r>
                </w:p>
              </w:tc>
              <w:tc>
                <w:tcPr>
                  <w:tcW w:type="dxa" w:w="1002"/>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Beneficial person</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Corporate</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Qatar</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2010-01-15</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ID-H1-2026-0002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60</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Corporate</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Société Générale de Participations Européennes S.à r.l.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Luxembourg</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2010-01-15</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ID-H2-2026-0002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25</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محمد بن عبدالله آل ثاني</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Qatar</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ID-I1-2026-0002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15</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Johnathan Alexander Montgomery-Fitzgerald III</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United Kingdom</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ID-I2-2026-0002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40</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Priya Raghunathan Venkataraman</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India</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ID-I3-2026-0002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35</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Corporate</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Desert Pearl Family Trust Company Limited</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Cayman Islands</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2010-01-15</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ID-C3-2026-0002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25</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Élodie Marchand-Dubois</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France</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ID-I4-2026-0002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50</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Kenji Watanabe</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Japan</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ID-I5-2026-0002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50</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Lukas Schneider</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Germany</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ID-I6-2026-0002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100</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Orphaned Row Example (parent removed)</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Oman</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ID-I7-2026-0002</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5</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bl>
          <w:p>
            <w:pPr>
              <w:spacing w:after="20" w:before="80" w:line="252" w:lineRule="auto"/>
              <w:jc w:val="left"/>
            </w:pPr>
            <w:r>
              <w:rPr>
                <w:rFonts w:ascii="Arial" w:cs="Arial" w:eastAsia="Arial" w:hAnsi="Arial"/>
                <w:b/>
                <w:bCs/>
                <w:color w:val="0F172A"/>
                <w:sz w:val="17"/>
                <w:szCs w:val="17"/>
              </w:rPr>
              <w:t xml:space="preserve">Total shareholder %: 105% | Total UBO %: 0%</w:t>
            </w:r>
          </w:p>
          <w:p>
            <w:pPr>
              <w:spacing w:after="20" w:before="0" w:line="252" w:lineRule="auto"/>
              <w:jc w:val="left"/>
            </w:pPr>
            <w:r>
              <w:rPr>
                <w:rFonts w:ascii="Arial" w:cs="Arial" w:eastAsia="Arial" w:hAnsi="Arial"/>
                <w:b w:val="false"/>
                <w:bCs w:val="false"/>
                <w:color w:val="0F172A"/>
                <w:sz w:val="17"/>
                <w:szCs w:val="17"/>
              </w:rPr>
              <w:t xml:space="preserve">Beneficial person different from listed parties: Yes</w:t>
            </w:r>
          </w:p>
          <w:p>
            <w:pPr>
              <w:spacing w:after="80" w:before="0" w:line="252" w:lineRule="auto"/>
              <w:jc w:val="left"/>
            </w:pPr>
            <w:r>
              <w:rPr>
                <w:rFonts w:ascii="Arial" w:cs="Arial" w:eastAsia="Arial" w:hAnsi="Arial"/>
                <w:b w:val="false"/>
                <w:bCs w:val="false"/>
                <w:color w:val="0F172A"/>
                <w:sz w:val="17"/>
                <w:szCs w:val="17"/>
              </w:rPr>
              <w:t xml:space="preserve">Beneficial structure notes: Ultimate control is exercised through Gulf Horizon Strategic Holdings and a family trust company.</w:t>
            </w:r>
          </w:p>
          <w:p>
            <w:pPr>
              <w:spacing w:after="0" w:before="0" w:line="120" w:lineRule="exact"/>
            </w:pPr>
          </w:p>
          <w:tbl>
            <w:tblPr>
              <w:tblW w:type="dxa" w:w="9976"/>
              <w:tblBorders>
                <w:top w:val="single" w:color="E2E8F0" w:sz="4"/>
                <w:left w:val="single" w:color="E2E8F0" w:sz="4"/>
                <w:bottom w:val="single" w:color="E2E8F0" w:sz="4"/>
                <w:right w:val="single" w:color="E2E8F0" w:sz="4"/>
                <w:insideH w:val="none" w:color="FFFFFF" w:sz="0"/>
                <w:insideV w:val="none" w:color="FFFFFF" w:sz="0"/>
              </w:tblBorders>
              <w:tblLayout w:type="fixed"/>
            </w:tblPr>
            <w:tblGrid>
              <w:gridCol w:w="9976"/>
            </w:tblGrid>
            <w:tr>
              <w:trPr>
                <w:cantSplit/>
              </w:trPr>
              <w:tc>
                <w:tcPr>
                  <w:tcW w:type="dxa" w:w="9976"/>
                  <w:shd w:fill="F8FAFC" w:color="auto" w:val="clear"/>
                  <w:tcMar>
                    <w:top w:type="dxa" w:w="160"/>
                    <w:left w:type="dxa" w:w="160"/>
                    <w:bottom w:type="dxa" w:w="100"/>
                    <w:right w:type="dxa" w:w="160"/>
                  </w:tcMar>
                </w:tcPr>
                <w:p>
                  <w:pPr>
                    <w:keepNext/>
                    <w:spacing w:after="100"/>
                  </w:pPr>
                  <w:r>
                    <w:rPr>
                      <w:rFonts w:ascii="Arial" w:cs="Arial" w:eastAsia="Arial" w:hAnsi="Arial"/>
                      <w:b/>
                      <w:bCs/>
                      <w:color w:val="0F172A"/>
                      <w:sz w:val="19"/>
                      <w:szCs w:val="19"/>
                    </w:rPr>
                    <w:t xml:space="preserve">Control Structure</w:t>
                  </w:r>
                </w:p>
                <w:tbl>
                  <w:tblPr>
                    <w:tblW w:type="dxa" w:w="9656"/>
                    <w:tblBorders>
                      <w:top w:val="single" w:color="1E293B" w:sz="12"/>
                      <w:left w:val="single" w:color="1E293B" w:sz="12"/>
                      <w:bottom w:val="single" w:color="1E293B" w:sz="12"/>
                      <w:right w:val="single" w:color="1E293B" w:sz="12"/>
                      <w:insideH w:val="none" w:color="FFFFFF" w:sz="0"/>
                      <w:insideV w:val="none" w:color="FFFFFF" w:sz="0"/>
                    </w:tblBorders>
                    <w:tblLayout w:type="fixed"/>
                  </w:tblPr>
                  <w:tblGrid>
                    <w:gridCol w:w="9656"/>
                  </w:tblGrid>
                  <w:tr>
                    <w:trPr>
                      <w:cantSplit/>
                    </w:trPr>
                    <w:tc>
                      <w:tcPr>
                        <w:tcW w:type="dxa" w:w="9656"/>
                        <w:tcMar>
                          <w:top w:type="dxa" w:w="50"/>
                          <w:left w:type="dxa" w:w="80"/>
                          <w:bottom w:type="dxa" w:w="40"/>
                          <w:right w:type="dxa" w:w="80"/>
                        </w:tcMar>
                      </w:tcPr>
                      <w:p>
                        <w:pPr>
                          <w:spacing w:after="60" w:before="60"/>
                          <w:jc w:val="center"/>
                        </w:pPr>
                        <w:r>
                          <w:drawing>
                            <wp:inline distT="0" distB="0" distL="0" distR="0">
                              <wp:extent cx="6096000" cy="5229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229225"/>
                                      </a:xfrm>
                                      <a:prstGeom prst="rect">
                                        <a:avLst/>
                                      </a:prstGeom>
                                    </pic:spPr>
                                  </pic:pic>
                                </a:graphicData>
                              </a:graphic>
                            </wp:inline>
                          </w:drawing>
                        </w:r>
                      </w:p>
                    </w:tc>
                  </w:tr>
                </w:tbl>
                <w:p>
                  <w:pPr>
                    <w:spacing w:after="0" w:before="0" w:line="20" w:lineRule="exact"/>
                  </w:pPr>
                </w:p>
              </w:tc>
            </w:tr>
          </w:tbl>
          <w:p>
            <w:pPr>
              <w:spacing w:after="0" w:before="0" w:line="120" w:lineRule="exact"/>
            </w:pP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95"/>
              <w:gridCol w:w="1396"/>
              <w:gridCol w:w="1197"/>
              <w:gridCol w:w="1596"/>
              <w:gridCol w:w="897"/>
              <w:gridCol w:w="2895"/>
            </w:tblGrid>
            <w:tr>
              <w:trPr>
                <w:cantSplit/>
                <w:tblHeader/>
              </w:trPr>
              <w:tc>
                <w:tcPr>
                  <w:tcW w:type="dxa" w:w="1995"/>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Beneficial person</w:t>
                  </w:r>
                </w:p>
              </w:tc>
              <w:tc>
                <w:tcPr>
                  <w:tcW w:type="dxa" w:w="13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Nationality</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DOB</w:t>
                  </w:r>
                </w:p>
              </w:tc>
              <w:tc>
                <w:tcPr>
                  <w:tcW w:type="dxa" w:w="15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Identity No.</w:t>
                  </w:r>
                </w:p>
              </w:tc>
              <w:tc>
                <w:tcPr>
                  <w:tcW w:type="dxa" w:w="8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UBO %</w:t>
                  </w:r>
                </w:p>
              </w:tc>
              <w:tc>
                <w:tcPr>
                  <w:tcW w:type="dxa" w:w="2895"/>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Address</w:t>
                  </w:r>
                </w:p>
              </w:tc>
            </w:tr>
            <w:tr>
              <w:trPr>
                <w:cantSplit/>
              </w:trPr>
              <w:tc>
                <w:tcPr>
                  <w:tcW w:type="dxa" w:w="19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محمد بن عبدالله آل ثاني</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Qatar</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5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ID-I1-2026-0002</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15</w:t>
                  </w:r>
                </w:p>
              </w:tc>
              <w:tc>
                <w:tcPr>
                  <w:tcW w:type="dxa" w:w="28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r>
            <w:tr>
              <w:trPr>
                <w:cantSplit/>
              </w:trPr>
              <w:tc>
                <w:tcPr>
                  <w:tcW w:type="dxa" w:w="19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Johnathan Alexander Montgomery-Fitzgerald III</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United Kingdom</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5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ID-I2-2026-0002</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40</w:t>
                  </w:r>
                </w:p>
              </w:tc>
              <w:tc>
                <w:tcPr>
                  <w:tcW w:type="dxa" w:w="28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r>
            <w:tr>
              <w:trPr>
                <w:cantSplit/>
              </w:trPr>
              <w:tc>
                <w:tcPr>
                  <w:tcW w:type="dxa" w:w="19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Priya Raghunathan Venkataraman</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India</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5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ID-I3-2026-0002</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35</w:t>
                  </w:r>
                </w:p>
              </w:tc>
              <w:tc>
                <w:tcPr>
                  <w:tcW w:type="dxa" w:w="28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r>
            <w:tr>
              <w:trPr>
                <w:cantSplit/>
              </w:trPr>
              <w:tc>
                <w:tcPr>
                  <w:tcW w:type="dxa" w:w="19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Élodie Marchand-Dubois</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France</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5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ID-I4-2026-0002</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50</w:t>
                  </w:r>
                </w:p>
              </w:tc>
              <w:tc>
                <w:tcPr>
                  <w:tcW w:type="dxa" w:w="28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r>
            <w:tr>
              <w:trPr>
                <w:cantSplit/>
              </w:trPr>
              <w:tc>
                <w:tcPr>
                  <w:tcW w:type="dxa" w:w="19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Lukas Schneider</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Germany</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1975-06-03</w:t>
                  </w:r>
                </w:p>
              </w:tc>
              <w:tc>
                <w:tcPr>
                  <w:tcW w:type="dxa" w:w="15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ID-I6-2026-0002</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100</w:t>
                  </w:r>
                </w:p>
              </w:tc>
              <w:tc>
                <w:tcPr>
                  <w:tcW w:type="dxa" w:w="28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Building 12, Street 840, Zone 66, West Bay, Doha, State of Qatar</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C. MANAGER / AUTHORIZED SIGNATORY / DIRECTORS / SECRETARY</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96"/>
              <w:gridCol w:w="1296"/>
              <w:gridCol w:w="1396"/>
              <w:gridCol w:w="1097"/>
              <w:gridCol w:w="1496"/>
              <w:gridCol w:w="997"/>
              <w:gridCol w:w="1197"/>
              <w:gridCol w:w="1001"/>
            </w:tblGrid>
            <w:tr>
              <w:trPr>
                <w:cantSplit/>
                <w:tblHeader/>
              </w:trPr>
              <w:tc>
                <w:tcPr>
                  <w:tcW w:type="dxa" w:w="14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Full name</w:t>
                  </w:r>
                </w:p>
              </w:tc>
              <w:tc>
                <w:tcPr>
                  <w:tcW w:type="dxa" w:w="12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Position</w:t>
                  </w:r>
                </w:p>
              </w:tc>
              <w:tc>
                <w:tcPr>
                  <w:tcW w:type="dxa" w:w="13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Entity</w:t>
                  </w:r>
                </w:p>
              </w:tc>
              <w:tc>
                <w:tcPr>
                  <w:tcW w:type="dxa" w:w="10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Nationality</w:t>
                  </w:r>
                </w:p>
              </w:tc>
              <w:tc>
                <w:tcPr>
                  <w:tcW w:type="dxa" w:w="14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Address</w:t>
                  </w:r>
                </w:p>
              </w:tc>
              <w:tc>
                <w:tcPr>
                  <w:tcW w:type="dxa" w:w="9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DOB</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ID No.</w:t>
                  </w:r>
                </w:p>
              </w:tc>
              <w:tc>
                <w:tcPr>
                  <w:tcW w:type="dxa" w:w="1001"/>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Signatory</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Johnathan Alexander Montgomery-Fitzgerald III</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Chief Executive Officer</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United Kingdom</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Tower 3, Floor 41, The Pearl, Doha</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1979-11-20</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PASSPORT-XX-000</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Priya Raghunathan Venkataraman</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Director</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India</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Doha, Qatar</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1979-11-21</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PASSPORT-XXX-001</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محمد بن عبدالله آل ثاني</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Company Secretary</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Qatar</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Tower 3, Floor 41, The Pearl, Doha</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1979-11-22</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PASSPORT-XXXX-002</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Lukas Schneider</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Authorised Signatory</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Germany</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Doha, Qatar</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1979-11-23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PASSPORT-XXXXX-003</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Élodie Marchand-Dubois</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Finance Director</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France</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Tower 3, Floor 41, The Pearl, Doha</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1979-11-24</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PASSPORT-XXXXXX-004</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Director</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Gulf Horizon Strategic Holdings and Investments W.L.L.</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Doha, Qatar</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D. COMPLIANCE AND RISK INFORMATION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Any PEP exposure?: </w:t>
                  </w:r>
                  <w:r>
                    <w:rPr>
                      <w:rFonts w:ascii="Arial" w:cs="Arial" w:eastAsia="Arial" w:hAnsi="Arial"/>
                      <w:b w:val="false"/>
                      <w:bCs w:val="false"/>
                      <w:color w:val="0F172A"/>
                      <w:sz w:val="17"/>
                      <w:szCs w:val="17"/>
                    </w:rPr>
                    <w:t xml:space="preserve">Yes</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PEP details: </w:t>
                  </w:r>
                  <w:r>
                    <w:rPr>
                      <w:rFonts w:ascii="Arial" w:cs="Arial" w:eastAsia="Arial" w:hAnsi="Arial"/>
                      <w:b w:val="false"/>
                      <w:bCs w:val="false"/>
                      <w:color w:val="0F172A"/>
                      <w:sz w:val="17"/>
                      <w:szCs w:val="17"/>
                    </w:rPr>
                    <w:t xml:space="preserve">One beneficial person holds a senior government advisory role.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Any sanction exposure?: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Sanction details: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Any dual citizenship?: </w:t>
                  </w:r>
                  <w:r>
                    <w:rPr>
                      <w:rFonts w:ascii="Arial" w:cs="Arial" w:eastAsia="Arial" w:hAnsi="Arial"/>
                      <w:b w:val="false"/>
                      <w:bCs w:val="false"/>
                      <w:color w:val="0F172A"/>
                      <w:sz w:val="17"/>
                      <w:szCs w:val="17"/>
                    </w:rPr>
                    <w:t xml:space="preserve">Yes</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Dual citizenship details: </w:t>
                  </w:r>
                  <w:r>
                    <w:rPr>
                      <w:rFonts w:ascii="Arial" w:cs="Arial" w:eastAsia="Arial" w:hAnsi="Arial"/>
                      <w:b w:val="false"/>
                      <w:bCs w:val="false"/>
                      <w:color w:val="0F172A"/>
                      <w:sz w:val="17"/>
                      <w:szCs w:val="17"/>
                    </w:rPr>
                    <w:t xml:space="preserve">United Kingdom and Ireland.</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E. KEY COMMUNICATION PERSON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Full name: </w:t>
                  </w:r>
                  <w:r>
                    <w:rPr>
                      <w:rFonts w:ascii="Arial" w:cs="Arial" w:eastAsia="Arial" w:hAnsi="Arial"/>
                      <w:b w:val="false"/>
                      <w:bCs w:val="false"/>
                      <w:color w:val="0F172A"/>
                      <w:sz w:val="17"/>
                      <w:szCs w:val="17"/>
                    </w:rPr>
                    <w:t xml:space="preserve">Priya Raghunathan Venkataraman</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Position / Job title: </w:t>
                  </w:r>
                  <w:r>
                    <w:rPr>
                      <w:rFonts w:ascii="Arial" w:cs="Arial" w:eastAsia="Arial" w:hAnsi="Arial"/>
                      <w:b w:val="false"/>
                      <w:bCs w:val="false"/>
                      <w:color w:val="0F172A"/>
                      <w:sz w:val="17"/>
                      <w:szCs w:val="17"/>
                    </w:rPr>
                    <w:t xml:space="preserve">Head of Group Compliance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Nationality: </w:t>
                  </w:r>
                  <w:r>
                    <w:rPr>
                      <w:rFonts w:ascii="Arial" w:cs="Arial" w:eastAsia="Arial" w:hAnsi="Arial"/>
                      <w:b w:val="false"/>
                      <w:bCs w:val="false"/>
                      <w:color w:val="0F172A"/>
                      <w:sz w:val="17"/>
                      <w:szCs w:val="17"/>
                    </w:rPr>
                    <w:t xml:space="preserve">India</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QID / Passport Number: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Mobile Number: </w:t>
                  </w:r>
                  <w:r>
                    <w:rPr>
                      <w:rFonts w:ascii="Arial" w:cs="Arial" w:eastAsia="Arial" w:hAnsi="Arial"/>
                      <w:b w:val="false"/>
                      <w:bCs w:val="false"/>
                      <w:color w:val="0F172A"/>
                      <w:sz w:val="17"/>
                      <w:szCs w:val="17"/>
                    </w:rPr>
                    <w:t xml:space="preserve">+974 5555 1234</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Email: </w:t>
                  </w:r>
                  <w:r>
                    <w:rPr>
                      <w:rFonts w:ascii="Arial" w:cs="Arial" w:eastAsia="Arial" w:hAnsi="Arial"/>
                      <w:b w:val="false"/>
                      <w:bCs w:val="false"/>
                      <w:color w:val="0F172A"/>
                      <w:sz w:val="17"/>
                      <w:szCs w:val="17"/>
                    </w:rPr>
                    <w:t xml:space="preserve">priya.venkataraman@gulf-horizon.example.test</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F. REQUIRED DOCUMENTS CHECKLIST</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7980"/>
              <w:gridCol w:w="1996"/>
            </w:tblGrid>
            <w:tr>
              <w:trPr>
                <w:cantSplit/>
                <w:tblHeader/>
              </w:trPr>
              <w:tc>
                <w:tcPr>
                  <w:tcW w:type="dxa" w:w="7980"/>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Document</w:t>
                  </w:r>
                </w:p>
              </w:tc>
              <w:tc>
                <w:tcPr>
                  <w:tcW w:type="dxa" w:w="19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Received</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Commercial Registration / CR Extract</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Entity Card / Computer Card</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Certificate of Incorporation</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Articles of Association</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QID / Passport copies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CR of legal entity parties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National address certificates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Latest Audited Financial Statements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Tax Card</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bl>
          <w:p>
            <w:pPr>
              <w:spacing w:after="0" w:before="0" w:line="120" w:lineRule="exact"/>
            </w:pP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9976"/>
                  <w:gridSpan w:val="2"/>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Additional notes for KYC preparation documents: </w:t>
                  </w:r>
                  <w:r>
                    <w:rPr>
                      <w:rFonts w:ascii="Arial" w:cs="Arial" w:eastAsia="Arial" w:hAnsi="Arial"/>
                      <w:b w:val="false"/>
                      <w:bCs w:val="false"/>
                      <w:color w:val="0F172A"/>
                      <w:sz w:val="17"/>
                      <w:szCs w:val="17"/>
                    </w:rPr>
                    <w:t xml:space="preserve">-</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G. CLIENT DECLARATION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Full name: </w:t>
                  </w:r>
                  <w:r>
                    <w:rPr>
                      <w:rFonts w:ascii="Arial" w:cs="Arial" w:eastAsia="Arial" w:hAnsi="Arial"/>
                      <w:b w:val="false"/>
                      <w:bCs w:val="false"/>
                      <w:color w:val="0F172A"/>
                      <w:sz w:val="17"/>
                      <w:szCs w:val="17"/>
                    </w:rPr>
                    <w:t xml:space="preserve">Johnathan Alexander Montgomery-Fitzgerald III</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Position: </w:t>
                  </w:r>
                  <w:r>
                    <w:rPr>
                      <w:rFonts w:ascii="Arial" w:cs="Arial" w:eastAsia="Arial" w:hAnsi="Arial"/>
                      <w:b w:val="false"/>
                      <w:bCs w:val="false"/>
                      <w:color w:val="0F172A"/>
                      <w:sz w:val="17"/>
                      <w:szCs w:val="17"/>
                    </w:rPr>
                    <w:t xml:space="preserve">Director</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2026-10-05</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Authorized signature: </w:t>
                  </w:r>
                  <w:r>
                    <w:rPr>
                      <w:rFonts w:ascii="Arial" w:cs="Arial" w:eastAsia="Arial" w:hAnsi="Arial"/>
                      <w:b w:val="false"/>
                      <w:bCs w:val="false"/>
                      <w:color w:val="0F172A"/>
                      <w:sz w:val="17"/>
                      <w:szCs w:val="17"/>
                    </w:rPr>
                    <w:t xml:space="preserve">-</w:t>
                  </w:r>
                </w:p>
              </w:tc>
            </w:tr>
            <w:tr>
              <w:trPr>
                <w:cantSplit/>
                <w:trHeight w:val="400" w:hRule="atLeast"/>
              </w:trPr>
              <w:tc>
                <w:tcPr>
                  <w:tcW w:type="dxa" w:w="9976"/>
                  <w:gridSpan w:val="2"/>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Company stamp: </w:t>
                  </w:r>
                  <w:r>
                    <w:rPr>
                      <w:rFonts w:ascii="Arial" w:cs="Arial" w:eastAsia="Arial" w:hAnsi="Arial"/>
                      <w:b w:val="false"/>
                      <w:bCs w:val="false"/>
                      <w:color w:val="0F172A"/>
                      <w:sz w:val="17"/>
                      <w:szCs w:val="17"/>
                    </w:rPr>
                    <w:t xml:space="preserve">-</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H. INTERNAL USE ONLY</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classification: </w:t>
                  </w:r>
                  <w:r>
                    <w:rPr>
                      <w:rFonts w:ascii="Arial" w:cs="Arial" w:eastAsia="Arial" w:hAnsi="Arial"/>
                      <w:b w:val="false"/>
                      <w:bCs w:val="false"/>
                      <w:color w:val="0F172A"/>
                      <w:sz w:val="17"/>
                      <w:szCs w:val="17"/>
                    </w:rPr>
                    <w:t xml:space="preserve">High</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Due diligence type: </w:t>
                  </w:r>
                  <w:r>
                    <w:rPr>
                      <w:rFonts w:ascii="Arial" w:cs="Arial" w:eastAsia="Arial" w:hAnsi="Arial"/>
                      <w:b w:val="false"/>
                      <w:bCs w:val="false"/>
                      <w:color w:val="0F172A"/>
                      <w:sz w:val="17"/>
                      <w:szCs w:val="17"/>
                    </w:rPr>
                    <w:t xml:space="preserve">Enhanced</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AML SUPERVISOR</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The Company is a holding company of an existing client. No adverse media, sanctions, or PEP concerns were identified in respect of the UBO, Director, and SEF. The KYC has been prepared and submitted to the DMLRO for review.</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DMLRO</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Name: </w:t>
                  </w:r>
                  <w:r>
                    <w:rPr>
                      <w:rFonts w:ascii="Arial" w:cs="Arial" w:eastAsia="Arial" w:hAnsi="Arial"/>
                      <w:b w:val="false"/>
                      <w:bCs w:val="false"/>
                      <w:color w:val="0F172A"/>
                      <w:sz w:val="17"/>
                      <w:szCs w:val="17"/>
                    </w:rPr>
                    <w:t xml:space="preserve">Sample DMLRO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Signature:</w:t>
                  </w:r>
                </w:p>
                <w:p>
                  <w:pPr>
                    <w:spacing w:after="0" w:before="30"/>
                  </w:pPr>
                  <w:r>
                    <w:drawing>
                      <wp:inline distT="0" distB="0" distL="0" distR="0">
                        <wp:extent cx="1838325" cy="457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38325" cy="457200"/>
                                </a:xfrm>
                                <a:prstGeom prst="rect">
                                  <a:avLst/>
                                </a:prstGeom>
                              </pic:spPr>
                            </pic:pic>
                          </a:graphicData>
                        </a:graphic>
                      </wp:inline>
                    </w:drawing>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classification: </w:t>
                  </w:r>
                  <w:r>
                    <w:rPr>
                      <w:rFonts w:ascii="Arial" w:cs="Arial" w:eastAsia="Arial" w:hAnsi="Arial"/>
                      <w:b w:val="false"/>
                      <w:bCs w:val="false"/>
                      <w:color w:val="0F172A"/>
                      <w:sz w:val="17"/>
                      <w:szCs w:val="17"/>
                    </w:rPr>
                    <w:t xml:space="preserve">Low</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Decision: </w:t>
                  </w:r>
                  <w:r>
                    <w:rPr>
                      <w:rFonts w:ascii="Arial" w:cs="Arial" w:eastAsia="Arial" w:hAnsi="Arial"/>
                      <w:b w:val="false"/>
                      <w:bCs w:val="false"/>
                      <w:color w:val="0F172A"/>
                      <w:sz w:val="17"/>
                      <w:szCs w:val="17"/>
                    </w:rPr>
                    <w:t xml:space="preserve">Approve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Conditions: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Reason: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PEP exposure confirmed; enhanced due diligence applied. Source of wealth evidence reviewed and accepted.</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MLRO</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Name: </w:t>
                  </w:r>
                  <w:r>
                    <w:rPr>
                      <w:rFonts w:ascii="Arial" w:cs="Arial" w:eastAsia="Arial" w:hAnsi="Arial"/>
                      <w:b w:val="false"/>
                      <w:bCs w:val="false"/>
                      <w:color w:val="0F172A"/>
                      <w:sz w:val="17"/>
                      <w:szCs w:val="17"/>
                    </w:rPr>
                    <w:t xml:space="preserve">Sample MLRO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Signature:</w:t>
                  </w:r>
                </w:p>
                <w:p>
                  <w:pPr>
                    <w:spacing w:after="0" w:before="30"/>
                  </w:pPr>
                  <w:r>
                    <w:drawing>
                      <wp:inline distT="0" distB="0" distL="0" distR="0">
                        <wp:extent cx="1838325" cy="457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38325" cy="457200"/>
                                </a:xfrm>
                                <a:prstGeom prst="rect">
                                  <a:avLst/>
                                </a:prstGeom>
                              </pic:spPr>
                            </pic:pic>
                          </a:graphicData>
                        </a:graphic>
                      </wp:inline>
                    </w:drawing>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Final decision: </w:t>
                  </w:r>
                  <w:r>
                    <w:rPr>
                      <w:rFonts w:ascii="Arial" w:cs="Arial" w:eastAsia="Arial" w:hAnsi="Arial"/>
                      <w:b w:val="false"/>
                      <w:bCs w:val="false"/>
                      <w:color w:val="0F172A"/>
                      <w:sz w:val="17"/>
                      <w:szCs w:val="17"/>
                    </w:rPr>
                    <w:t xml:space="preserve">Send to SEF</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Final risk classification: </w:t>
                  </w:r>
                  <w:r>
                    <w:rPr>
                      <w:rFonts w:ascii="Arial" w:cs="Arial" w:eastAsia="Arial" w:hAnsi="Arial"/>
                      <w:b w:val="false"/>
                      <w:bCs w:val="false"/>
                      <w:color w:val="0F172A"/>
                      <w:sz w:val="17"/>
                      <w:szCs w:val="17"/>
                    </w:rPr>
                    <w:t xml:space="preserve">High</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reason category: </w:t>
                  </w:r>
                  <w:r>
                    <w:rPr>
                      <w:rFonts w:ascii="Arial" w:cs="Arial" w:eastAsia="Arial" w:hAnsi="Arial"/>
                      <w:b w:val="false"/>
                      <w:bCs w:val="false"/>
                      <w:color w:val="0F172A"/>
                      <w:sz w:val="17"/>
                      <w:szCs w:val="17"/>
                    </w:rPr>
                    <w:t xml:space="preserve">PEP exposure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explanation: </w:t>
                  </w:r>
                  <w:r>
                    <w:rPr>
                      <w:rFonts w:ascii="Arial" w:cs="Arial" w:eastAsia="Arial" w:hAnsi="Arial"/>
                      <w:b w:val="false"/>
                      <w:bCs w:val="false"/>
                      <w:color w:val="0F172A"/>
                      <w:sz w:val="17"/>
                      <w:szCs w:val="17"/>
                    </w:rPr>
                    <w:t xml:space="preserve">Beneficial person is a domestic PEP.</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Conditions: </w:t>
                  </w:r>
                  <w:r>
                    <w:rPr>
                      <w:rFonts w:ascii="Arial" w:cs="Arial" w:eastAsia="Arial" w:hAnsi="Arial"/>
                      <w:b w:val="false"/>
                      <w:bCs w:val="false"/>
                      <w:color w:val="0F172A"/>
                      <w:sz w:val="17"/>
                      <w:szCs w:val="17"/>
                    </w:rPr>
                    <w:t xml:space="preserve">-</w:t>
                  </w:r>
                </w:p>
              </w:tc>
            </w:tr>
            <w:tr>
              <w:trPr>
                <w:cantSplit/>
                <w:trHeight w:val="400" w:hRule="atLeast"/>
              </w:trPr>
              <w:tc>
                <w:tcPr>
                  <w:tcW w:type="dxa" w:w="9976"/>
                  <w:gridSpan w:val="2"/>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Approve to proceed with the EL.</w:t>
                  </w:r>
                </w:p>
                <w:p>
                  <w:pPr>
                    <w:spacing w:after="0" w:before="0" w:line="252" w:lineRule="auto"/>
                    <w:jc w:val="left"/>
                  </w:pPr>
                  <w:r>
                    <w:rPr>
                      <w:rFonts w:ascii="Arial" w:cs="Arial" w:eastAsia="Arial" w:hAnsi="Arial"/>
                      <w:b w:val="false"/>
                      <w:bCs w:val="false"/>
                      <w:color w:val="0F172A"/>
                      <w:sz w:val="17"/>
                      <w:szCs w:val="17"/>
                    </w:rPr>
                    <w:t xml:space="preserve"/>
                  </w:r>
                </w:p>
                <w:p>
                  <w:pPr>
                    <w:spacing w:after="0" w:before="0" w:line="252" w:lineRule="auto"/>
                    <w:jc w:val="left"/>
                  </w:pPr>
                  <w:r>
                    <w:rPr>
                      <w:rFonts w:ascii="Arial" w:cs="Arial" w:eastAsia="Arial" w:hAnsi="Arial"/>
                      <w:b w:val="false"/>
                      <w:bCs w:val="false"/>
                      <w:color w:val="0F172A"/>
                      <w:sz w:val="17"/>
                      <w:szCs w:val="17"/>
                    </w:rPr>
                    <w:t xml:space="preserve">Low Risk.</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SEF</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Name: </w:t>
                  </w:r>
                  <w:r>
                    <w:rPr>
                      <w:rFonts w:ascii="Arial" w:cs="Arial" w:eastAsia="Arial" w:hAnsi="Arial"/>
                      <w:b w:val="false"/>
                      <w:bCs w:val="false"/>
                      <w:color w:val="0F172A"/>
                      <w:sz w:val="17"/>
                      <w:szCs w:val="17"/>
                    </w:rPr>
                    <w:t xml:space="preserve">Sample SEF Member</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2026-10-05</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Signature:</w:t>
                  </w:r>
                </w:p>
                <w:p>
                  <w:pPr>
                    <w:spacing w:after="0" w:before="30"/>
                  </w:pPr>
                  <w:r>
                    <w:drawing>
                      <wp:inline distT="0" distB="0" distL="0" distR="0">
                        <wp:extent cx="1838325" cy="457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38325" cy="457200"/>
                                </a:xfrm>
                                <a:prstGeom prst="rect">
                                  <a:avLst/>
                                </a:prstGeom>
                              </pic:spPr>
                            </pic:pic>
                          </a:graphicData>
                        </a:graphic>
                      </wp:inline>
                    </w:drawing>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Management decision: </w:t>
                  </w:r>
                  <w:r>
                    <w:rPr>
                      <w:rFonts w:ascii="Arial" w:cs="Arial" w:eastAsia="Arial" w:hAnsi="Arial"/>
                      <w:b w:val="false"/>
                      <w:bCs w:val="false"/>
                      <w:color w:val="0F172A"/>
                      <w:sz w:val="17"/>
                      <w:szCs w:val="17"/>
                    </w:rPr>
                    <w:t xml:space="preserve">Approve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Conditions: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Approved subject to annual review.</w:t>
                  </w:r>
                </w:p>
              </w:tc>
            </w:tr>
          </w:tbl>
          <w:p>
            <w:pPr>
              <w:spacing w:after="0" w:before="0" w:line="20" w:lineRule="exact"/>
            </w:pPr>
          </w:p>
        </w:tc>
      </w:tr>
    </w:tbl>
    <w:sectPr>
      <w:headerReference w:type="default" r:id="rId6"/>
      <w:footerReference w:type="default" r:id="rId7"/>
      <w:pgSz w:w="11906" w:h="16838" w:orient="portrait"/>
      <w:pgMar w:top="2000" w:right="850" w:bottom="1000" w:left="850" w:header="300" w:footer="535"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drawing>
        <wp:anchor distT="0" distB="0" distL="0" distR="0" simplePos="0" allowOverlap="1" behindDoc="1" locked="0" layoutInCell="1" relativeHeight="276225">
          <wp:simplePos x="0" y="0"/>
          <wp:positionH relativeFrom="page">
            <wp:posOffset>0</wp:posOffset>
          </wp:positionH>
          <wp:positionV relativeFrom="page">
            <wp:posOffset>10226000</wp:posOffset>
          </wp:positionV>
          <wp:extent cx="7562850" cy="27622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27622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971550">
          <wp:simplePos x="0" y="0"/>
          <wp:positionH relativeFrom="page">
            <wp:posOffset>0</wp:posOffset>
          </wp:positionH>
          <wp:positionV relativeFrom="page">
            <wp:posOffset>217719</wp:posOffset>
          </wp:positionV>
          <wp:extent cx="7562850" cy="971550"/>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9715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17"/>
        <w:szCs w:val="17"/>
      </w:rPr>
    </w:rPrDefault>
    <w:pPrDefault>
      <w:pPr>
        <w:spacing w:after="0" w:line="252"/>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537182f2b22df9fbcedc412311674f7c4eb690f.png"/><Relationship Id="rId10" Type="http://schemas.openxmlformats.org/officeDocument/2006/relationships/image" Target="media/66c315b0efdb6aeddd455039d22485df514cff07.png"/><Relationship Id="rId11" Type="http://schemas.openxmlformats.org/officeDocument/2006/relationships/image" Target="media/c8d53530ee2d95ccd2bf622d72e983842bf3fefc.png"/><Relationship Id="rId12" Type="http://schemas.openxmlformats.org/officeDocument/2006/relationships/image" Target="media/334dada9e2ad8d1a52c364d47db3daaa40fe93b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6bbede683be80ac852253d7f5f2e0d1f4b509c5.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757caa655c4b5d915b6823c999923b2fc31ca6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 Your Customer Form - Gulf Horizon Strategic Holdings and Investments W.L.L. (Qatar Financial Centre Branch)</dc:title>
  <dc:creator>Newoon MIS</dc:creator>
  <dc:description>KYC document KYC-2026-0042 v3</dc:description>
  <cp:lastModifiedBy>Un-named</cp:lastModifiedBy>
  <cp:revision>1</cp:revision>
  <dcterms:created xsi:type="dcterms:W3CDTF">2026-10-05T08:14:53.257Z</dcterms:created>
  <dcterms:modified xsi:type="dcterms:W3CDTF">2026-10-05T08:14:53.257Z</dcterms:modified>
</cp:coreProperties>
</file>

<file path=docProps/custom.xml><?xml version="1.0" encoding="utf-8"?>
<Properties xmlns="http://schemas.openxmlformats.org/officeDocument/2006/custom-properties" xmlns:vt="http://schemas.openxmlformats.org/officeDocument/2006/docPropsVTypes"/>
</file>