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480" w:lineRule="auto"/>
        <w:jc w:val="center"/>
        <w:rPr>
          <w:rFonts w:ascii="Times" w:cs="Times" w:eastAsia="Times" w:hAnsi="Times"/>
          <w:sz w:val="22"/>
          <w:szCs w:val="22"/>
          <w:u w:val="single"/>
        </w:rPr>
      </w:pPr>
      <w:bookmarkStart w:colFirst="0" w:colLast="0" w:name="_whgfl5gxllu8" w:id="0"/>
      <w:bookmarkEnd w:id="0"/>
      <w:r w:rsidDel="00000000" w:rsidR="00000000" w:rsidRPr="00000000">
        <w:rPr>
          <w:rFonts w:ascii="Times" w:cs="Times" w:eastAsia="Times" w:hAnsi="Times"/>
          <w:b w:val="1"/>
          <w:color w:val="000000"/>
          <w:sz w:val="22"/>
          <w:szCs w:val="22"/>
          <w:u w:val="single"/>
          <w:rtl w:val="0"/>
        </w:rPr>
        <w:t xml:space="preserve">Media Bias and the Citizenship Amendment Act: An Analysis of The Indian News Coverage</w:t>
      </w:r>
      <w:r w:rsidDel="00000000" w:rsidR="00000000" w:rsidRPr="00000000">
        <w:rPr>
          <w:rtl w:val="0"/>
        </w:rPr>
      </w:r>
    </w:p>
    <w:p w:rsidR="00000000" w:rsidDel="00000000" w:rsidP="00000000" w:rsidRDefault="00000000" w:rsidRPr="00000000" w14:paraId="00000002">
      <w:pPr>
        <w:pStyle w:val="Heading3"/>
        <w:keepNext w:val="0"/>
        <w:keepLines w:val="0"/>
        <w:spacing w:before="280" w:line="480" w:lineRule="auto"/>
        <w:rPr>
          <w:rFonts w:ascii="Times" w:cs="Times" w:eastAsia="Times" w:hAnsi="Times"/>
          <w:b w:val="1"/>
          <w:color w:val="000000"/>
          <w:sz w:val="24"/>
          <w:szCs w:val="24"/>
        </w:rPr>
      </w:pPr>
      <w:bookmarkStart w:colFirst="0" w:colLast="0" w:name="_waxfpu1qkj48" w:id="1"/>
      <w:bookmarkEnd w:id="1"/>
      <w:r w:rsidDel="00000000" w:rsidR="00000000" w:rsidRPr="00000000">
        <w:rPr>
          <w:rFonts w:ascii="Times" w:cs="Times" w:eastAsia="Times" w:hAnsi="Times"/>
          <w:b w:val="1"/>
          <w:color w:val="000000"/>
          <w:sz w:val="24"/>
          <w:szCs w:val="24"/>
          <w:rtl w:val="0"/>
        </w:rPr>
        <w:t xml:space="preserve">Introduction</w:t>
      </w:r>
    </w:p>
    <w:p w:rsidR="00000000" w:rsidDel="00000000" w:rsidP="00000000" w:rsidRDefault="00000000" w:rsidRPr="00000000" w14:paraId="00000003">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Citizenship Amendment Act (CAA), passed by the Indian Parliament in December 2019, marked a significant shift in India’s approach to citizenship. The Act fast-tracked Indian citizenship for non-Muslim immigrants from Pakistan, Afghanistan, and Bangladesh, sparking widespread protests across the country. Critics argued that by explicitly excluding Muslims, the CAA violated the secular foundations of the Indian Constitution. When paired with the proposed National Register of Citizens (NRC), the policy threatened to disenfranchise millions—particularly Muslims lacking official documentation (Chatterji et al., 2020).</w:t>
      </w:r>
    </w:p>
    <w:p w:rsidR="00000000" w:rsidDel="00000000" w:rsidP="00000000" w:rsidRDefault="00000000" w:rsidRPr="00000000" w14:paraId="00000004">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These protests, ranging from student-led sit-ins to nationwide demonstrations, revealed deep political and religious divides. Supporters framed the Act as a humanitarian effort to protect persecuted minorities, while opponents viewed it as a discriminatory tool of exclusion. Amid this polarized climate, the Indian media became more than observers—they played an active role in shaping public opinion.</w:t>
      </w:r>
    </w:p>
    <w:p w:rsidR="00000000" w:rsidDel="00000000" w:rsidP="00000000" w:rsidRDefault="00000000" w:rsidRPr="00000000" w14:paraId="0000000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paper explores how Indian media coverage of the CAA protests revealed consistent patterns of bias. By analyzing both mainstream and independent news outlets, it investigates how narratives were constructed and disseminated. It argues that media framing significantly influenced public perception of the protests, the protestors, and the government's response.</w:t>
      </w:r>
    </w:p>
    <w:p w:rsidR="00000000" w:rsidDel="00000000" w:rsidP="00000000" w:rsidRDefault="00000000" w:rsidRPr="00000000" w14:paraId="00000006">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480" w:lineRule="auto"/>
        <w:rPr>
          <w:rFonts w:ascii="Times" w:cs="Times" w:eastAsia="Times" w:hAnsi="Times"/>
          <w:b w:val="1"/>
          <w:color w:val="000000"/>
          <w:sz w:val="24"/>
          <w:szCs w:val="24"/>
        </w:rPr>
      </w:pPr>
      <w:bookmarkStart w:colFirst="0" w:colLast="0" w:name="_mptdwgyat2o" w:id="2"/>
      <w:bookmarkEnd w:id="2"/>
      <w:r w:rsidDel="00000000" w:rsidR="00000000" w:rsidRPr="00000000">
        <w:rPr>
          <w:rFonts w:ascii="Times" w:cs="Times" w:eastAsia="Times" w:hAnsi="Times"/>
          <w:b w:val="1"/>
          <w:color w:val="000000"/>
          <w:sz w:val="24"/>
          <w:szCs w:val="24"/>
          <w:rtl w:val="0"/>
        </w:rPr>
        <w:t xml:space="preserve">The CAA and Its Critics</w:t>
      </w:r>
    </w:p>
    <w:p w:rsidR="00000000" w:rsidDel="00000000" w:rsidP="00000000" w:rsidRDefault="00000000" w:rsidRPr="00000000" w14:paraId="00000009">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Citizenship Amendment Act (CAA) amended India’s Citizenship Act of 1955 to provide a pathway to citizenship for undocumented migrants who entered India before December 31, 2014—provided they belonged to Hindu, Sikh, Buddhist, Jain, Parsi, or Christian communities from Pakistan, Bangladesh, or Afghanistan. This marked the first time religion was used as a criterion for Indian citizenship, explicitly excluding Muslims (Bhatia, 2020). Critics argued that this religious selectivity introduced a discriminatory structure into citizenship law, challenging the secular fabric of India’s democracy.</w:t>
      </w:r>
    </w:p>
    <w:p w:rsidR="00000000" w:rsidDel="00000000" w:rsidP="00000000" w:rsidRDefault="00000000" w:rsidRPr="00000000" w14:paraId="0000000A">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government framed the Act as a humanitarian initiative to support persecuted minorities from neighboring Islamic countries. However, this justification faced backlash, as India itself was accused of marginalizing its own Muslim population. Critics raised two major concerns. First, the religious exclusivity of the CAA was widely seen as incompatible with Article 14 of the Indian Constitution, which guarantees equality before the law. Second, when combined with the National Register of Citizens (NRC)—a policy requiring individuals to provide documentary proof of citizenship—critics feared that the CAA could protect undocumented non-Muslims while rendering undocumented Muslims stateless (Jaffrelot &amp; Tillin, 2020).</w:t>
      </w:r>
    </w:p>
    <w:p w:rsidR="00000000" w:rsidDel="00000000" w:rsidP="00000000" w:rsidRDefault="00000000" w:rsidRPr="00000000" w14:paraId="0000000B">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selective inclusion, coupled with bureaucratic scrutiny, generated widespread fear and unrest, especially among India’s approximately 200 million Muslims. The combined effect of the CAA and NRC transformed what appeared to be a legislative amendment into a national crisis—fueling mass protests and putting India’s secular democratic identity under significant strain.</w:t>
      </w:r>
    </w:p>
    <w:p w:rsidR="00000000" w:rsidDel="00000000" w:rsidP="00000000" w:rsidRDefault="00000000" w:rsidRPr="00000000" w14:paraId="0000000C">
      <w:pPr>
        <w:pStyle w:val="Heading3"/>
        <w:keepNext w:val="0"/>
        <w:keepLines w:val="0"/>
        <w:spacing w:before="280" w:line="480" w:lineRule="auto"/>
        <w:rPr>
          <w:rFonts w:ascii="Times" w:cs="Times" w:eastAsia="Times" w:hAnsi="Times"/>
          <w:b w:val="1"/>
          <w:color w:val="000000"/>
          <w:sz w:val="24"/>
          <w:szCs w:val="24"/>
        </w:rPr>
      </w:pPr>
      <w:bookmarkStart w:colFirst="0" w:colLast="0" w:name="_t3w9zq6h443l" w:id="3"/>
      <w:bookmarkEnd w:id="3"/>
      <w:r w:rsidDel="00000000" w:rsidR="00000000" w:rsidRPr="00000000">
        <w:rPr>
          <w:rFonts w:ascii="Times" w:cs="Times" w:eastAsia="Times" w:hAnsi="Times"/>
          <w:b w:val="1"/>
          <w:color w:val="000000"/>
          <w:sz w:val="24"/>
          <w:szCs w:val="24"/>
          <w:rtl w:val="0"/>
        </w:rPr>
        <w:t xml:space="preserve">Media Landscape in India</w:t>
      </w:r>
    </w:p>
    <w:p w:rsidR="00000000" w:rsidDel="00000000" w:rsidP="00000000" w:rsidRDefault="00000000" w:rsidRPr="00000000" w14:paraId="0000000D">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India has one of the largest and most diverse media ecosystems globally, spanning television networks, newspapers in multiple languages, digital news platforms, and radio stations. However, this surface-level pluralism conceals deeper structural issues. Although the media landscape appears fragmented, much of it is controlled by a few powerful conglomerates with close ties to political and corporate interests. Major television networks such as Republic TV, Zee News, and Times Now are owned by or affiliated with entities linked to the ruling political establishment (Chadha &amp; Guha, 2021).</w:t>
      </w:r>
    </w:p>
    <w:p w:rsidR="00000000" w:rsidDel="00000000" w:rsidP="00000000" w:rsidRDefault="00000000" w:rsidRPr="00000000" w14:paraId="0000000E">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concentrated ownership raises concerns about editorial independence, particularly in a political climate where media coverage is often shaped by state influence. The boundaries between journalism and propaganda blur when news outlets depend on government advertising or face threats of regulatory retaliation. Public broadcasters like Doordarshan and All India Radio—once regarded as national assets—now largely serve as platforms for uncritical dissemination of state narratives (Thakurta, 2018).</w:t>
      </w:r>
    </w:p>
    <w:p w:rsidR="00000000" w:rsidDel="00000000" w:rsidP="00000000" w:rsidRDefault="00000000" w:rsidRPr="00000000" w14:paraId="0000000F">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Digital media, once seen as a counterweight to legacy media, now faces similar constraints. While independent platforms like </w:t>
      </w:r>
      <w:r w:rsidDel="00000000" w:rsidR="00000000" w:rsidRPr="00000000">
        <w:rPr>
          <w:rFonts w:ascii="Times" w:cs="Times" w:eastAsia="Times" w:hAnsi="Times"/>
          <w:i w:val="1"/>
          <w:sz w:val="24"/>
          <w:szCs w:val="24"/>
          <w:rtl w:val="0"/>
        </w:rPr>
        <w:t xml:space="preserve">The Wire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sz w:val="24"/>
          <w:szCs w:val="24"/>
          <w:rtl w:val="0"/>
        </w:rPr>
        <w:t xml:space="preserve">Scroll.in</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i w:val="1"/>
          <w:sz w:val="24"/>
          <w:szCs w:val="24"/>
          <w:rtl w:val="0"/>
        </w:rPr>
        <w:t xml:space="preserve">NewsClick</w:t>
      </w:r>
      <w:r w:rsidDel="00000000" w:rsidR="00000000" w:rsidRPr="00000000">
        <w:rPr>
          <w:rFonts w:ascii="Times" w:cs="Times" w:eastAsia="Times" w:hAnsi="Times"/>
          <w:sz w:val="24"/>
          <w:szCs w:val="24"/>
          <w:rtl w:val="0"/>
        </w:rPr>
        <w:t xml:space="preserve"> continue to operate, they often endure legal intimidation, financial restrictions, and targeted harassment. “Soft censorship” tactics—such as selective advertising, tax raids, and defamation lawsuits—have created an environment where critical journalism is increasingly rare and high-risk (Chadha &amp; Guha, 2021).</w:t>
      </w:r>
    </w:p>
    <w:p w:rsidR="00000000" w:rsidDel="00000000" w:rsidP="00000000" w:rsidRDefault="00000000" w:rsidRPr="00000000" w14:paraId="00000010">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 this environment, media bias stems not just from individual editorial decisions but from deeper structural forces—namely ownership concentration, political influence, and economic dependency. Despite widespread claims of a free and open press, the flow of information remains heavily skewed. Dissenting voices are marginalized, and official narratives dominate much of the news cycle.</w:t>
      </w:r>
    </w:p>
    <w:p w:rsidR="00000000" w:rsidDel="00000000" w:rsidP="00000000" w:rsidRDefault="00000000" w:rsidRPr="00000000" w14:paraId="00000013">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480" w:lineRule="auto"/>
        <w:rPr>
          <w:rFonts w:ascii="Times" w:cs="Times" w:eastAsia="Times" w:hAnsi="Times"/>
          <w:b w:val="1"/>
          <w:color w:val="000000"/>
          <w:sz w:val="24"/>
          <w:szCs w:val="24"/>
        </w:rPr>
      </w:pPr>
      <w:bookmarkStart w:colFirst="0" w:colLast="0" w:name="_u9wuhvqeinti" w:id="4"/>
      <w:bookmarkEnd w:id="4"/>
      <w:r w:rsidDel="00000000" w:rsidR="00000000" w:rsidRPr="00000000">
        <w:rPr>
          <w:rFonts w:ascii="Times" w:cs="Times" w:eastAsia="Times" w:hAnsi="Times"/>
          <w:b w:val="1"/>
          <w:color w:val="000000"/>
          <w:sz w:val="24"/>
          <w:szCs w:val="24"/>
          <w:rtl w:val="0"/>
        </w:rPr>
        <w:t xml:space="preserve">Pro-Government Bias in Coverage</w:t>
      </w:r>
    </w:p>
    <w:p w:rsidR="00000000" w:rsidDel="00000000" w:rsidP="00000000" w:rsidRDefault="00000000" w:rsidRPr="00000000" w14:paraId="0000001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Mainstream Indian television news channels played a significant role in shaping public perception of the CAA protests. Outlets such as Republic TV and Zee News frequently framed the demonstrations as disorderly and threatening, often highlighting isolated incidents of violence. This portrayal overshadowed the largely peaceful, student-led, and women-led protests in places like Shaheen Bagh. Protesters were routinely labeled with terms like “anti-national,” “urban Naxals,” or “Islamists,” terms that carry strong negative connotations and evoke associations with extremism or sedition (Sen, 2020).</w:t>
      </w:r>
    </w:p>
    <w:p w:rsidR="00000000" w:rsidDel="00000000" w:rsidP="00000000" w:rsidRDefault="00000000" w:rsidRPr="00000000" w14:paraId="00000016">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framing aligned with the rhetoric used by government officials and pro-establishment social media accounts. Hashtags like #IndiaSupportsCAA and #AntiCAAProtestsHijacked, which trended with visible state support, pushed the narrative that protestors were either misinformed or influenced by hostile political and foreign actors. These strategies worked to delegitimize dissent and undermine the credibility of grassroots opposition.</w:t>
      </w:r>
    </w:p>
    <w:p w:rsidR="00000000" w:rsidDel="00000000" w:rsidP="00000000" w:rsidRDefault="00000000" w:rsidRPr="00000000" w14:paraId="00000017">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bias extended beyond overt labeling. A common tactic was selective framing—highlighting clashes and vandalism while downplaying or ignoring instances of police brutality and non-violent protest. A study by the Centre for the Study of Developing Societies (CSDS) found that several prime-time news programs overlooked eyewitness reports of excessive force in locations such as Jamia Millia Islamia and Aligarh Muslim University (CSDS, 2020).</w:t>
      </w:r>
    </w:p>
    <w:p w:rsidR="00000000" w:rsidDel="00000000" w:rsidP="00000000" w:rsidRDefault="00000000" w:rsidRPr="00000000" w14:paraId="00000019">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Coverage also frequently mirrored official government statements without critical analysis. Remarks by Home Minister Amit Shah and BJP spokespeople were often broadcast unchallenged, presented as fact without follow-up or investigation. This uncritical relay of state messaging fostered an echo chamber in which the government’s version of events was framed as the default truth. This approach contributed to the polarization of public opinion and the ongoing erosion of trust in independent journalism.</w:t>
      </w:r>
    </w:p>
    <w:p w:rsidR="00000000" w:rsidDel="00000000" w:rsidP="00000000" w:rsidRDefault="00000000" w:rsidRPr="00000000" w14:paraId="0000001A">
      <w:pPr>
        <w:pStyle w:val="Heading3"/>
        <w:keepNext w:val="0"/>
        <w:keepLines w:val="0"/>
        <w:spacing w:before="280" w:line="480" w:lineRule="auto"/>
        <w:rPr>
          <w:rFonts w:ascii="Times" w:cs="Times" w:eastAsia="Times" w:hAnsi="Times"/>
          <w:b w:val="1"/>
          <w:color w:val="000000"/>
          <w:sz w:val="24"/>
          <w:szCs w:val="24"/>
        </w:rPr>
      </w:pPr>
      <w:bookmarkStart w:colFirst="0" w:colLast="0" w:name="_39uc6miynk8n" w:id="5"/>
      <w:bookmarkEnd w:id="5"/>
      <w:r w:rsidDel="00000000" w:rsidR="00000000" w:rsidRPr="00000000">
        <w:rPr>
          <w:rtl w:val="0"/>
        </w:rPr>
      </w:r>
    </w:p>
    <w:p w:rsidR="00000000" w:rsidDel="00000000" w:rsidP="00000000" w:rsidRDefault="00000000" w:rsidRPr="00000000" w14:paraId="0000001B">
      <w:pPr>
        <w:pStyle w:val="Heading3"/>
        <w:keepNext w:val="0"/>
        <w:keepLines w:val="0"/>
        <w:spacing w:before="280" w:line="480" w:lineRule="auto"/>
        <w:rPr>
          <w:rFonts w:ascii="Times" w:cs="Times" w:eastAsia="Times" w:hAnsi="Times"/>
          <w:b w:val="1"/>
          <w:color w:val="000000"/>
          <w:sz w:val="24"/>
          <w:szCs w:val="24"/>
        </w:rPr>
      </w:pPr>
      <w:bookmarkStart w:colFirst="0" w:colLast="0" w:name="_ti710oyokmp6" w:id="6"/>
      <w:bookmarkEnd w:id="6"/>
      <w:r w:rsidDel="00000000" w:rsidR="00000000" w:rsidRPr="00000000">
        <w:rPr>
          <w:rFonts w:ascii="Times" w:cs="Times" w:eastAsia="Times" w:hAnsi="Times"/>
          <w:b w:val="1"/>
          <w:color w:val="000000"/>
          <w:sz w:val="24"/>
          <w:szCs w:val="24"/>
          <w:rtl w:val="0"/>
        </w:rPr>
        <w:t xml:space="preserve">Counter-Narratives, Independent Media and the Social Media Divide</w:t>
      </w:r>
    </w:p>
    <w:p w:rsidR="00000000" w:rsidDel="00000000" w:rsidP="00000000" w:rsidRDefault="00000000" w:rsidRPr="00000000" w14:paraId="0000001C">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While much of mainstream Indian television news echoed the government’s stance on the Citizenship Amendment Act, several independent media outlets played a crucial role in documenting alternative narratives. Platforms such as </w:t>
      </w:r>
      <w:r w:rsidDel="00000000" w:rsidR="00000000" w:rsidRPr="00000000">
        <w:rPr>
          <w:rFonts w:ascii="Times" w:cs="Times" w:eastAsia="Times" w:hAnsi="Times"/>
          <w:i w:val="1"/>
          <w:sz w:val="24"/>
          <w:szCs w:val="24"/>
          <w:rtl w:val="0"/>
        </w:rPr>
        <w:t xml:space="preserve">The Wire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sz w:val="24"/>
          <w:szCs w:val="24"/>
          <w:rtl w:val="0"/>
        </w:rPr>
        <w:t xml:space="preserve">Scroll.in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sz w:val="24"/>
          <w:szCs w:val="24"/>
          <w:rtl w:val="0"/>
        </w:rPr>
        <w:t xml:space="preserve">Alt News</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i w:val="1"/>
          <w:sz w:val="24"/>
          <w:szCs w:val="24"/>
          <w:rtl w:val="0"/>
        </w:rPr>
        <w:t xml:space="preserve">Caravan</w:t>
      </w:r>
      <w:r w:rsidDel="00000000" w:rsidR="00000000" w:rsidRPr="00000000">
        <w:rPr>
          <w:rFonts w:ascii="Times" w:cs="Times" w:eastAsia="Times" w:hAnsi="Times"/>
          <w:sz w:val="24"/>
          <w:szCs w:val="24"/>
          <w:rtl w:val="0"/>
        </w:rPr>
        <w:t xml:space="preserve"> reported directly from the ground—highlighting peaceful demonstrations, interviewing protestors, and exposing instances of police violence, particularly in university campuses like Jamia Millia Islamia and Aligarh Muslim University (Jha, 2020).</w:t>
      </w:r>
    </w:p>
    <w:p w:rsidR="00000000" w:rsidDel="00000000" w:rsidP="00000000" w:rsidRDefault="00000000" w:rsidRPr="00000000" w14:paraId="0000001D">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These outlets framed the CAA within a constitutional and human rights lens, emphasizing issues like religious discrimination, the erosion of secularism, and growing state surveillance. However, their efforts faced systemic backlash. Journalists from these platforms were subjected to online harassment, criminal investigations (including First Information Reports or FIRs), and income tax raids. In some instances, cyberattacks and funding restrictions further threatened their operations, illustrating the increasing constraints on press freedom in India (Rao, 2021).</w:t>
      </w:r>
    </w:p>
    <w:p w:rsidR="00000000" w:rsidDel="00000000" w:rsidP="00000000" w:rsidRDefault="00000000" w:rsidRPr="00000000" w14:paraId="0000001E">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At the same time, social media platforms like WhatsApp, Facebook, and Twitter became powerful tools for both activism and disinformation. Activists used them to organize protests and share real-time updates, while pro-government networks exploited them to spread misleading or false claims. Viral posts, often lacking evidence, accused protestors of being backed by foreign interests or Islamist groups—narratives that fueled suspicion and delegitimized the movement (Chakravarty &amp; Roy, 2020).</w:t>
      </w:r>
    </w:p>
    <w:p w:rsidR="00000000" w:rsidDel="00000000" w:rsidP="00000000" w:rsidRDefault="00000000" w:rsidRPr="00000000" w14:paraId="0000001F">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These narratives were amplified by political influencers, IT cells (organized teams promoting a party’s messaging online), and sympathetic news anchors. Algorithms on these platforms, which prioritize engagement over accuracy, reinforced existing biases by creating echo chambers. As a result, many users were repeatedly exposed to only pro-establishment perspectives, intensifying polarization around the CAA debate.</w:t>
      </w:r>
    </w:p>
    <w:p w:rsidR="00000000" w:rsidDel="00000000" w:rsidP="00000000" w:rsidRDefault="00000000" w:rsidRPr="00000000" w14:paraId="00000020">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Together, the suppression of independent journalism and the strategic use of social media produced a highly skewed information ecosystem—one that undermined democratic discourse and distorted public understanding of the protests.</w:t>
      </w:r>
    </w:p>
    <w:p w:rsidR="00000000" w:rsidDel="00000000" w:rsidP="00000000" w:rsidRDefault="00000000" w:rsidRPr="00000000" w14:paraId="00000021">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480" w:lineRule="auto"/>
        <w:rPr>
          <w:rFonts w:ascii="Times" w:cs="Times" w:eastAsia="Times" w:hAnsi="Times"/>
          <w:b w:val="1"/>
          <w:color w:val="000000"/>
          <w:sz w:val="24"/>
          <w:szCs w:val="24"/>
        </w:rPr>
      </w:pPr>
      <w:bookmarkStart w:colFirst="0" w:colLast="0" w:name="_cw4saen6x5jg" w:id="7"/>
      <w:bookmarkEnd w:id="7"/>
      <w:r w:rsidDel="00000000" w:rsidR="00000000" w:rsidRPr="00000000">
        <w:rPr>
          <w:rFonts w:ascii="Times" w:cs="Times" w:eastAsia="Times" w:hAnsi="Times"/>
          <w:b w:val="1"/>
          <w:color w:val="000000"/>
          <w:sz w:val="24"/>
          <w:szCs w:val="24"/>
          <w:rtl w:val="0"/>
        </w:rPr>
        <w:t xml:space="preserve">Impacts of Bias</w:t>
      </w:r>
    </w:p>
    <w:p w:rsidR="00000000" w:rsidDel="00000000" w:rsidP="00000000" w:rsidRDefault="00000000" w:rsidRPr="00000000" w14:paraId="00000023">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Bias in Indian media coverage during the CAA protests had tangible consequences, particularly in shaping public opinion among urban, middle-class audiences. By emphasizing state narratives and portraying protestors as disruptive or “anti-national,” mainstream media shifted attention away from the constitutional and human rights concerns raised by demonstrators. Instead, the focus was redirected toward narratives of law, order, and national security. This framing contributed to the perception that the protests were rooted in misinformation or subversion rather than genuine civic dissent (Rajagopal, 2021).</w:t>
      </w:r>
    </w:p>
    <w:p w:rsidR="00000000" w:rsidDel="00000000" w:rsidP="00000000" w:rsidRDefault="00000000" w:rsidRPr="00000000" w14:paraId="00000024">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approach also undermined peaceful protest as a legitimate democratic practice. For example, the Shaheen Bagh sit-in—led largely by women and characterized by nonviolence—was often overshadowed by reports of isolated clashes elsewhere. By foregrounding conflict and instability, media coverage reduced the movement to a law-and-order issue, obscuring its deeper political and civil rights dimensions.</w:t>
      </w:r>
    </w:p>
    <w:p w:rsidR="00000000" w:rsidDel="00000000" w:rsidP="00000000" w:rsidRDefault="00000000" w:rsidRPr="00000000" w14:paraId="0000002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Media narratives also contributed to a divisive “us vs. them” discourse. Critics of the CAA were often portrayed as aligned with minority extremism or disloyal to the nation, reinforcing communal stereotypes and exacerbating Hindu-Muslim tensions. These representations deepened polarization and deflected attention from the secular and legal critiques at the heart of the opposition.</w:t>
      </w:r>
    </w:p>
    <w:p w:rsidR="00000000" w:rsidDel="00000000" w:rsidP="00000000" w:rsidRDefault="00000000" w:rsidRPr="00000000" w14:paraId="00000026">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polarization was intensified by social media, where algorithm-driven echo chambers promoted emotionally charged and misleading content. The result was a deeply fractured information environment, in which consensus eroded and ideological divides hardened.</w:t>
      </w:r>
    </w:p>
    <w:p w:rsidR="00000000" w:rsidDel="00000000" w:rsidP="00000000" w:rsidRDefault="00000000" w:rsidRPr="00000000" w14:paraId="00000027">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Cumulatively, these trends damaged public trust in media, institutions, and civic engagement. Rather than encouraging critical dialogue, the media environment around the CAA protests narrowed the space for undermined democratic debate.</w:t>
      </w:r>
      <w:r w:rsidDel="00000000" w:rsidR="00000000" w:rsidRPr="00000000">
        <w:rPr>
          <w:rtl w:val="0"/>
        </w:rPr>
      </w:r>
    </w:p>
    <w:p w:rsidR="00000000" w:rsidDel="00000000" w:rsidP="00000000" w:rsidRDefault="00000000" w:rsidRPr="00000000" w14:paraId="00000028">
      <w:pPr>
        <w:pStyle w:val="Heading3"/>
        <w:keepNext w:val="0"/>
        <w:keepLines w:val="0"/>
        <w:spacing w:before="280" w:line="480" w:lineRule="auto"/>
        <w:rPr>
          <w:rFonts w:ascii="Times" w:cs="Times" w:eastAsia="Times" w:hAnsi="Times"/>
          <w:b w:val="1"/>
          <w:color w:val="000000"/>
          <w:sz w:val="24"/>
          <w:szCs w:val="24"/>
        </w:rPr>
      </w:pPr>
      <w:bookmarkStart w:colFirst="0" w:colLast="0" w:name="_cyir2v3gk8mh" w:id="8"/>
      <w:bookmarkEnd w:id="8"/>
      <w:r w:rsidDel="00000000" w:rsidR="00000000" w:rsidRPr="00000000">
        <w:rPr>
          <w:rFonts w:ascii="Times" w:cs="Times" w:eastAsia="Times" w:hAnsi="Times"/>
          <w:b w:val="1"/>
          <w:color w:val="000000"/>
          <w:sz w:val="24"/>
          <w:szCs w:val="24"/>
          <w:rtl w:val="0"/>
        </w:rPr>
        <w:t xml:space="preserve">Conclusion</w:t>
      </w:r>
    </w:p>
    <w:p w:rsidR="00000000" w:rsidDel="00000000" w:rsidP="00000000" w:rsidRDefault="00000000" w:rsidRPr="00000000" w14:paraId="00000029">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media coverage of the Citizenship Amendment Act (CAA) protests revealed not only ideological biases in mainstream news but also structural vulnerabilities within Indian journalism. The widespread pro-government slant, suppression of dissent, and reliance on sensationalism over substance pointed to a media environment where press freedom is increasingly constrained and its democratic function weakened.</w:t>
      </w:r>
    </w:p>
    <w:p w:rsidR="00000000" w:rsidDel="00000000" w:rsidP="00000000" w:rsidRDefault="00000000" w:rsidRPr="00000000" w14:paraId="0000002A">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As independent journalism came under pressure—through legal intimidation, financial constraints, and digital suppression—mainstream media failed to uphold its role as a democratic watchdog. Rather than promoting informed public debate, coverage often fueled mistrust, amplified polarization, and delegitimize peaceful protest.</w:t>
      </w:r>
    </w:p>
    <w:p w:rsidR="00000000" w:rsidDel="00000000" w:rsidP="00000000" w:rsidRDefault="00000000" w:rsidRPr="00000000" w14:paraId="0000002B">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These trends underscore the need for structural reforms. Strengthening editorial independence, diversifying media ownership, enhancing media literacy, and instituting transparent regulatory oversight are critical to rebuilding journalistic credibility and democratic accountability in India. Without such reforms, the media risks functioning not as a platform for public discourse, but as an instrument for political power.</w:t>
      </w:r>
      <w:r w:rsidDel="00000000" w:rsidR="00000000" w:rsidRPr="00000000">
        <w:rPr>
          <w:rtl w:val="0"/>
        </w:rPr>
      </w:r>
    </w:p>
    <w:p w:rsidR="00000000" w:rsidDel="00000000" w:rsidP="00000000" w:rsidRDefault="00000000" w:rsidRPr="00000000" w14:paraId="0000002C">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pStyle w:val="Heading3"/>
        <w:spacing w:after="240" w:before="240" w:line="480" w:lineRule="auto"/>
        <w:rPr>
          <w:rFonts w:ascii="Times" w:cs="Times" w:eastAsia="Times" w:hAnsi="Times"/>
          <w:b w:val="1"/>
          <w:sz w:val="24"/>
          <w:szCs w:val="24"/>
        </w:rPr>
      </w:pPr>
      <w:bookmarkStart w:colFirst="0" w:colLast="0" w:name="_gqz9141dgh4a" w:id="9"/>
      <w:bookmarkEnd w:id="9"/>
      <w:r w:rsidDel="00000000" w:rsidR="00000000" w:rsidRPr="00000000">
        <w:rPr>
          <w:rFonts w:ascii="Times" w:cs="Times" w:eastAsia="Times" w:hAnsi="Times"/>
          <w:b w:val="1"/>
          <w:sz w:val="24"/>
          <w:szCs w:val="24"/>
          <w:rtl w:val="0"/>
        </w:rPr>
        <w:t xml:space="preserve">Sources: </w:t>
      </w:r>
    </w:p>
    <w:p w:rsidR="00000000" w:rsidDel="00000000" w:rsidP="00000000" w:rsidRDefault="00000000" w:rsidRPr="00000000" w14:paraId="0000002E">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Chatterji, A. P., Hansen, T. B., &amp; Jaffrelot, C. (2020). </w:t>
      </w:r>
      <w:r w:rsidDel="00000000" w:rsidR="00000000" w:rsidRPr="00000000">
        <w:rPr>
          <w:rFonts w:ascii="Times" w:cs="Times" w:eastAsia="Times" w:hAnsi="Times"/>
          <w:b w:val="1"/>
          <w:sz w:val="24"/>
          <w:szCs w:val="24"/>
          <w:rtl w:val="0"/>
        </w:rPr>
        <w:t xml:space="preserve">Majoritarian State: How Hindu Nationalism Is Changing India</w:t>
      </w:r>
      <w:r w:rsidDel="00000000" w:rsidR="00000000" w:rsidRPr="00000000">
        <w:rPr>
          <w:rFonts w:ascii="Times" w:cs="Times" w:eastAsia="Times" w:hAnsi="Times"/>
          <w:sz w:val="24"/>
          <w:szCs w:val="24"/>
          <w:rtl w:val="0"/>
        </w:rPr>
        <w:t xml:space="preserve">. Oxford University Press.</w:t>
      </w:r>
    </w:p>
    <w:p w:rsidR="00000000" w:rsidDel="00000000" w:rsidP="00000000" w:rsidRDefault="00000000" w:rsidRPr="00000000" w14:paraId="0000002F">
      <w:pPr>
        <w:spacing w:after="240" w:before="240"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Bhatia, G. (2020). </w:t>
      </w:r>
      <w:r w:rsidDel="00000000" w:rsidR="00000000" w:rsidRPr="00000000">
        <w:rPr>
          <w:rFonts w:ascii="Times" w:cs="Times" w:eastAsia="Times" w:hAnsi="Times"/>
          <w:i w:val="1"/>
          <w:sz w:val="24"/>
          <w:szCs w:val="24"/>
          <w:rtl w:val="0"/>
        </w:rPr>
        <w:t xml:space="preserve">The Citizenship Amendment Act and the Right to Equality</w:t>
      </w:r>
      <w:r w:rsidDel="00000000" w:rsidR="00000000" w:rsidRPr="00000000">
        <w:rPr>
          <w:rFonts w:ascii="Times" w:cs="Times" w:eastAsia="Times" w:hAnsi="Times"/>
          <w:sz w:val="24"/>
          <w:szCs w:val="24"/>
          <w:rtl w:val="0"/>
        </w:rPr>
        <w:t xml:space="preserve">. Indian Constitutional Law and Philosophy. Retrieved from https://indconlawphil.wordpress.com</w:t>
      </w:r>
    </w:p>
    <w:p w:rsidR="00000000" w:rsidDel="00000000" w:rsidP="00000000" w:rsidRDefault="00000000" w:rsidRPr="00000000" w14:paraId="00000030">
      <w:pPr>
        <w:spacing w:after="240" w:before="240"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Jaffrelot, C., &amp; Tillin, L. (2020). </w:t>
      </w:r>
      <w:r w:rsidDel="00000000" w:rsidR="00000000" w:rsidRPr="00000000">
        <w:rPr>
          <w:rFonts w:ascii="Times" w:cs="Times" w:eastAsia="Times" w:hAnsi="Times"/>
          <w:i w:val="1"/>
          <w:sz w:val="24"/>
          <w:szCs w:val="24"/>
          <w:rtl w:val="0"/>
        </w:rPr>
        <w:t xml:space="preserve">The CAA–NRC: From Hindu Nationalist Project to Political Backlash</w:t>
      </w:r>
      <w:r w:rsidDel="00000000" w:rsidR="00000000" w:rsidRPr="00000000">
        <w:rPr>
          <w:rFonts w:ascii="Times" w:cs="Times" w:eastAsia="Times" w:hAnsi="Times"/>
          <w:sz w:val="24"/>
          <w:szCs w:val="24"/>
          <w:rtl w:val="0"/>
        </w:rPr>
        <w:t xml:space="preserve">. Contemporary South Asia, 28(4), 404–417. [JSTOR]</w:t>
      </w:r>
    </w:p>
    <w:p w:rsidR="00000000" w:rsidDel="00000000" w:rsidP="00000000" w:rsidRDefault="00000000" w:rsidRPr="00000000" w14:paraId="00000031">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Chadha, K., &amp; Guha, P. (2021). </w:t>
      </w:r>
      <w:r w:rsidDel="00000000" w:rsidR="00000000" w:rsidRPr="00000000">
        <w:rPr>
          <w:rFonts w:ascii="Times" w:cs="Times" w:eastAsia="Times" w:hAnsi="Times"/>
          <w:i w:val="1"/>
          <w:sz w:val="24"/>
          <w:szCs w:val="24"/>
          <w:rtl w:val="0"/>
        </w:rPr>
        <w:t xml:space="preserve">Soft Censorship and Media Capture in India</w:t>
      </w:r>
      <w:r w:rsidDel="00000000" w:rsidR="00000000" w:rsidRPr="00000000">
        <w:rPr>
          <w:rFonts w:ascii="Times" w:cs="Times" w:eastAsia="Times" w:hAnsi="Times"/>
          <w:sz w:val="24"/>
          <w:szCs w:val="24"/>
          <w:rtl w:val="0"/>
        </w:rPr>
        <w:t xml:space="preserve">. Journalism, 22(6), 1453–1469. [JSTOR]</w:t>
      </w:r>
    </w:p>
    <w:p w:rsidR="00000000" w:rsidDel="00000000" w:rsidP="00000000" w:rsidRDefault="00000000" w:rsidRPr="00000000" w14:paraId="00000032">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Thakurta, P. G. (2018). </w:t>
      </w:r>
      <w:r w:rsidDel="00000000" w:rsidR="00000000" w:rsidRPr="00000000">
        <w:rPr>
          <w:rFonts w:ascii="Times" w:cs="Times" w:eastAsia="Times" w:hAnsi="Times"/>
          <w:i w:val="1"/>
          <w:sz w:val="24"/>
          <w:szCs w:val="24"/>
          <w:rtl w:val="0"/>
        </w:rPr>
        <w:t xml:space="preserve">Media Ownership in India: An Overview</w:t>
      </w:r>
      <w:r w:rsidDel="00000000" w:rsidR="00000000" w:rsidRPr="00000000">
        <w:rPr>
          <w:rFonts w:ascii="Times" w:cs="Times" w:eastAsia="Times" w:hAnsi="Times"/>
          <w:sz w:val="24"/>
          <w:szCs w:val="24"/>
          <w:rtl w:val="0"/>
        </w:rPr>
        <w:t xml:space="preserve">. Economic and Political Weekly, 53(14), 14–16. [JSTOR]</w:t>
      </w:r>
    </w:p>
    <w:p w:rsidR="00000000" w:rsidDel="00000000" w:rsidP="00000000" w:rsidRDefault="00000000" w:rsidRPr="00000000" w14:paraId="00000033">
      <w:pPr>
        <w:spacing w:after="240" w:before="240" w:line="480" w:lineRule="auto"/>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Jha, M. K. (2020). </w:t>
      </w:r>
      <w:r w:rsidDel="00000000" w:rsidR="00000000" w:rsidRPr="00000000">
        <w:rPr>
          <w:rFonts w:ascii="Times" w:cs="Times" w:eastAsia="Times" w:hAnsi="Times"/>
          <w:i w:val="1"/>
          <w:sz w:val="24"/>
          <w:szCs w:val="24"/>
          <w:rtl w:val="0"/>
        </w:rPr>
        <w:t xml:space="preserve">The Role of Independent Media in Covering the CAA Protests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sz w:val="24"/>
          <w:szCs w:val="24"/>
          <w:rtl w:val="0"/>
        </w:rPr>
        <w:t xml:space="preserve">Caravan Magazine</w:t>
      </w:r>
      <w:r w:rsidDel="00000000" w:rsidR="00000000" w:rsidRPr="00000000">
        <w:rPr>
          <w:rFonts w:ascii="Times" w:cs="Times" w:eastAsia="Times" w:hAnsi="Times"/>
          <w:sz w:val="24"/>
          <w:szCs w:val="24"/>
          <w:rtl w:val="0"/>
        </w:rPr>
        <w:t xml:space="preserve">. Retrieved from </w:t>
      </w:r>
      <w:hyperlink r:id="rId6">
        <w:r w:rsidDel="00000000" w:rsidR="00000000" w:rsidRPr="00000000">
          <w:rPr>
            <w:rFonts w:ascii="Times" w:cs="Times" w:eastAsia="Times" w:hAnsi="Times"/>
            <w:color w:val="1155cc"/>
            <w:sz w:val="24"/>
            <w:szCs w:val="24"/>
            <w:u w:val="single"/>
            <w:rtl w:val="0"/>
          </w:rPr>
          <w:t xml:space="preserve">https://caravanmagazine.in</w:t>
        </w:r>
      </w:hyperlink>
      <w:r w:rsidDel="00000000" w:rsidR="00000000" w:rsidRPr="00000000">
        <w:rPr>
          <w:rtl w:val="0"/>
        </w:rPr>
      </w:r>
    </w:p>
    <w:p w:rsidR="00000000" w:rsidDel="00000000" w:rsidP="00000000" w:rsidRDefault="00000000" w:rsidRPr="00000000" w14:paraId="00000034">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Rao, S. (2021). </w:t>
      </w:r>
      <w:r w:rsidDel="00000000" w:rsidR="00000000" w:rsidRPr="00000000">
        <w:rPr>
          <w:rFonts w:ascii="Times" w:cs="Times" w:eastAsia="Times" w:hAnsi="Times"/>
          <w:i w:val="1"/>
          <w:sz w:val="24"/>
          <w:szCs w:val="24"/>
          <w:rtl w:val="0"/>
        </w:rPr>
        <w:t xml:space="preserve">Press Freedom in India: Between Intimidation and Resistance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sz w:val="24"/>
          <w:szCs w:val="24"/>
          <w:rtl w:val="0"/>
        </w:rPr>
        <w:t xml:space="preserve">Journal of Media Ethics</w:t>
      </w:r>
      <w:r w:rsidDel="00000000" w:rsidR="00000000" w:rsidRPr="00000000">
        <w:rPr>
          <w:rFonts w:ascii="Times" w:cs="Times" w:eastAsia="Times" w:hAnsi="Times"/>
          <w:sz w:val="24"/>
          <w:szCs w:val="24"/>
          <w:rtl w:val="0"/>
        </w:rPr>
        <w:t xml:space="preserve">, 36(1), 27–38. [JSTOR]</w:t>
      </w:r>
    </w:p>
    <w:p w:rsidR="00000000" w:rsidDel="00000000" w:rsidP="00000000" w:rsidRDefault="00000000" w:rsidRPr="00000000" w14:paraId="0000003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Chakravarty, S., &amp; Roy, S. (2020). </w:t>
      </w:r>
      <w:r w:rsidDel="00000000" w:rsidR="00000000" w:rsidRPr="00000000">
        <w:rPr>
          <w:rFonts w:ascii="Times" w:cs="Times" w:eastAsia="Times" w:hAnsi="Times"/>
          <w:i w:val="1"/>
          <w:sz w:val="24"/>
          <w:szCs w:val="24"/>
          <w:rtl w:val="0"/>
        </w:rPr>
        <w:t xml:space="preserve">Misinformation, Social Media, and the Indian Protests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sz w:val="24"/>
          <w:szCs w:val="24"/>
          <w:rtl w:val="0"/>
        </w:rPr>
        <w:t xml:space="preserve">Digital Journalism</w:t>
      </w:r>
      <w:r w:rsidDel="00000000" w:rsidR="00000000" w:rsidRPr="00000000">
        <w:rPr>
          <w:rFonts w:ascii="Times" w:cs="Times" w:eastAsia="Times" w:hAnsi="Times"/>
          <w:sz w:val="24"/>
          <w:szCs w:val="24"/>
          <w:rtl w:val="0"/>
        </w:rPr>
        <w:t xml:space="preserve">, 8(10), 1245–1262. [JSTOR]</w:t>
      </w:r>
    </w:p>
    <w:p w:rsidR="00000000" w:rsidDel="00000000" w:rsidP="00000000" w:rsidRDefault="00000000" w:rsidRPr="00000000" w14:paraId="00000036">
      <w:pPr>
        <w:spacing w:line="480" w:lineRule="auto"/>
        <w:rPr>
          <w:rFonts w:ascii="Times" w:cs="Times" w:eastAsia="Times" w:hAnsi="Time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ravanmagazin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