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FLIGHT OPERATIONS SAFETY GUIDELINES</w:t>
      </w:r>
    </w:p>
    <w:p>
      <w:r>
        <w:t>Institutional Flight Operations Manual - Volume IV (Operational Safety Standards)</w:t>
      </w:r>
    </w:p>
    <w:p>
      <w:r>
        <w:t>Document ID: FOM-SAF-2024-V4 | Distribution: Flight Crew &amp; Ground Operations</w:t>
      </w:r>
    </w:p>
    <w:p>
      <w:pPr>
        <w:pStyle w:val="Heading1"/>
      </w:pPr>
      <w:r>
        <w:t>1. Pre-Flight Safety Briefing Procedures</w:t>
      </w:r>
    </w:p>
    <w:p>
      <w:r>
        <w:t>Before every operational flight sector, the Pilot-in-Command (PIC) must convene a mandatory joint crew safety briefing. The briefing must cover: forecasted en-route weather anomalies, turbulence SIGMETs, aircraft Minimum Equipment List (MEL) operational caveats, critical terrain escape routes, and specific sterile flight deck expectations.</w:t>
      </w:r>
    </w:p>
    <w:p>
      <w:r>
        <w:t>Cabin crew briefings must confirm cabin emergency equipment readiness, designated able-bodied passengers (ABPs) adjacent to emergency exit rows, and verification of slide arming protocols.</w:t>
      </w:r>
    </w:p>
    <w:p>
      <w:pPr>
        <w:pStyle w:val="Heading1"/>
      </w:pPr>
      <w:r>
        <w:t>2. Sterile Cockpit Safety Rule</w:t>
      </w:r>
    </w:p>
    <w:p>
      <w:r>
        <w:t>The sterile flight deck rule is strictly enforced during all critical phases of flight below 10,000 feet Mean Sea Level (MSL), as well as during taxi, takeoff, and landing operations. During this period, all non-essential communication, paperwork, or passenger announcements are prohibited. Only safety-critical alerts concerning flight path, aircraft systems integrity, or runway hazards may be voiced.</w:t>
      </w:r>
    </w:p>
    <w:p>
      <w:pPr>
        <w:pStyle w:val="Heading1"/>
      </w:pPr>
      <w:r>
        <w:t>3. Bird Strike Avoidance and Action Protocol</w:t>
      </w:r>
    </w:p>
    <w:p>
      <w:r>
        <w:t>Flock activity and wildlife presence must be monitored via ATIS and airport wildlife advisories. If bird flock presence is reported on departure corridor:</w:t>
      </w:r>
    </w:p>
    <w:p>
      <w:r>
        <w:t>- Maximize climb thrust to clear flock altitude rapidly.</w:t>
      </w:r>
    </w:p>
    <w:p>
      <w:r>
        <w:t>- Turn on all aircraft exterior lights (landing, taxi, logo lights) to enhance aircraft visibility to avian species.</w:t>
      </w:r>
    </w:p>
    <w:p>
      <w:r>
        <w:t>If a bird strike occurs during takeoff after V1 (takeoff decision speed):</w:t>
      </w:r>
    </w:p>
    <w:p>
      <w:r>
        <w:t>Continue takeoff run and establish positive rate of climb. Do NOT make abrupt throttle reductions. Once established at minimum safe altitude (MSA), cross-check engine vibration indicators, EGT (exhaust gas temp), and N1/N2 rotor speeds. If engine fire or uncontained failure is confirmed, execute Engine Fire Checklist.</w:t>
      </w:r>
    </w:p>
    <w:p>
      <w:pPr>
        <w:pStyle w:val="Heading1"/>
      </w:pPr>
      <w:r>
        <w:t>4. Cabin Depressurization Safety Protocols</w:t>
      </w:r>
    </w:p>
    <w:p>
      <w:r>
        <w:t>In the event of rapid cabin depressurization (cabin altitude climbing past 10,000 feet):</w:t>
      </w:r>
    </w:p>
    <w:p>
      <w:r>
        <w:t>1. Don oxygen masks immediately and set regulator to 100% Emergency oxygen.</w:t>
      </w:r>
    </w:p>
    <w:p>
      <w:r>
        <w:t>2. Establish flight deck crew communications via interphone.</w:t>
      </w:r>
    </w:p>
    <w:p>
      <w:r>
        <w:t>3. Disengage autothrottle, extend speedbrakes, and initiate Emergency Descent.</w:t>
      </w:r>
    </w:p>
    <w:p>
      <w:r>
        <w:t>4. Target descent to 10,000 feet MSL or lowest Minimum Off-Route Altitude (MORA).</w:t>
      </w:r>
    </w:p>
    <w:p>
      <w:r>
        <w:t>5. Passenger emergency oxygen masks deploy automatically when cabin altitude exceeds 14,000 feet.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