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before="0"/>
        <w:jc w:val="center"/>
      </w:pPr>
      <w:r>
        <w:rPr>
          <w:rFonts w:ascii="맑은 고딕" w:hAnsi="맑은 고딕" w:eastAsia="맑은 고딕"/>
          <w:b/>
          <w:color w:val="B07A2E"/>
          <w:sz w:val="24"/>
        </w:rPr>
        <w:t>BRING · CEO WORKBOOK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/>
          <w:color w:val="12213B"/>
          <w:sz w:val="60"/>
        </w:rPr>
        <w:t>대표 경영관리 워크북</w:t>
      </w:r>
    </w:p>
    <w:p>
      <w:pPr>
        <w:spacing w:after="80" w:before="0"/>
        <w:jc w:val="center"/>
      </w:pPr>
      <w:r>
        <w:rPr>
          <w:rFonts w:ascii="맑은 고딕" w:hAnsi="맑은 고딕" w:eastAsia="맑은 고딕"/>
          <w:b w:val="0"/>
          <w:color w:val="B07A2E"/>
          <w:sz w:val="26"/>
        </w:rPr>
        <w:t>재무모델 · BSC 성과관리 대시보드 · 1페이지 보고 양식</w:t>
      </w:r>
    </w:p>
    <w:p>
      <w:pPr>
        <w:spacing w:after="80" w:before="0"/>
        <w:jc w:val="center"/>
      </w:pPr>
      <w:r>
        <w:rPr>
          <w:rFonts w:ascii="맑은 고딕" w:hAnsi="맑은 고딕" w:eastAsia="맑은 고딕"/>
          <w:b w:val="0"/>
          <w:color w:val="5C6884"/>
          <w:sz w:val="22"/>
        </w:rPr>
        <w:t>돈은 언제·얼마·몇 명으로 버는가 — 대표가 직접 채우는 작업본</w:t>
      </w:r>
    </w:p>
    <w:p/>
    <w:p/>
    <w:p/>
    <w:p/>
    <w:p/>
    <w:p/>
    <w:p/>
    <w:p>
      <w:pPr>
        <w:spacing w:after="40" w:before="0"/>
        <w:jc w:val="center"/>
      </w:pPr>
      <w:r>
        <w:rPr>
          <w:rFonts w:ascii="맑은 고딕" w:hAnsi="맑은 고딕" w:eastAsia="맑은 고딕"/>
          <w:b w:val="0"/>
          <w:color w:val="5C6884"/>
          <w:sz w:val="21"/>
        </w:rPr>
        <w:t>브링엔지니어링 · 대표 서창환 · 2026-08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 w:val="0"/>
          <w:color w:val="5C6884"/>
          <w:sz w:val="18"/>
        </w:rPr>
        <w:t>근거: 경영전략 프레임워크 15도구 · 제안서의 정석 · 일잘러의 보고서 작성법 + 브링 확정 데이터</w:t>
      </w:r>
    </w:p>
    <w:p>
      <w:r>
        <w:br w:type="page"/>
      </w:r>
    </w:p>
    <w:p>
      <w:pPr>
        <w:spacing w:after="160" w:before="0"/>
      </w:pPr>
      <w:r>
        <w:rPr>
          <w:rFonts w:ascii="맑은 고딕" w:hAnsi="맑은 고딕" w:eastAsia="맑은 고딕"/>
          <w:b/>
          <w:color w:val="12213B"/>
          <w:sz w:val="32"/>
        </w:rPr>
        <w:t>이 워크북 사용법</w:t>
      </w:r>
    </w:p>
    <w:p>
      <w:pPr>
        <w:spacing w:after="120" w:before="0"/>
      </w:pPr>
      <w:r>
        <w:rPr>
          <w:rFonts w:ascii="맑은 고딕" w:hAnsi="맑은 고딕" w:eastAsia="맑은 고딕"/>
          <w:b/>
          <w:color w:val="222A38"/>
          <w:sz w:val="21"/>
        </w:rPr>
        <w:t>● 검정 글씨</w:t>
      </w:r>
      <w:r>
        <w:rPr>
          <w:rFonts w:ascii="맑은 고딕" w:hAnsi="맑은 고딕" w:eastAsia="맑은 고딕"/>
          <w:b w:val="0"/>
          <w:color w:val="222A38"/>
          <w:sz w:val="21"/>
        </w:rPr>
        <w:t>는 이미 확정된 브링 데이터입니다(그대로 두세요).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222A38"/>
          <w:sz w:val="21"/>
        </w:rPr>
        <w:t xml:space="preserve">● </w:t>
      </w:r>
      <w:r>
        <w:rPr>
          <w:rFonts w:ascii="맑은 고딕" w:hAnsi="맑은 고딕" w:eastAsia="맑은 고딕"/>
          <w:b/>
          <w:color w:val="996622"/>
          <w:sz w:val="21"/>
        </w:rPr>
        <w:t>[        ] 빈칸</w:t>
      </w:r>
      <w:r>
        <w:rPr>
          <w:rFonts w:ascii="맑은 고딕" w:hAnsi="맑은 고딕" w:eastAsia="맑은 고딕"/>
          <w:b w:val="0"/>
          <w:color w:val="222A38"/>
          <w:sz w:val="21"/>
        </w:rPr>
        <w:t>은 대표가 직접 채우는 곳입니다.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222A38"/>
          <w:sz w:val="21"/>
        </w:rPr>
        <w:t xml:space="preserve">● </w:t>
      </w:r>
      <w:r>
        <w:rPr>
          <w:rFonts w:ascii="맑은 고딕" w:hAnsi="맑은 고딕" w:eastAsia="맑은 고딕"/>
          <w:b/>
          <w:color w:val="996622"/>
          <w:sz w:val="21"/>
        </w:rPr>
        <w:t>[확인 필요]</w:t>
      </w:r>
      <w:r>
        <w:rPr>
          <w:rFonts w:ascii="맑은 고딕" w:hAnsi="맑은 고딕" w:eastAsia="맑은 고딕"/>
          <w:b w:val="0"/>
          <w:color w:val="222A38"/>
          <w:sz w:val="21"/>
        </w:rPr>
        <w:t xml:space="preserve"> 표시는 아직 검증 안 된 수치 — 출처·실측으로 반드시 교체.</w:t>
      </w:r>
    </w:p>
    <w:p>
      <w:pPr>
        <w:spacing w:after="1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▸ </w:t>
      </w:r>
      <w:r>
        <w:rPr>
          <w:rFonts w:ascii="맑은 고딕" w:hAnsi="맑은 고딕" w:eastAsia="맑은 고딕"/>
          <w:b w:val="0"/>
          <w:color w:val="5C6884"/>
          <w:sz w:val="20"/>
        </w:rPr>
        <w:t>표의 빈칸을 채우면 그대로 사업계획서·IR·정책자금 신청서의 재무·성과 파트에 옮길 수 있습니다.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▸ </w:t>
      </w:r>
      <w:r>
        <w:rPr>
          <w:rFonts w:ascii="맑은 고딕" w:hAnsi="맑은 고딕" w:eastAsia="맑은 고딕"/>
          <w:b w:val="0"/>
          <w:color w:val="5C6884"/>
          <w:sz w:val="20"/>
        </w:rPr>
        <w:t>작성 원칙: 확정된 숫자만 근거로 쓰고, 모르면 [확인 필요]로 남겨 두세요. 부풀린 숫자는 심사에서 가장 먼저 걸립니다.</w:t>
      </w:r>
    </w:p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/>
          <w:color w:val="12213B"/>
          <w:sz w:val="28"/>
        </w:rPr>
        <w:t>목차</w:t>
      </w:r>
    </w:p>
    <w:p>
      <w:r>
        <w:fldChar w:fldCharType="begin"/>
        <w:instrText xml:space="preserve">TOC \o "1-2" \h \z \u</w:instrText>
        <w:fldChar w:fldCharType="separate"/>
        <w:t>목차 업데이트: 표 위에서 마우스 오른쪽 → 필드 업데이트(F9)</w:t>
        <w:fldChar w:fldCharType="end"/>
      </w:r>
    </w:p>
    <w:p>
      <w:r>
        <w:br w:type="page"/>
      </w:r>
    </w:p>
    <w:p>
      <w:pPr>
        <w:spacing w:after="80"/>
        <w:outlineLvl w:val="0"/>
      </w:pPr>
      <w:r>
        <w:rPr>
          <w:rFonts w:ascii="맑은 고딕" w:hAnsi="맑은 고딕" w:eastAsia="맑은 고딕"/>
          <w:b/>
          <w:color w:val="12213B"/>
          <w:sz w:val="40"/>
        </w:rPr>
        <w:t>PART 1. 재무모델 — 돈 언제·얼마·몇 명</w:t>
      </w:r>
    </w:p>
    <w:p>
      <w:pPr>
        <w:spacing w:after="200"/>
        <w:pBdr>
          <w:bottom w:val="single" w:sz="18" w:space="1" w:color="B07A2E"/>
        </w:pBdr>
      </w:pPr>
    </w:p>
    <w:p>
      <w:pPr>
        <w:spacing w:after="160" w:before="0"/>
      </w:pPr>
      <w:r>
        <w:rPr>
          <w:rFonts w:ascii="맑은 고딕" w:hAnsi="맑은 고딕" w:eastAsia="맑은 고딕"/>
          <w:b w:val="0"/>
          <w:color w:val="222A38"/>
          <w:sz w:val="21"/>
        </w:rPr>
        <w:t>투자자가 가장 먼저 넘겨보는 파트. ‘어떻게 벌고(수익모델) → 하나당 남고(단위경제) → 언제 흑자(BEP) → 몇 년 뒤 얼마(추정) → 얼마 넣고(CAPEX) → 몇 명(인력)’ 순서로 채웁니다.</w:t>
      </w: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1.1 수익모델 — 어떻게 버는가 (확정 가격)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무엇을 팔아 돈이 들어오는지. 아래는 확정 요금(MASTER 기준). 실제 수리·청소·전문공사비는 별도.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수익원</w:t>
            </w:r>
          </w:p>
        </w:tc>
        <w:tc>
          <w:tcPr>
            <w:tcW w:type="dxa" w:w="226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단가(확정)</w:t>
            </w:r>
          </w:p>
        </w:tc>
        <w:tc>
          <w:tcPr>
            <w:tcW w:type="dxa" w:w="204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과금 방식</w:t>
            </w:r>
          </w:p>
        </w:tc>
        <w:tc>
          <w:tcPr>
            <w:tcW w:type="dxa" w:w="226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지역 공동관리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월 89,000원/동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구독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동일 권역 5동+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개별 건물관리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150,000원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구독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공용부 청소(3/4/5층)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6/7/8만원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4회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입주청소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100,000원~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건별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전문작업 관리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실작업비의 5%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마크업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수리·공사 연결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중개보수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법정 기준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건별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건물주·임차인 모두</w:t>
            </w:r>
          </w:p>
        </w:tc>
      </w:tr>
    </w:tbl>
    <w:p>
      <w:pPr>
        <w:spacing w:after="40"/>
      </w:pP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1.2 단위경제(Unit Economics) — 동 하나당 남는 구조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공동관리 1동을 기준으로 매달 얼마가 남는가. 이게 (+)여야 동을 늘릴수록 돈을 법니다.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38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금액(원/월·동)</w:t>
            </w:r>
          </w:p>
        </w:tc>
        <w:tc>
          <w:tcPr>
            <w:tcW w:type="dxa" w:w="3742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계산 근거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① 동당 매출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89,000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공동관리 확정가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② 동당 변동비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  ]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이동·소모품·현장시간 배분 [확인 필요]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③ 동당 기여이익(①-②)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        ]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이 값 × 동수 = 고정비 회수 재원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④ 기여이익률(③÷①)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] %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▸ </w:t>
      </w:r>
      <w:r>
        <w:rPr>
          <w:rFonts w:ascii="맑은 고딕" w:hAnsi="맑은 고딕" w:eastAsia="맑은 고딕"/>
          <w:b w:val="0"/>
          <w:color w:val="5C6884"/>
          <w:sz w:val="20"/>
        </w:rPr>
        <w:t>동당 변동비를 모르면 3개월 실제 지출을 동 수로 나눠 추정하세요. 이 표가 BEP·재무추정의 뿌리입니다.</w:t>
      </w: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1.3 손익분기점(BEP) — 언제부터 흑자인가</w:t>
      </w:r>
    </w:p>
    <w:p>
      <w:pPr>
        <w:spacing w:after="80" w:before="0"/>
      </w:pPr>
      <w:r>
        <w:rPr>
          <w:rFonts w:ascii="맑은 고딕" w:hAnsi="맑은 고딕" w:eastAsia="맑은 고딕"/>
          <w:b/>
          <w:color w:val="222A38"/>
          <w:sz w:val="21"/>
        </w:rPr>
        <w:t xml:space="preserve">공식: </w:t>
      </w:r>
      <w:r>
        <w:rPr>
          <w:rFonts w:ascii="맑은 고딕" w:hAnsi="맑은 고딕" w:eastAsia="맑은 고딕"/>
          <w:b w:val="0"/>
          <w:color w:val="222A38"/>
          <w:sz w:val="21"/>
        </w:rPr>
        <w:t>BEP 동수 = 월 고정비 ÷ 동당 기여이익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브링 현재 추정 BEP는 35~40동(중앙값 37동), 현재 7동. 아래에 실제 값을 넣어 직접 계산하세요.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42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38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2835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고정비(인건비+차량+시스템+임차 등)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  ] 만원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PART1.6·1.7과 일치</w:t>
            </w:r>
          </w:p>
        </w:tc>
      </w:tr>
      <w:tr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동당 기여이익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  ] 원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위 1.2 ③</w:t>
            </w:r>
          </w:p>
        </w:tc>
      </w:tr>
      <w:tr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→ BEP 동수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  ] 동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고정비÷기여이익</w:t>
            </w:r>
          </w:p>
        </w:tc>
      </w:tr>
      <w:tr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현재 관리 동수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7 동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확정 실적</w:t>
            </w:r>
          </w:p>
        </w:tc>
      </w:tr>
      <w:tr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→ BEP까지 남은 동수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  ] 동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BEP - 7</w:t>
            </w:r>
          </w:p>
        </w:tc>
      </w:tr>
    </w:tbl>
    <w:p>
      <w:pPr>
        <w:spacing w:after="40"/>
      </w:pP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1.4 3개년 재무추정 (매출·비용·손익)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동 수 가정을 세우고 매출·비용·영업이익을 3년 그립니다. 동수×단가가 매출의 뼈대.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09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1차년도</w:t>
            </w:r>
          </w:p>
        </w:tc>
        <w:tc>
          <w:tcPr>
            <w:tcW w:type="dxa" w:w="209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2차년도</w:t>
            </w:r>
          </w:p>
        </w:tc>
        <w:tc>
          <w:tcPr>
            <w:tcW w:type="dxa" w:w="209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3차년도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가정: 연말 관리 동수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]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매출액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변동비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고정비(인건비 등)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영업이익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      ]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누적 현금흐름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▸ </w:t>
      </w:r>
      <w:r>
        <w:rPr>
          <w:rFonts w:ascii="맑은 고딕" w:hAnsi="맑은 고딕" w:eastAsia="맑은 고딕"/>
          <w:b w:val="0"/>
          <w:color w:val="5C6884"/>
          <w:sz w:val="20"/>
        </w:rPr>
        <w:t>단위(만원/원)를 표 상단에 통일해서 적으세요. 가정(동수·단가·해지율)을 표 아래에 반드시 명시해야 신뢰받습니다.</w:t>
      </w: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1.5 CAPEX · 초기 투자 (얼마가 필요한가)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사업을 돌리기 위한 자산·셋업 투자. 금액은 개략 계획치 — 견적으로 교체.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60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개략(만원)</w:t>
            </w:r>
          </w:p>
        </w:tc>
        <w:tc>
          <w:tcPr>
            <w:tcW w:type="dxa" w:w="1474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현장 이동수단(차량)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권역 이동·점검·자재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500~2,000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대표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점검·청소·수리 장비·공구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직접 수행 + 촬영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150~400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대표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IoT 센서 파일럿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도어락·누수·에너지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100~500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우중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IT 인프라 초기 구축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서버·DB·도메인·보안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100~300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현진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법인 전환·법무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전환·정관·주주간계약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250~600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대표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상표·SW저작권·(특허)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IP 초기 출원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250~500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대표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현금성 초기투자 합계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차량~IP (개발·예비 별도)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약 2,000~4,300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플랫폼 개발 / 운영 예비자금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인건비·3~6개월 버퍼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대표</w:t>
            </w:r>
          </w:p>
        </w:tc>
      </w:tr>
    </w:tbl>
    <w:p>
      <w:pPr>
        <w:spacing w:after="40"/>
      </w:pP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1.6 인력계획 (몇 명이 하는가 · FTE)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동 수 확장에 맞춰 몇 명분의 일이 필요한지. 1인 관리용량을 실측해 채웁니다.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94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170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247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</w:t>
            </w:r>
          </w:p>
        </w:tc>
        <w:tc>
          <w:tcPr>
            <w:tcW w:type="dxa" w:w="1474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BEP시점</w:t>
            </w:r>
          </w:p>
        </w:tc>
        <w:tc>
          <w:tcPr>
            <w:tcW w:type="dxa" w:w="238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대표·영업·현장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서창환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고정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개발·자동화·CRM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하드웨어·IoT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우중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현장 운영(관리·점검)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]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]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1인 관리용량 [확인 필요]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총 인원(FTE)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]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]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전임환산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▸ </w:t>
      </w:r>
      <w:r>
        <w:rPr>
          <w:rFonts w:ascii="맑은 고딕" w:hAnsi="맑은 고딕" w:eastAsia="맑은 고딕"/>
          <w:b w:val="0"/>
          <w:color w:val="5C6884"/>
          <w:sz w:val="20"/>
        </w:rPr>
        <w:t>1인이 몇 동까지 관리 가능한지(관리용량)를 실측하면 ‘동수↔인력↔비용’이 한 줄로 연결됩니다. 지금 가정치 55동은 검증 대상.</w:t>
      </w: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1.7 현금흐름 · 런웨이 (돈이 언제 바닥나나)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494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306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계산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현재 현금 잔고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 만원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순현금흐름(수입-지출)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 만원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→ 런웨이(개월)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996622"/>
                <w:sz w:val="19"/>
              </w:rPr>
              <w:t>[      ] 개월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현금 ÷ 월 소진액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필요 조달 금액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  ] 만원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목표 시점까지 버틸 금액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outlineLvl w:val="0"/>
      </w:pPr>
      <w:r>
        <w:rPr>
          <w:rFonts w:ascii="맑은 고딕" w:hAnsi="맑은 고딕" w:eastAsia="맑은 고딕"/>
          <w:b/>
          <w:color w:val="12213B"/>
          <w:sz w:val="40"/>
        </w:rPr>
        <w:t>PART 2. 성과관리 대시보드 (BSC 4관점)</w:t>
      </w:r>
    </w:p>
    <w:p>
      <w:pPr>
        <w:spacing w:after="200"/>
        <w:pBdr>
          <w:bottom w:val="single" w:sz="18" w:space="1" w:color="B07A2E"/>
        </w:pBdr>
      </w:pPr>
    </w:p>
    <w:p>
      <w:pPr>
        <w:spacing w:after="160" w:before="0"/>
      </w:pPr>
      <w:r>
        <w:rPr>
          <w:rFonts w:ascii="맑은 고딕" w:hAnsi="맑은 고딕" w:eastAsia="맑은 고딕"/>
          <w:b w:val="0"/>
          <w:color w:val="222A38"/>
          <w:sz w:val="21"/>
        </w:rPr>
        <w:t>『프레임워크 15도구』의 균형성과관리지표(BSC). 재무만 보지 말고 고객·프로세스·학습까지 4관점으로 균형 있게 관리합니다. 브링 체계도 KPI 스코어카드와 연결됩니다.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▸ </w:t>
      </w:r>
      <w:r>
        <w:rPr>
          <w:rFonts w:ascii="맑은 고딕" w:hAnsi="맑은 고딕" w:eastAsia="맑은 고딕"/>
          <w:b w:val="0"/>
          <w:color w:val="5C6884"/>
          <w:sz w:val="20"/>
        </w:rPr>
        <w:t>각 관점별로 KPI(측정지표)·현재값·목표값·측정주기를 채우세요. 월 1회 갱신하면 대표 대시보드가 됩니다.</w:t>
      </w: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① 재무 관점 (Financial)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‘주주·재무 목표를 달성하는가’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515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KPI(지표)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현재값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목표값</w:t>
            </w:r>
          </w:p>
        </w:tc>
        <w:tc>
          <w:tcPr>
            <w:tcW w:type="dxa" w:w="1587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측정주기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고정매출(MRR)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관리 동수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7 동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동당 기여이익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영업이익률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분기</w:t>
            </w:r>
          </w:p>
        </w:tc>
      </w:tr>
    </w:tbl>
    <w:p>
      <w:pPr>
        <w:spacing w:after="40"/>
      </w:pP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② 고객 관점 (Customer)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‘고객(건물주)에게 어떻게 보여야 하는가’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515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KPI(지표)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현재값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목표값</w:t>
            </w:r>
          </w:p>
        </w:tc>
        <w:tc>
          <w:tcPr>
            <w:tcW w:type="dxa" w:w="1587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측정주기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신규 계약 동수/월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해지율(이탈)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건물주 만족·재계약률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분기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공실 대응 소요일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건별</w:t>
            </w:r>
          </w:p>
        </w:tc>
      </w:tr>
    </w:tbl>
    <w:p>
      <w:pPr>
        <w:spacing w:after="40"/>
      </w:pP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③ 내부 프로세스 관점 (Internal Process)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‘무엇을 잘해야 하는가’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515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KPI(지표)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현재값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목표값</w:t>
            </w:r>
          </w:p>
        </w:tc>
        <w:tc>
          <w:tcPr>
            <w:tcW w:type="dxa" w:w="1587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측정주기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민원 케이스 처리 시간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정기점검 준수율(월2회)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AI 민원분류 정확도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[확인 필요]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완료보고·사진 누락률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</w:t>
            </w:r>
          </w:p>
        </w:tc>
      </w:tr>
    </w:tbl>
    <w:p>
      <w:pPr>
        <w:spacing w:after="40"/>
      </w:pP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④ 학습·성장 관점 (Learning &amp; Growth)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‘어떻게 개선·성장할 것인가’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515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KPI(지표)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현재값</w:t>
            </w:r>
          </w:p>
        </w:tc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목표값</w:t>
            </w:r>
          </w:p>
        </w:tc>
        <w:tc>
          <w:tcPr>
            <w:tcW w:type="dxa" w:w="1587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측정주기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데이터 축적량(건물·세대)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5,129동/26,825세대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분기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시스템 기능 개선 건수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분기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팀 역량·채용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분기</w:t>
            </w:r>
          </w:p>
        </w:tc>
      </w:tr>
      <w:tr>
        <w:tc>
          <w:tcPr>
            <w:tcW w:type="dxa" w:w="351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IP·인증 확보 수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       ]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분기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outlineLvl w:val="0"/>
      </w:pPr>
      <w:r>
        <w:rPr>
          <w:rFonts w:ascii="맑은 고딕" w:hAnsi="맑은 고딕" w:eastAsia="맑은 고딕"/>
          <w:b/>
          <w:color w:val="12213B"/>
          <w:sz w:val="40"/>
        </w:rPr>
        <w:t>PART 3. 1페이지 보고 양식</w:t>
      </w:r>
    </w:p>
    <w:p>
      <w:pPr>
        <w:spacing w:after="200"/>
        <w:pBdr>
          <w:bottom w:val="single" w:sz="18" w:space="1" w:color="B07A2E"/>
        </w:pBdr>
      </w:pPr>
    </w:p>
    <w:p>
      <w:pPr>
        <w:spacing w:after="160" w:before="0"/>
      </w:pPr>
      <w:r>
        <w:rPr>
          <w:rFonts w:ascii="맑은 고딕" w:hAnsi="맑은 고딕" w:eastAsia="맑은 고딕"/>
          <w:b w:val="0"/>
          <w:color w:val="222A38"/>
          <w:sz w:val="21"/>
        </w:rPr>
        <w:t>『일잘러의 보고서 작성법』 핵심 — 두괄식(결론 먼저), 1페이지, 문서 3요소(핵심 메시지·근거·요청). 대표가 팀·투자자·기관에 무엇이든 한 장으로 보고할 때 쓰는 양식입니다.</w:t>
      </w: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작성 원칙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222A38"/>
          <w:sz w:val="21"/>
        </w:rPr>
        <w:t>결론부터: 읽는 사람은 바쁘다 — 첫 3줄에 핵심 메시지와 요청을 넣는다.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222A38"/>
          <w:sz w:val="21"/>
        </w:rPr>
        <w:t>한 장 원칙: 한 사안 = 한 페이지. 넘치면 부록으로 뺀다.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222A38"/>
          <w:sz w:val="21"/>
        </w:rPr>
        <w:t>3요소: ① 핵심 메시지(무엇을) ② 근거·현황(왜) ③ 요청·다음 단계(어떻게).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color w:val="222A38"/>
          <w:sz w:val="21"/>
        </w:rPr>
        <w:t>숫자로: 형용사 대신 숫자. ‘많이 늘었다’ → ‘7동→[  ]동’.</w:t>
      </w: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보고 양식 (복사해서 사용)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제목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무엇에 대한 보고인지 한 줄 ]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수신 / 일자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받는 사람 ] / 2026-[  ]-[  ]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핵심 메시지(결론)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가장 하고 싶은 말 1~2줄 — 결론 먼저 ]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배경·현황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왜 이 보고를 하는가 · 관련 숫자 ]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주요 내용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항목별 3~5줄. 필요시 표 ]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기대효과·리스크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하면 무엇이 좋아지나 / 위험은 ]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222A38"/>
                <w:sz w:val="19"/>
              </w:rPr>
              <w:t>요청·다음 단계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[ 상대가 무엇을 결정·행동해야 하나 ]</w:t>
            </w:r>
          </w:p>
        </w:tc>
      </w:tr>
    </w:tbl>
    <w:p>
      <w:pPr>
        <w:spacing w:after="40"/>
      </w:pPr>
    </w:p>
    <w:p>
      <w:pPr>
        <w:keepNext/>
        <w:spacing w:before="240" w:after="100"/>
        <w:outlineLvl w:val="1"/>
      </w:pPr>
      <w:r>
        <w:rPr>
          <w:rFonts w:ascii="맑은 고딕" w:hAnsi="맑은 고딕" w:eastAsia="맑은 고딕"/>
          <w:b/>
          <w:color w:val="B07A2E"/>
          <w:sz w:val="27"/>
        </w:rPr>
        <w:t>보너스: 건물주 제안 요약 양식 (6PP)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C6884"/>
          <w:sz w:val="20"/>
        </w:rPr>
        <w:t>『제안서의 정석』 6단계. 건물주에게 제안할 때 이 순서로 한 장 정리.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814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5669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브링이 채울 내용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① 문제(Why)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왜 들어야 하나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공실·퇴실·수리·민원을 혼자 감당 → [ 이 건물 상황 ]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② 원인(Why so)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왜 생기나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관리의 단절 + 규모의 이점 없음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③ 해결(What)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그래서 뭐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지역 공동관리 Zone — [ 이 건물 적용 ]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④ 비교우위(What else)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다른 것 대비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시간·리스크·데이터·책임경계 [ 3가지 ]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⑤ 진행·요금(How)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어떻게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서비스 사이클 + 89,000원/동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⑥ 성과(If)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하면 뭐가 좋나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공실↓·부담↓ + 실적 7동 레퍼런스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outlineLvl w:val="0"/>
      </w:pPr>
      <w:r>
        <w:rPr>
          <w:rFonts w:ascii="맑은 고딕" w:hAnsi="맑은 고딕" w:eastAsia="맑은 고딕"/>
          <w:b/>
          <w:color w:val="12213B"/>
          <w:sz w:val="40"/>
        </w:rPr>
        <w:t>부록. 브링 확정 데이터 (근거값)</w:t>
      </w:r>
    </w:p>
    <w:p>
      <w:pPr>
        <w:spacing w:after="200"/>
        <w:pBdr>
          <w:bottom w:val="single" w:sz="18" w:space="1" w:color="B07A2E"/>
        </w:pBdr>
      </w:pPr>
    </w:p>
    <w:p>
      <w:pPr>
        <w:spacing w:after="160" w:before="0"/>
      </w:pPr>
      <w:r>
        <w:rPr>
          <w:rFonts w:ascii="맑은 고딕" w:hAnsi="맑은 고딕" w:eastAsia="맑은 고딕"/>
          <w:b w:val="0"/>
          <w:color w:val="222A38"/>
          <w:sz w:val="21"/>
        </w:rPr>
        <w:t>아래는 검증된 값 — 위 표를 채울 때 그대로 인용하세요.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463"/>
            <w:shd w:val="clear" w:fill="12213B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공동관리 확정가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89,000원/동 (5동+)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개별 관리 / 전문작업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150,000원 / 실작업비 5% 마크업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현재 실적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건물관리 7동 · 정기청소 7곳 · 입주청소 10건+ · 수리 12건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손익분기(BEP)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35~40동 (중앙값 37)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시장(SAM)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원주 다가구 5,129동 · 26,825세대 (ValueScope)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영업 자산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다가구 밀집 블록 218개 · 공인중개사 786곳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팀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서창환(영업·현장)/현진(개발·자동화)/우중(하드웨어·IoT)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초기 CAPEX(개략)</w:t>
            </w:r>
          </w:p>
        </w:tc>
        <w:tc>
          <w:tcPr>
            <w:tcW w:type="dxa" w:w="6463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약 2,000~4,300만 (개발·예비 별도)</w:t>
            </w:r>
          </w:p>
        </w:tc>
      </w:tr>
    </w:tbl>
    <w:p>
      <w:pPr>
        <w:spacing w:after="40"/>
      </w:pPr>
    </w:p>
    <w:p>
      <w:pPr>
        <w:spacing w:after="120" w:before="0"/>
      </w:pPr>
    </w:p>
    <w:p>
      <w:pPr>
        <w:spacing w:after="120" w:before="0"/>
      </w:pPr>
      <w:r>
        <w:rPr>
          <w:rFonts w:ascii="맑은 고딕" w:hAnsi="맑은 고딕" w:eastAsia="맑은 고딕"/>
          <w:b/>
          <w:color w:val="996622"/>
          <w:sz w:val="20"/>
        </w:rPr>
        <w:t xml:space="preserve">주의. </w:t>
      </w:r>
      <w:r>
        <w:rPr>
          <w:rFonts w:ascii="맑은 고딕" w:hAnsi="맑은 고딕" w:eastAsia="맑은 고딕"/>
          <w:b w:val="0"/>
          <w:color w:val="5C6884"/>
          <w:sz w:val="20"/>
        </w:rPr>
        <w:t>전국 시장규모(TAM)·CAGR·해외 통계 등은 최고위험 수치입니다. 반드시 원본(KOSIS·KIET 등) 대조 후 [확인 필요]를 교체하세요.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