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AeroPharm Therapeutics: Phase III Clinical Trial &amp; Distributed Data Pipeline Architecture</w:t>
      </w:r>
    </w:p>
    <w:p>
      <w:pPr>
        <w:pStyle w:val="Heading1"/>
      </w:pPr>
      <w:r>
        <w:t>1. Executive Summary</w:t>
      </w:r>
    </w:p>
    <w:p>
      <w:r>
        <w:t>This confidential document outlines the Phase III clinical trial efficacy data for AP-789 (a novel targeted therapy for acute lymphoblastic leukemia), alongside the underlying data engineering architecture utilized for distributed model training and diagnostic imaging analysis. This document contains deeply nested clauses and dense tabular data intended to validate automated parsing and retrieval systems.</w:t>
      </w:r>
    </w:p>
    <w:p>
      <w:pPr>
        <w:pStyle w:val="Heading1"/>
      </w:pPr>
      <w:r>
        <w:t>2. Clinical Trial Efficacy Metrics (Oncology Cohort)</w:t>
      </w:r>
    </w:p>
    <w:p>
      <w:r>
        <w:t>The trial evaluated the efficacy of AP-789 across multiple sub-populations, utilizing a dynamically weighted diagnostic model to identify minimal residual disease (MRD) from early-stage blood cell imaging. See Section 4.2 for pipeline specifics.</w:t>
      </w:r>
    </w:p>
    <w:p>
      <w:pPr>
        <w:pStyle w:val="Heading2"/>
      </w:pPr>
      <w:r>
        <w:t>2.1. Statistical Evaluation of Treatment Arms</w:t>
      </w:r>
    </w:p>
    <w:p>
      <w:r>
        <w:t>Table 1 details the objective response rates (ORR) and the internal inference confidence metrics. Extracting this table without losing the column headers is a common point of failure for standard document chunkers.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Patient Cohort</w:t>
            </w:r>
          </w:p>
        </w:tc>
        <w:tc>
          <w:tcPr>
            <w:tcW w:type="dxa" w:w="1728"/>
          </w:tcPr>
          <w:p>
            <w:r>
              <w:t>Treatment Arm</w:t>
            </w:r>
          </w:p>
        </w:tc>
        <w:tc>
          <w:tcPr>
            <w:tcW w:type="dxa" w:w="1728"/>
          </w:tcPr>
          <w:p>
            <w:r>
              <w:t>Objective Response Rate (ORR)</w:t>
            </w:r>
          </w:p>
        </w:tc>
        <w:tc>
          <w:tcPr>
            <w:tcW w:type="dxa" w:w="1728"/>
          </w:tcPr>
          <w:p>
            <w:r>
              <w:t>Progression-Free Survival (Months)</w:t>
            </w:r>
          </w:p>
        </w:tc>
        <w:tc>
          <w:tcPr>
            <w:tcW w:type="dxa" w:w="1728"/>
          </w:tcPr>
          <w:p>
            <w:r>
              <w:t>AUC-ROC (Model Confidence)</w:t>
            </w:r>
          </w:p>
        </w:tc>
      </w:tr>
      <w:tr>
        <w:tc>
          <w:tcPr>
            <w:tcW w:type="dxa" w:w="1728"/>
          </w:tcPr>
          <w:p>
            <w:r>
              <w:t>Cohort A (Pediatric)</w:t>
            </w:r>
          </w:p>
        </w:tc>
        <w:tc>
          <w:tcPr>
            <w:tcW w:type="dxa" w:w="1728"/>
          </w:tcPr>
          <w:p>
            <w:r>
              <w:t>AP-789 50mg</w:t>
            </w:r>
          </w:p>
        </w:tc>
        <w:tc>
          <w:tcPr>
            <w:tcW w:type="dxa" w:w="1728"/>
          </w:tcPr>
          <w:p>
            <w:r>
              <w:t>89.4%</w:t>
            </w:r>
          </w:p>
        </w:tc>
        <w:tc>
          <w:tcPr>
            <w:tcW w:type="dxa" w:w="1728"/>
          </w:tcPr>
          <w:p>
            <w:r>
              <w:t>24.5</w:t>
            </w:r>
          </w:p>
        </w:tc>
        <w:tc>
          <w:tcPr>
            <w:tcW w:type="dxa" w:w="1728"/>
          </w:tcPr>
          <w:p>
            <w:r>
              <w:t>0.96</w:t>
            </w:r>
          </w:p>
        </w:tc>
      </w:tr>
      <w:tr>
        <w:tc>
          <w:tcPr>
            <w:tcW w:type="dxa" w:w="1728"/>
          </w:tcPr>
          <w:p>
            <w:r>
              <w:t>Cohort A (Pediatric)</w:t>
            </w:r>
          </w:p>
        </w:tc>
        <w:tc>
          <w:tcPr>
            <w:tcW w:type="dxa" w:w="1728"/>
          </w:tcPr>
          <w:p>
            <w:r>
              <w:t>Standard of Care</w:t>
            </w:r>
          </w:p>
        </w:tc>
        <w:tc>
          <w:tcPr>
            <w:tcW w:type="dxa" w:w="1728"/>
          </w:tcPr>
          <w:p>
            <w:r>
              <w:t>72.1%</w:t>
            </w:r>
          </w:p>
        </w:tc>
        <w:tc>
          <w:tcPr>
            <w:tcW w:type="dxa" w:w="1728"/>
          </w:tcPr>
          <w:p>
            <w:r>
              <w:t>14.2</w:t>
            </w:r>
          </w:p>
        </w:tc>
        <w:tc>
          <w:tcPr>
            <w:tcW w:type="dxa" w:w="1728"/>
          </w:tcPr>
          <w:p>
            <w:r>
              <w:t>0.84</w:t>
            </w:r>
          </w:p>
        </w:tc>
      </w:tr>
      <w:tr>
        <w:tc>
          <w:tcPr>
            <w:tcW w:type="dxa" w:w="1728"/>
          </w:tcPr>
          <w:p>
            <w:r>
              <w:t>Cohort B (Adult)</w:t>
            </w:r>
          </w:p>
        </w:tc>
        <w:tc>
          <w:tcPr>
            <w:tcW w:type="dxa" w:w="1728"/>
          </w:tcPr>
          <w:p>
            <w:r>
              <w:t>AP-789 100mg</w:t>
            </w:r>
          </w:p>
        </w:tc>
        <w:tc>
          <w:tcPr>
            <w:tcW w:type="dxa" w:w="1728"/>
          </w:tcPr>
          <w:p>
            <w:r>
              <w:t>82.3%</w:t>
            </w:r>
          </w:p>
        </w:tc>
        <w:tc>
          <w:tcPr>
            <w:tcW w:type="dxa" w:w="1728"/>
          </w:tcPr>
          <w:p>
            <w:r>
              <w:t>18.9</w:t>
            </w:r>
          </w:p>
        </w:tc>
        <w:tc>
          <w:tcPr>
            <w:tcW w:type="dxa" w:w="1728"/>
          </w:tcPr>
          <w:p>
            <w:r>
              <w:t>0.94</w:t>
            </w:r>
          </w:p>
        </w:tc>
      </w:tr>
      <w:tr>
        <w:tc>
          <w:tcPr>
            <w:tcW w:type="dxa" w:w="1728"/>
          </w:tcPr>
          <w:p>
            <w:r>
              <w:t>Cohort B (Adult)</w:t>
            </w:r>
          </w:p>
        </w:tc>
        <w:tc>
          <w:tcPr>
            <w:tcW w:type="dxa" w:w="1728"/>
          </w:tcPr>
          <w:p>
            <w:r>
              <w:t>Standard of Care</w:t>
            </w:r>
          </w:p>
        </w:tc>
        <w:tc>
          <w:tcPr>
            <w:tcW w:type="dxa" w:w="1728"/>
          </w:tcPr>
          <w:p>
            <w:r>
              <w:t>65.8%</w:t>
            </w:r>
          </w:p>
        </w:tc>
        <w:tc>
          <w:tcPr>
            <w:tcW w:type="dxa" w:w="1728"/>
          </w:tcPr>
          <w:p>
            <w:r>
              <w:t>11.5</w:t>
            </w:r>
          </w:p>
        </w:tc>
        <w:tc>
          <w:tcPr>
            <w:tcW w:type="dxa" w:w="1728"/>
          </w:tcPr>
          <w:p>
            <w:r>
              <w:t>0.81</w:t>
            </w:r>
          </w:p>
        </w:tc>
      </w:tr>
    </w:tbl>
    <w:p>
      <w:r>
        <w:rPr>
          <w:i/>
          <w:sz w:val="16"/>
        </w:rPr>
        <w:br/>
        <w:t>*Footnote 2.1a: Model confidence (AUC-ROC) was calculated using an ensemble ResNet50 backbone, fine-tuned on hematological imaging data to penalize false negatives.</w:t>
      </w:r>
    </w:p>
    <w:p>
      <w:pPr>
        <w:pStyle w:val="Heading1"/>
      </w:pPr>
      <w:r>
        <w:t>3. Pharmacovigilance &amp; Nested Regulatory Clauses</w:t>
      </w:r>
    </w:p>
    <w:p>
      <w:r>
        <w:t>Adverse Events (AEs) were cataloged using the MedDRA coding dictionary. To test hierarchical metadata extraction, review the following nested compliance clauses:</w:t>
      </w:r>
    </w:p>
    <w:p>
      <w:pPr>
        <w:pStyle w:val="Heading3"/>
      </w:pPr>
      <w:r>
        <w:t>Clause 3.1: Data Retention</w:t>
      </w:r>
    </w:p>
    <w:p>
      <w:pPr>
        <w:pStyle w:val="ListBullet"/>
      </w:pPr>
      <w:r>
        <w:t>Clause 3.1.a: All raw DICOM data must be retained for a minimum of 7 years post-trial conclusion.</w:t>
      </w:r>
    </w:p>
    <w:p>
      <w:pPr>
        <w:pStyle w:val="ListBullet2"/>
      </w:pPr>
      <w:r>
        <w:t>Clause 3.1.b: Sub-clause (i): In the event of a regulatory audit, data must be serialized to JSON format within 48 hours.</w:t>
      </w:r>
    </w:p>
    <w:p>
      <w:pPr>
        <w:pStyle w:val="Heading1"/>
      </w:pPr>
      <w:r>
        <w:t>4. Enterprise Data Architecture (Medallion Standard)</w:t>
      </w:r>
    </w:p>
    <w:p>
      <w:r>
        <w:t>To ensure high-fidelity diagnostic outputs and regulatory compliance, the data infrastructure strictly adheres to a Medallion Architecture. This isolates raw telemetry from ML-ready features.</w:t>
      </w:r>
    </w:p>
    <w:p>
      <w:pPr>
        <w:pStyle w:val="Heading2"/>
      </w:pPr>
      <w:r>
        <w:t>4.1. Storage Layers</w:t>
      </w:r>
    </w:p>
    <w:p>
      <w:pPr>
        <w:pStyle w:val="ListBullet"/>
      </w:pPr>
      <w:r>
        <w:t>Bronze Layer: Raw DICOM and clinical notes ingested directly from hospital edge nodes.</w:t>
      </w:r>
    </w:p>
    <w:p>
      <w:pPr>
        <w:pStyle w:val="ListBullet"/>
      </w:pPr>
      <w:r>
        <w:t>Silver Layer: Standardized records where pixel intensities are normalized and PII is scrubbed using containerized masking services (Dockerized instances).</w:t>
      </w:r>
    </w:p>
    <w:p>
      <w:pPr>
        <w:pStyle w:val="ListBullet"/>
      </w:pPr>
      <w:r>
        <w:t>Gold Layer: Tensor-ready arrays used directly by the distributed model training pipeline.</w:t>
      </w:r>
    </w:p>
    <w:p>
      <w:pPr>
        <w:pStyle w:val="Heading2"/>
      </w:pPr>
      <w:r>
        <w:t>4.2 Backend API and Microservices Integration</w:t>
      </w:r>
    </w:p>
    <w:p>
      <w:r>
        <w:t>The inference engine is exposed via a production-ready FastAPI backend, securely handling JWT-authenticated requests from clinical dashboards. All database migrations for patient logs are strictly managed via Alembic to ensure zero-downtime schema updates during active clinical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