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的识别策略提供了政策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的外生冲击增强因果识别。</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结合2018年股票质押新规构造准自然实验，为因果识别提供补充证据，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对二者进行更清晰的因果识别。</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并以平仓压力、控股股东资金占用和现金边际价值（Faulkender和Wang，2006）构造能够区分风险规避与掏空的渠道检验，并以融资约束程度和产权性质刻画效应的边界条件；第三，在识别策略上，以2018年股票质押新规构造处理强度双重差分模型，并以省级纾困计划构造的交错双重差分模型作为补充检验；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中国A股非金融类上市公司为研究对象，剔除ST、*ST、金融类企业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周少甫和叶宁，2023）。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Wind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因果识别上，以2018年股票质押新规构造处理强度双重差分模型作为主要策略，配合平行趋势、动态效应与安慰剂检验；以各省份分批实施的纾困计划构造交错双重差分模型作为补充检验，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主要识别策略）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刻画“掏空”与“风险规避”两种机制各自占优的条件区间，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双重差分、稳健性检验与内生性处理识别该效应的因果性及其在融资约束、产权性质维度上的差异，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2018年股票质押新规构造双重差分设计。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二，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在上述基础上，本文还将采用双向固定效应模型控制不可观测的公司与时间特征，并将核心解释变量作滞后一期处理以缓解同时性问题。</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用途依据质押公告手工整理，披露不全的样本不纳入该项检验），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公司财务数据：总资产、总负债、货币资金、经营活动现金流、净利润、营业收入、固定资产、员工人数等，来源CSMAR“公司财务年报数据库”；</w:t>
            </w:r>
          </w:p>
          <w:p>
            <w:pPr>
              <w:spacing/>
              <w:ind w:firstLine="420"/>
            </w:pPr>
            <w:r>
              <w:rPr>
                <w:rFonts w:ascii="宋体" w:cs="SimSun" w:eastAsia="宋体" w:hAnsi="宋体"/>
                <w:sz w:val="21"/>
                <w:szCs w:val="22"/>
              </w:rPr>
              <w:t xml:space="preserve">③ 公司治理数据：第一大股东持股比例、股权集中度、董事会规模、两职合一、产权性质，来源CSMAR“公司治理结构研究数据库”；</w:t>
            </w:r>
          </w:p>
          <w:p>
            <w:pPr>
              <w:spacing/>
              <w:ind w:firstLine="420"/>
            </w:pPr>
            <w:r>
              <w:rPr>
                <w:rFonts w:ascii="宋体" w:cs="SimSun" w:eastAsia="宋体" w:hAnsi="宋体"/>
                <w:sz w:val="21"/>
                <w:szCs w:val="22"/>
              </w:rPr>
              <w:t xml:space="preserve">④ 市场交易数据：用于计算Tobin's Q等指标所需的股票市值数据，来源CSMAR/Wind；</w:t>
            </w:r>
          </w:p>
          <w:p>
            <w:pPr>
              <w:spacing/>
              <w:ind w:firstLine="420"/>
            </w:pPr>
            <w:r>
              <w:rPr>
                <w:rFonts w:ascii="宋体" w:cs="SimSun" w:eastAsia="宋体" w:hAnsi="宋体"/>
                <w:sz w:val="21"/>
                <w:szCs w:val="22"/>
              </w:rPr>
              <w:t xml:space="preserve">⑤ 样本区间与筛选规则：拟采用2007—2025年A股非金融类上市公司（覆盖2018年质押新规实施前11年、实施后8年），剔除ST、*ST及主要变量缺失样本，以保证面板数据的观测量和DID识别所需的政策前后样本均衡。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成本</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CSMAR「股东研究—十大股东」「股权质押」子库；Wind「股权质押」专题</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经学校图书馆「数据库导航」登录后，按年度分批导出明细并合并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CSMAR「公司研究系列—财务报表、财务指标分析」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按报表类型分别导出，按「股票代码—年度」整理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公司治理数据（第一大股东持股比例、实际控制人性质、董事会规模、两职合一）</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CSMAR「公司治理结构研究数据库」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按年度导出后与财务数据匹配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CSMAR「股票市场交易数据库」；Wind</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 及股价相关指标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证监会2012版行业分类（CSMAR／巨潮资讯网）</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免费替代路径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akshare（akshare.akfamily.xyz）、baostock（baostock.com）、tushare（tushare.pro）</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Python 接口可免费获取 A 股财务指标、行情与上市日期；akshare 另设东方财富股权质押系列接口（如 stock_gpzy_pledge_ratio_em 等，具体名称以官网最新文档为准），可用于交叉核验质押比例；tushare 需注册 token；数据需自行清洗合并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Stata（xtreg fe／reghdfe，标准误在公司层面聚类）或 Python（statsmodels、linearmodels 的 PanelOLS）依次完成基准回归、调节效应检验、分组异质性检验、稳健性检验与内生性处理。</w:t>
            </w:r>
          </w:p>
          <w:p>
            <w:pPr>
              <w:spacing/>
              <w:ind w:firstLine="420"/>
            </w:pPr>
            <w:r>
              <w:rPr>
                <w:rFonts w:ascii="宋体" w:cs="SimSun" w:eastAsia="宋体" w:hAnsi="宋体"/>
                <w:sz w:val="21"/>
                <w:szCs w:val="22"/>
              </w:rPr>
              <w:t xml:space="preserve">截至目前，上述步骤已全部完成，形成2007—2025年沪深A股非金融上市公司的公司—年度面板，回归样本52,743个观测、5,165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核心变量的定义、计算公式与数据来源见表2，各指数公式与系数的文献出处见表3；变量的具体取值待数据下载与测算完成后填入。</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依据年度最低收盘价与本息预警价格的距离测算；假设质押折扣率40%、年利率10%、利息周期90天、预警线160%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CSMAR月度个股回报与Fama-French因子（CSMAR/锐思），H2检验用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巨潮资讯网质押公告手工整理（披露不全者不纳入），参照余明桂等(2021)、苏治等(2023)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截尾（原文上限分别为45亿美元与37年，本文按汇率与价格指数折算）；保留原始符号，数值越大表示融资约束越严重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为公司规模、杠杆率、盈利能力、成长机会、现金流水平、现金流波动性、净营运资本、上市年限、股权集中度等控制变量，资本支出与现金股利因可能受质押影响而不进入基准控制变量；Year_FE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采用按产权性质分组回归并以似无相关检验（SUR）比较组间系数差异的方式检验。模型3中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0.121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0.219</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-3.510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22.262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1.312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19.663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22.075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26.274</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-0.274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0.079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2.785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0.220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2.398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1.737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10.942</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0.070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注：样本为2007—2025年沪深A股非金融上市公司，共52,743个公司—年度观测、5,165家公司；连续变量经上下1%缩尾；SA指数保留原始符号，数值越大表示融资约束越强。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-0.0185，在1%水平上显著；列(3)以行业×年度固定效应吸收行业层面的共同冲击，列(4)以上市年数固定效应控制新上市公司募集资金所带来的现金持有生命周期特征，结论均保持不变。按样本标准差折算，质押比例上升一个标准差，现金持有水平约下降其均值的2.6%。初步结果与H1b（掏空说）一致，与H1a不符。</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-0.0377***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-0.0185***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0.488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0.601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52,518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0.54，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-0.1776***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-0.1728***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-0.0414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-0.0494***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0.1634***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0.1381***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0.0364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0.0345**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0.598</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7,050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52,736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6,994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52,519</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