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p>
      <w:pPr>
        <w:spacing w:after="160" w:before="260"/>
      </w:pPr>
      <w:r>
        <w:rPr>
          <w:rFonts w:ascii="SimHei" w:cs="SimHei" w:eastAsia="SimHei" w:hAnsi="SimHei"/>
          <w:b/>
          <w:bCs/>
          <w:sz w:val="26"/>
          <w:szCs w:val="26"/>
        </w:rPr>
        <w:t xml:space="preserve">硕士研究生学位论文开题报告表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市场质押规模随后迅速扩张；2018年1月，上述办法修订实施，对单一股票质押比例上限、质押率上限、融入资金用途、融入方资质等作出更严格规定，同年中国证监会、中国人民银行、原中国银保监会联合发布《关于加强上市公司股份质押风险管控的意见》；2018年第四季度起，多个省份的地方政府与金融机构陆续设立民营企业纾困专项基金，以市场化方式化解上市公司股权质押风险（毛捷和管星华，2022）；2019年10月，监管部门进一步规范了股权质押的信息披露要求（郑登津等，2026）；2025年12月，中国证监会就《上市公司监督管理条例（公开征求意见稿）》公开征求意见，明确严禁控股股东、实际控制人开展资金占用、违规担保等损害上市公司利益的行为。上述制度演进反映出监管层对质押风险向公司经营层面传导的高度关注，也为本文评估监管政策的实际效果提供了检验场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Pan和Qian（2024）则从企业融资视角提供了国际经验证据。</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考察监管政策对这一传导关系的影响。</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国内研究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需要指出的是，上述研究或以省级纾困计划、或以信息披露规则作为识别策略，尚未见有研究以2018年股票质押新规为外生冲击，考察其对企业现金持有水平的影响。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区分公司间差异与公司内变化；同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并复现李常青等（2018b）的U型关系、比较混合回归与公司固定效应的结果；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5375559" cy="6838906"/>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5375559" cy="6838906"/>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5040000" cy="501200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5040000" cy="501200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区分公司间差异与公司内变化重新检验既有文献发现的U型关系，结合渠道检验判断“掏空”与“风险规避”两种机制是否成立，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未实施纾困计划的省份仅有海南、贵州、云南、甘肃、青海和西藏六个，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投向取自CSMAR质押明细表，投向上市公司的记录仅约占2%，该项检验仅作补充），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公司财务数据：总资产、总负债、货币资金、流动资产与流动负债、其他应收款与其他应付款、经营活动现金流、资本支出、净利润、营业总收入等，来源CSMAR「公司研究系列—财务报表」（合并报表、年报）；</w:t>
            </w:r>
          </w:p>
          <w:p>
            <w:pPr>
              <w:spacing/>
              <w:ind w:firstLine="420"/>
            </w:pPr>
            <w:r>
              <w:rPr>
                <w:rFonts w:ascii="宋体" w:cs="SimSun" w:eastAsia="宋体" w:hAnsi="宋体"/>
                <w:sz w:val="21"/>
                <w:szCs w:val="22"/>
              </w:rPr>
              <w:t xml:space="preserve">③ 公司治理数据：第一大股东持股比例、产权性质，来源CSMAR「股东研究」十大股东文件与股权性质文件；</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Python（pyfixest，与 Stata 的 reghdfe 等价，标准误在公司层面聚类）依次完成基准回归、调节效应检验、分组异质性检验、稳健性检验与内生性处理，并提供对应的 Stata 代码。</w:t>
            </w:r>
          </w:p>
          <w:p>
            <w:pPr>
              <w:spacing/>
              <w:ind w:firstLine="420"/>
            </w:pPr>
            <w:r>
              <w:rPr>
                <w:rFonts w:ascii="宋体" w:cs="SimSun" w:eastAsia="宋体" w:hAnsi="宋体"/>
                <w:sz w:val="21"/>
                <w:szCs w:val="22"/>
              </w:rPr>
              <w:t xml:space="preserve">截至目前，第 1—4 步与基准回归已经完成，KZ／WW 指数、PSM 匹配样本与 DID 变量将在后续检验中构造；受限货币资金、利息收入与研发投入等拓展检验所需数据将在后续补充下载。现已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核心变量的定义、计算公式与数据来源见表2，各指数公式与系数的文献出处见表3；核心变量已完成测算，主要变量的描述性统计见表4。</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CSMAR月个股回报率文件；基准收益为按规模与账面市值比构造的25个组合收益，三因子（CSMAR因子研究）作稳健性检验；H2检验用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公司注册地所属省份在t年已实施纾困计划=1，否则=0；未实施省份为海南、贵州、云南、甘肃、青海、西藏（名单需逐省核实）</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CSMAR股东股权质押情况明细表「投向」字段（投向上市公司的记录约占2%，仅作补充检验），参照余明桂等(2021)、苏治等(2023)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截尾（原文上限分别为45亿美元与37年；本文将规模上限按汇率折算为370亿元人民币）；保留原始符号，数值越大表示融资约束越严重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为公司规模、杠杆率、盈利能力、营业收入增长率、成长机会（Tobin Q）、现金流水平、现金流波动性、净营运资本、上市年限、股权集中度等控制变量，资本支出与现金股利因可能受质押影响而不进入基准控制变量；Year_FE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以 Pledge×SOE 交乘项检验组间差异，并同时报告按产权性质分组的回归结果。模型3中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科研论文工作的总工作量（估计）、分研究阶段的进度（起迄日期）和要求。</w:t>
            </w:r>
          </w:p>
          <w:p>
            <w:pPr>
              <w:spacing/>
              <w:ind w:firstLine="420"/>
            </w:pPr>
            <w:r>
              <w:rPr>
                <w:rFonts w:ascii="宋体" w:cs="SimSun" w:eastAsia="宋体" w:hAnsi="宋体"/>
                <w:sz w:val="21"/>
                <w:szCs w:val="22"/>
              </w:rPr>
              <w:t xml:space="preserve">本文的主要工作进展及安排如表8所示：</w:t>
            </w:r>
          </w:p>
          <w:p>
            <w:pPr>
              <w:spacing/>
            </w:pPr>
            <w:r>
              <w:rPr>
                <w:rFonts w:ascii="宋体" w:cs="SimSun" w:eastAsia="宋体" w:hAnsi="宋体"/>
                <w:b/>
                <w:bCs/>
                <w:sz w:val="21"/>
                <w:szCs w:val="22"/>
              </w:rPr>
              <w:t xml:space="preserve">表8　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[20] Chen Y, Hu S Y. The controlling shareholder's personal leverage and firm performance[J]. Applied Economics, 2007, 39(8): 1059-1075.</w:t>
            </w:r>
          </w:p>
          <w:p>
            <w:pPr>
              <w:spacing/>
              <w:ind/>
            </w:pPr>
            <w:r>
              <w:rPr>
                <w:rFonts w:ascii="宋体" w:cs="SimSun" w:eastAsia="宋体" w:hAnsi="宋体"/>
                <w:sz w:val="21"/>
                <w:szCs w:val="22"/>
              </w:rPr>
              <w:t xml:space="preserve">[21] Chan K, Chen H K, Hu S Y, Liu Y. Share pledges and margin call pressure[J]. Journal of Corporate Finance, 2018, 52: 96-117.</w:t>
            </w:r>
          </w:p>
          <w:p>
            <w:pPr>
              <w:spacing/>
              <w:ind/>
            </w:pPr>
            <w:r>
              <w:rPr>
                <w:rFonts w:ascii="宋体" w:cs="SimSun" w:eastAsia="宋体" w:hAnsi="宋体"/>
                <w:sz w:val="21"/>
                <w:szCs w:val="22"/>
              </w:rPr>
              <w:t xml:space="preserve">[22]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[23]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[24] Pang C, Wang Y. Stock pledge, risk of losing control and corporate innovation[J]. Journal of Corporate Finance, 2020, 60: 101534.</w:t>
            </w:r>
          </w:p>
          <w:p>
            <w:pPr>
              <w:spacing/>
              <w:ind/>
            </w:pPr>
            <w:r>
              <w:rPr>
                <w:rFonts w:ascii="宋体" w:cs="SimSun" w:eastAsia="宋体" w:hAnsi="宋体"/>
                <w:sz w:val="21"/>
                <w:szCs w:val="22"/>
              </w:rPr>
              <w:t xml:space="preserve">[25]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[26]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[27] Pan X, Qian M. Firm financing through insider stock pledges[J]. Review of Finance, 2024, 28(2): 621-659.</w:t>
            </w:r>
          </w:p>
          <w:p>
            <w:pPr>
              <w:spacing/>
              <w:ind/>
            </w:pPr>
            <w:r>
              <w:rPr>
                <w:rFonts w:ascii="宋体" w:cs="SimSun" w:eastAsia="宋体" w:hAnsi="宋体"/>
                <w:sz w:val="21"/>
                <w:szCs w:val="22"/>
              </w:rPr>
              <w:t xml:space="preserve">[28] 郝项超，梁琪．最终控制人股权质押损害公司价值么？[J]．会计研究，2009(7)：57-63．</w:t>
            </w:r>
          </w:p>
          <w:p>
            <w:pPr>
              <w:spacing/>
              <w:ind/>
            </w:pPr>
            <w:r>
              <w:rPr>
                <w:rFonts w:ascii="宋体" w:cs="SimSun" w:eastAsia="宋体" w:hAnsi="宋体"/>
                <w:sz w:val="21"/>
                <w:szCs w:val="22"/>
              </w:rPr>
              <w:t xml:space="preserve">[29] 王彦超．融资约束、现金持有与过度投资[J]．金融研究，2009(7)：121-133．</w:t>
            </w:r>
          </w:p>
          <w:p>
            <w:pPr>
              <w:spacing/>
              <w:ind/>
            </w:pPr>
            <w:r>
              <w:rPr>
                <w:rFonts w:ascii="宋体" w:cs="SimSun" w:eastAsia="宋体" w:hAnsi="宋体"/>
                <w:sz w:val="21"/>
                <w:szCs w:val="22"/>
              </w:rPr>
              <w:t xml:space="preserve">[30] 连玉君，彭方平，苏治．融资约束和流动性管理行为[J]．金融研究，2010(10)：158-171．</w:t>
            </w:r>
          </w:p>
          <w:p>
            <w:pPr>
              <w:spacing/>
              <w:ind/>
            </w:pPr>
            <w:r>
              <w:rPr>
                <w:rFonts w:ascii="宋体" w:cs="SimSun" w:eastAsia="宋体" w:hAnsi="宋体"/>
                <w:sz w:val="21"/>
                <w:szCs w:val="22"/>
              </w:rPr>
              <w:t xml:space="preserve">[31] 鞠晓生，卢荻，虞义华．融资约束、营运资本管理与企业创新可持续性[J]．经济研究，2013，48(1)：4-16．</w:t>
            </w:r>
          </w:p>
          <w:p>
            <w:pPr>
              <w:spacing/>
              <w:ind/>
            </w:pPr>
            <w:r>
              <w:rPr>
                <w:rFonts w:ascii="宋体" w:cs="SimSun" w:eastAsia="宋体" w:hAnsi="宋体"/>
                <w:sz w:val="21"/>
                <w:szCs w:val="22"/>
              </w:rPr>
              <w:t xml:space="preserve">[32] 郑国坚，林东杰，林斌．大股东股权质押、占款与企业价值[J]．管理科学学报，2014，17(9)：72-87．</w:t>
            </w:r>
          </w:p>
          <w:p>
            <w:pPr>
              <w:spacing/>
              <w:ind/>
            </w:pPr>
            <w:r>
              <w:rPr>
                <w:rFonts w:ascii="宋体" w:cs="SimSun" w:eastAsia="宋体" w:hAnsi="宋体"/>
                <w:sz w:val="21"/>
                <w:szCs w:val="22"/>
              </w:rPr>
              <w:t xml:space="preserve">[33] 李旎，郑国坚．市值管理动机下的控股股东股权质押融资与利益侵占[J]．会计研究，2015(5)：42-49．</w:t>
            </w:r>
          </w:p>
          <w:p>
            <w:pPr>
              <w:spacing/>
              <w:ind/>
            </w:pPr>
            <w:r>
              <w:rPr>
                <w:rFonts w:ascii="宋体" w:cs="SimSun" w:eastAsia="宋体" w:hAnsi="宋体"/>
                <w:sz w:val="21"/>
                <w:szCs w:val="22"/>
              </w:rPr>
              <w:t xml:space="preserve">[34] 温忠麟，侯杰泰，张雷．调节效应与中介效应的比较和应用[J]．心理学报，2005，37(2)：268-274．</w:t>
            </w:r>
          </w:p>
          <w:p>
            <w:pPr>
              <w:spacing/>
              <w:ind/>
            </w:pPr>
            <w:r>
              <w:rPr>
                <w:rFonts w:ascii="宋体" w:cs="SimSun" w:eastAsia="宋体" w:hAnsi="宋体"/>
                <w:sz w:val="21"/>
                <w:szCs w:val="22"/>
              </w:rPr>
              <w:t xml:space="preserve">[35]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[36] 谢德仁，廖珂．控股股东股权质押与上市公司真实盈余管理[J]．会计研究，2018(8)：21-27．</w:t>
            </w:r>
          </w:p>
          <w:p>
            <w:pPr>
              <w:spacing/>
              <w:ind/>
            </w:pPr>
            <w:r>
              <w:rPr>
                <w:rFonts w:ascii="宋体" w:cs="SimSun" w:eastAsia="宋体" w:hAnsi="宋体"/>
                <w:sz w:val="21"/>
                <w:szCs w:val="22"/>
              </w:rPr>
              <w:t xml:space="preserve">[37] 李常青，李宇坤，李茂良．控股股东股权质押与企业创新投入[J]．金融研究，2018(7)：143-157．</w:t>
            </w:r>
          </w:p>
          <w:p>
            <w:pPr>
              <w:spacing/>
              <w:ind/>
            </w:pPr>
            <w:r>
              <w:rPr>
                <w:rFonts w:ascii="宋体" w:cs="SimSun" w:eastAsia="宋体" w:hAnsi="宋体"/>
                <w:sz w:val="21"/>
                <w:szCs w:val="22"/>
              </w:rPr>
              <w:t xml:space="preserve">[38]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[39] 王雄元，欧阳才越，史震阳．股权质押、控制权转移风险与税收规避[J]．经济研究，2018(1)：138-152．</w:t>
            </w:r>
          </w:p>
          <w:p>
            <w:pPr>
              <w:spacing/>
              <w:ind/>
            </w:pPr>
            <w:r>
              <w:rPr>
                <w:rFonts w:ascii="宋体" w:cs="SimSun" w:eastAsia="宋体" w:hAnsi="宋体"/>
                <w:sz w:val="21"/>
                <w:szCs w:val="22"/>
              </w:rPr>
              <w:t xml:space="preserve">[40] 廖珂，崔宸瑜，谢德仁．控股股东股权质押与上市公司股利政策选择[J]．金融研究，2018(4)：172-189．</w:t>
            </w:r>
          </w:p>
          <w:p>
            <w:pPr>
              <w:spacing/>
              <w:ind/>
            </w:pPr>
            <w:r>
              <w:rPr>
                <w:rFonts w:ascii="宋体" w:cs="SimSun" w:eastAsia="宋体" w:hAnsi="宋体"/>
                <w:sz w:val="21"/>
                <w:szCs w:val="22"/>
              </w:rPr>
              <w:t xml:space="preserve">[41] 唐玮，夏晓雪，姜付秀．控股股东股权质押与公司融资约束[J]．会计研究，2019(6)：51-57．</w:t>
            </w:r>
          </w:p>
          <w:p>
            <w:pPr>
              <w:spacing/>
              <w:ind/>
            </w:pPr>
            <w:r>
              <w:rPr>
                <w:rFonts w:ascii="宋体" w:cs="SimSun" w:eastAsia="宋体" w:hAnsi="宋体"/>
                <w:sz w:val="21"/>
                <w:szCs w:val="22"/>
              </w:rPr>
              <w:t xml:space="preserve">[42] 柯艳蓉，李玉敏．控股股东股权质押、投资效率与公司期权价值[J]．经济管理，2019，41(12)：123-139．</w:t>
            </w:r>
          </w:p>
          <w:p>
            <w:pPr>
              <w:spacing/>
              <w:ind/>
            </w:pPr>
            <w:r>
              <w:rPr>
                <w:rFonts w:ascii="宋体" w:cs="SimSun" w:eastAsia="宋体" w:hAnsi="宋体"/>
                <w:sz w:val="21"/>
                <w:szCs w:val="22"/>
              </w:rPr>
              <w:t xml:space="preserve">[43]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[44] 柯艳蓉，吴晓晖，李玉敏．控股股东股权质押、股权结构与股票流动性[J]．国际金融研究，2020(7)．</w:t>
            </w:r>
          </w:p>
          <w:p>
            <w:pPr>
              <w:spacing/>
              <w:ind/>
            </w:pPr>
            <w:r>
              <w:rPr>
                <w:rFonts w:ascii="宋体" w:cs="SimSun" w:eastAsia="宋体" w:hAnsi="宋体"/>
                <w:sz w:val="21"/>
                <w:szCs w:val="22"/>
              </w:rPr>
              <w:t xml:space="preserve">[45] 胡聪慧，朱菲菲，邱卉敏．股权质押、风险管理与大股东增持[J]．金融研究，2020(9)：190-206．</w:t>
            </w:r>
          </w:p>
          <w:p>
            <w:pPr>
              <w:spacing/>
              <w:ind/>
            </w:pPr>
            <w:r>
              <w:rPr>
                <w:rFonts w:ascii="宋体" w:cs="SimSun" w:eastAsia="宋体" w:hAnsi="宋体"/>
                <w:sz w:val="21"/>
                <w:szCs w:val="22"/>
              </w:rPr>
              <w:t xml:space="preserve">[46]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[47] 杜勇，眭鑫．控股股东股权质押与实体企业金融化——基于“掏空”与控制权转移的视角[J]．会计研究，2021(2)：102-119．</w:t>
            </w:r>
          </w:p>
          <w:p>
            <w:pPr>
              <w:spacing/>
              <w:ind/>
            </w:pPr>
            <w:r>
              <w:rPr>
                <w:rFonts w:ascii="宋体" w:cs="SimSun" w:eastAsia="宋体" w:hAnsi="宋体"/>
                <w:sz w:val="21"/>
                <w:szCs w:val="22"/>
              </w:rPr>
              <w:t xml:space="preserve">[48] 余明桂，宋慧恬，张庆．支持型股权质押、融资约束与公司投资[J]．财会月刊，2021(12)：23-33．</w:t>
            </w:r>
          </w:p>
          <w:p>
            <w:pPr>
              <w:spacing/>
              <w:ind/>
            </w:pPr>
            <w:r>
              <w:rPr>
                <w:rFonts w:ascii="宋体" w:cs="SimSun" w:eastAsia="宋体" w:hAnsi="宋体"/>
                <w:sz w:val="21"/>
                <w:szCs w:val="22"/>
              </w:rPr>
              <w:t xml:space="preserve">[49] 毛捷，管星华．地方政府纾困政策的效应研究：来自上市公司的证据[J]．经济研究，2022，57(9)：82-98．</w:t>
            </w:r>
          </w:p>
          <w:p>
            <w:pPr>
              <w:spacing/>
              <w:ind/>
            </w:pPr>
            <w:r>
              <w:rPr>
                <w:rFonts w:ascii="宋体" w:cs="SimSun" w:eastAsia="宋体" w:hAnsi="宋体"/>
                <w:sz w:val="21"/>
                <w:szCs w:val="22"/>
              </w:rPr>
              <w:t xml:space="preserve">[50] 周孝华，王诗意．纾困基金是否具有“造血”扶持之效？——基于民营企业价值的视角[J]．财经研究，2022，48(3)：48-63．</w:t>
            </w:r>
          </w:p>
          <w:p>
            <w:pPr>
              <w:spacing/>
              <w:ind/>
            </w:pPr>
            <w:r>
              <w:rPr>
                <w:rFonts w:ascii="宋体" w:cs="SimSun" w:eastAsia="宋体" w:hAnsi="宋体"/>
                <w:sz w:val="21"/>
                <w:szCs w:val="22"/>
              </w:rPr>
              <w:t xml:space="preserve">[51]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[52] 刘强，董恬媛，韩洪灵．控股股东股权质押与企业劳动收入份额[J]．当代经济科学，2025，47(6)：59-72．</w:t>
            </w:r>
          </w:p>
          <w:p>
            <w:pPr>
              <w:spacing/>
              <w:ind/>
            </w:pPr>
            <w:r>
              <w:rPr>
                <w:rFonts w:ascii="宋体" w:cs="SimSun" w:eastAsia="宋体" w:hAnsi="宋体"/>
                <w:sz w:val="21"/>
                <w:szCs w:val="22"/>
              </w:rPr>
              <w:t xml:space="preserve">[53]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[54]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[55]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[56] Lind J T, Mehlum H. With or without U? The appropriate test for a U-shaped relationship[J]. Oxford Bulletin of Economics and Statistics, 2010, 72(1): 109-118.</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 </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