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市场质押规模随后迅速扩张；2018年1月，上述办法修订实施，对单一股票质押比例上限、质押率上限、融入资金用途、融入方资质等作出更严格规定，同年中国证监会、中国人民银行、原中国银保监会联合发布《关于加强上市公司股份质押风险管控的意见》；2018年第四季度起，多个省份的地方政府与金融机构陆续设立民营企业纾困专项基金，以市场化方式化解上市公司股权质押风险（毛捷和管星华，2022）；2019年10月，监管部门进一步规范了股权质押的信息披露要求（郑登津等，2026）；2025年12月，中国证监会就《上市公司监督管理条例（公开征求意见稿）》公开征求意见，明确严禁控股股东、实际控制人开展资金占用、违规担保等损害上市公司利益的行为。上述制度演进反映出监管层对质押风险向公司经营层面传导的高度关注，也为本文的识别策略提供了政策检验场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其结果总体支持风险规避说。但既有检验主要依据回归系数的符号推断何种机制占优，而净效应为正并不能排除掏空渠道同时存在；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的外生冲击增强因果识别。</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结合2018年股票质押新规构造准自然实验，为因果识别提供补充证据，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自Fazzari等（1988）提出投资—现金流敏感性框架以来，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降低企业投资效率（柯艳蓉和李玉敏，2019），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Pan和Qian（2024）则从企业融资视角提供了国际经验证据。</w:t>
            </w:r>
          </w:p>
          <w:p>
            <w:pPr>
              <w:spacing/>
              <w:ind w:firstLine="420"/>
            </w:pPr>
            <w:r>
              <w:rPr>
                <w:rFonts w:ascii="宋体" w:cs="SimSun" w:eastAsia="宋体" w:hAnsi="宋体"/>
                <w:sz w:val="21"/>
                <w:szCs w:val="22"/>
              </w:rPr>
              <w:t xml:space="preserve">境外研究表明，内部人股权质押并非中国独有的现象。Chen和Hu（2007）较早基于我国台湾地区数据考察了控股股东个人杠杆与公司绩效的关系；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以及质押对公司股票流动性的影响（柯艳蓉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余明桂等（2021）将股权质押划分为支持型与非支持型，发现只有资金投向上市公司的支持型质押才显著提高公司投资水平；苏治等（2023）以公用型与私用型的类似划分发现，私用型质押显著提高股价崩盘风险，而公用型质押则无显著影响。这提示两种机制可能在不同的质押类型与不同的企业情境下分别占据主导地位。</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对二者进行更清晰的因果识别。</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Guo等（2021）研究了中国市场上股权质押与股份回购限制放松之间的关系。国内研究方面，毛捷和管星华（2022）以各省份分批实施的纾困计划为准自然实验，构建强度双重差分模型，发现纾困计划显著提升了上市公司市场价值，其作用机制在于抑制了控股股东的资金占用与关联交易；周孝华和王诗意（2022）从民营企业价值视角检验了纾困基金的“造血”扶持效应；刘强等（2025）进一步发现，纾困基金能够有效缓解股权质押对企业劳动收入份额的抑制作用。郑登津等（2026）则系统梳理了我国股权质押制度的演进脉络，并以2019年信息披露新规作为外生冲击开展分组检验。</w:t>
            </w:r>
          </w:p>
          <w:p>
            <w:pPr>
              <w:spacing/>
              <w:ind w:firstLine="420"/>
            </w:pPr>
            <w:r>
              <w:rPr>
                <w:rFonts w:ascii="宋体" w:cs="SimSun" w:eastAsia="宋体" w:hAnsi="宋体"/>
                <w:b/>
                <w:sz w:val="21"/>
                <w:szCs w:val="22"/>
              </w:rPr>
              <w:t xml:space="preserve">需要指出的是，上述研究或以省级纾困计划、或以信息披露规则作为识别策略，尚未见有研究以2018年股票质押新规为外生冲击，考察其对企业现金持有水平的影响。</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直接考察了股权质押与现金持有的关系，但对两种机制的区分主要依赖净效应的符号，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不满足于以净效应符号“选边站队”，而是以平仓压力、控股股东资金占用和现金边际价值（Faulkender和Wang，2006）构造能够区分风险规避与掏空的渠道检验，并以融资约束程度和产权性质刻画效应的边界条件；第三，在识别策略上，以2018年股票质押新规构造处理强度双重差分模型，并以省级纾困计划构造的交错双重差分模型作为补充检验；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中国A股非金融类上市公司为研究对象，剔除ST、*ST、金融类企业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周少甫和叶宁，2023）。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Wind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因果识别上，以2018年股票质押新规构造处理强度双重差分模型作为主要策略，配合平行趋势、动态效应与安慰剂检验；以各省份分批实施的纾困计划构造交错双重差分模型作为补充检验，鉴于交错处理下传统双向固定效应估计量存在偏误（Goodman-Bacon，2021；de Chaisemartin和D’Haultfœuille，2020），该部分采用Callaway和Sant’Anna（2021）与Sun和Abraham（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主要识别策略）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4680000" cy="5635818"/>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4680000" cy="5635818"/>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4140000" cy="428427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4140000" cy="428427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刻画“掏空”与“风险规避”两种机制各自占优的条件区间，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双重差分、稳健性检验与内生性处理识别该效应的因果性及其在融资约束、产权性质维度上的差异，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逐笔质押明细需要依据起止日期推算年末未解押余额，且质押比例等字段在不同数据库中的统计口径可能不完全一致。本文拟以CSMAR年报“十大股东”文件中第一大股东的“质押或冻结股份数量”计算年末质押比例作为基准口径（该口径覆盖完整，与主流文献一致），以CSMAR股权质押明细推算的年末质押余额和Wind数据进行交叉核验，对差异较大的样本通过手工核对上市公司公告加以修正，并利用质押明细区分股权质押与司法冻结。</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2018年股票质押新规构造双重差分设计。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二，借鉴毛捷和管星华（2022）的做法，以各省份分批实施的纾困计划构造交错双重差分模型作为补充检验：若H1a成立，纾困实施后高质押公司的预防性现金持有应相应回落。但未实施纾困计划的省份仅有海南、贵州、云南、甘肃、青海和西藏六个，对照组上市公司数量有限，且各批次集中在2018年第四季度至2019年第三季度实施，年度数据下的处理队列较少，统计效力可能不足；若样本量不足，本文将改用纾困力度连续变量进行估计，并将该部分结果定位为辅助证据。在上述基础上，本文还将采用双向固定效应模型控制不可观测的公司与时间特征，并将核心解释变量作滞后一期处理以缓解同时性问题。</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余明桂等（2021）与苏治等（2023）按质押资金投向的划分（资金用途依据质押公告手工整理，披露不全的样本不纳入该项检验），比较支持型（公用型）与非支持型（私用型）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本部分的数据来源、获取路径与落地步骤已经明确，数据下载、清洗与匹配工作按下列清单与步骤推进。开题阶段拟收集的数据清单如下：</w:t>
            </w:r>
          </w:p>
          <w:p>
            <w:pPr>
              <w:spacing/>
              <w:ind w:firstLine="420"/>
            </w:pPr>
            <w:r>
              <w:rPr>
                <w:rFonts w:ascii="宋体" w:cs="SimSun" w:eastAsia="宋体" w:hAnsi="宋体"/>
                <w:sz w:val="21"/>
                <w:szCs w:val="22"/>
              </w:rPr>
              <w:t xml:space="preserve">① 大股东股权质押数据：以CSMAR年报“十大股东”文件中第一大股东的质押或冻结股份数量为基准口径；以CSMAR“股权质押”明细（质押起止日期、质权人类型、质押用途等）区分质押与冻结、测算平仓压力；</w:t>
            </w:r>
          </w:p>
          <w:p>
            <w:pPr>
              <w:spacing/>
              <w:ind w:firstLine="420"/>
            </w:pPr>
            <w:r>
              <w:rPr>
                <w:rFonts w:ascii="宋体" w:cs="SimSun" w:eastAsia="宋体" w:hAnsi="宋体"/>
                <w:sz w:val="21"/>
                <w:szCs w:val="22"/>
              </w:rPr>
              <w:t xml:space="preserve">② 公司财务数据：总资产、总负债、货币资金、经营活动现金流、净利润、营业收入、固定资产、员工人数等，来源CSMAR“公司财务年报数据库”；</w:t>
            </w:r>
          </w:p>
          <w:p>
            <w:pPr>
              <w:spacing/>
              <w:ind w:firstLine="420"/>
            </w:pPr>
            <w:r>
              <w:rPr>
                <w:rFonts w:ascii="宋体" w:cs="SimSun" w:eastAsia="宋体" w:hAnsi="宋体"/>
                <w:sz w:val="21"/>
                <w:szCs w:val="22"/>
              </w:rPr>
              <w:t xml:space="preserve">③ 公司治理数据：第一大股东持股比例、股权集中度、董事会规模、两职合一、产权性质，来源CSMAR“公司治理结构研究数据库”；</w:t>
            </w:r>
          </w:p>
          <w:p>
            <w:pPr>
              <w:spacing/>
              <w:ind w:firstLine="420"/>
            </w:pPr>
            <w:r>
              <w:rPr>
                <w:rFonts w:ascii="宋体" w:cs="SimSun" w:eastAsia="宋体" w:hAnsi="宋体"/>
                <w:sz w:val="21"/>
                <w:szCs w:val="22"/>
              </w:rPr>
              <w:t xml:space="preserve">④ 市场交易数据：用于计算Tobin's Q等指标所需的股票市值数据，来源CSMAR/Wind；</w:t>
            </w:r>
          </w:p>
          <w:p>
            <w:pPr>
              <w:spacing/>
              <w:ind w:firstLine="420"/>
            </w:pPr>
            <w:r>
              <w:rPr>
                <w:rFonts w:ascii="宋体" w:cs="SimSun" w:eastAsia="宋体" w:hAnsi="宋体"/>
                <w:sz w:val="21"/>
                <w:szCs w:val="22"/>
              </w:rPr>
              <w:t xml:space="preserve">⑤ 样本区间与筛选规则：拟采用2007—2025年A股非金融类上市公司（覆盖2018年质押新规实施前11年、实施后8年），剔除ST、*ST及主要变量缺失样本，以保证面板数据的观测量和DID识别所需的政策前后样本均衡。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成本</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CSMAR「股东研究—十大股东」「股权质押」子库；Wind「股权质押」专题</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经学校图书馆「数据库导航」登录后，按年度分批导出明细并合并</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CSMAR「公司研究系列—财务报表、财务指标分析」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按报表类型分别导出，按「股票代码—年度」整理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公司治理数据（第一大股东持股比例、实际控制人性质、董事会规模、两职合一）</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CSMAR「公司治理结构研究数据库」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按年度导出后与财务数据匹配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CSMAR「股票市场交易数据库」；Wind</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 及股价相关指标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证监会2012版行业分类（CSMAR／巨潮资讯网）</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免费替代路径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akshare（akshare.akfamily.xyz）、baostock（baostock.com）、tushare（tushare.pro）</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Python 接口可免费获取 A 股财务指标、行情与上市日期；akshare 另设东方财富股权质押系列接口（如 stock_gpzy_pledge_ratio_em 等，具体名称以官网最新文档为准），可用于交叉核验质押比例；tushare 需注册 token；数据需自行清洗合并</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步：从 CSMAR「十大股东」文件导出 2007—2025 年各公司年末第一大股东持股数与质押冻结股数，计算年末大股东质押比例（Pledge）、是否质押虚拟变量（Pledge_Dum）与占总股本口径的质押强度（Pledge_Ratio2）；同时导出「股权质押」逐笔明细，用于区分质押与司法冻结并测算平仓压力；</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Stata（xtreg fe／reghdfe，标准误在公司层面聚类）或 Python（statsmodels、linearmodels 的 PanelOLS）依次完成基准回归、调节效应检验、分组异质性检验、稳健性检验与内生性处理。</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核心变量的定义、计算公式与数据来源见表2，各指数公式与系数的文献出处见表3；变量的具体取值待数据下载与测算完成后填入。</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依据年度最低收盘价与本息预警价格的距离测算；假设质押折扣率40%、年利率10%、利息周期90天、预警线160%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CSMAR月度个股回报与Fama-French因子（CSMAR/锐思），H2检验用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公司注册地所属省份在t年已实施纾困计划=1，否则=0；未实施省份为海南、贵州、云南、甘肃、青海、西藏（名单需逐省核实）</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质押资金投向上市公司=公用型(支持型)，投向控股股东自身或第三方=私用型(非支持型)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巨潮资讯网质押公告手工整理（披露不全者不纳入），参照余明桂等(2021)、苏治等(2023)</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截尾（原文上限分别为45亿美元与37年，本文按汇率与价格指数折算）；保留原始符号，数值越大表示融资约束越严重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以年报十大股东文件中第一大股东质押冻结股数占其持股总数的比例为基准口径，占总股本口径作稳健性检验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本部分的模型设定与检验顺序已经确定，描述性统计与基准回归结果待数据下载、清洗与变量测算完成后填入表4，各变量的预期作用方向见表5。模型设定如下：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为公司规模、杠杆率、盈利能力、成长机会、现金流水平、现金流波动性、净营运资本、上市年限、股权集中度等控制变量，资本支出与现金股利因可能受质押影响而不进入基准控制变量；Year_FE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采用按产权性质分组回归并以似无相关检验（SUR）比较组间系数差异的方式检验。模型3中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主要变量描述性统计（数值待数据测算后填入）</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p>
              </w:tc>
            </w:tr>
          </w:tbl>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数据下载：CSMAR/Wind股权质押、财务、治理数据；完成基准预回归，确认主效应方向</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ind w:firstLine="420"/>
            </w:pPr>
            <w:r>
              <w:rPr>
                <w:rFonts w:ascii="宋体" w:hAnsi="宋体" w:eastAsia="宋体"/>
                <w:sz w:val="21"/>
              </w:rPr>
              <w:t>科研论文工作的总工作量（估计）、分研究阶段的进度（起迄日期）和要求。</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Fazzari S M, Hubbard R G, Petersen B C. Financing constraints and corporate investment[J]. Brookings Papers on Economic Activity, 1988, 1988(1): 141-206.</w:t>
            </w:r>
          </w:p>
          <w:p>
            <w:pPr>
              <w:spacing/>
              <w:ind/>
            </w:pPr>
            <w:r>
              <w:rPr>
                <w:rFonts w:ascii="宋体" w:cs="SimSun" w:eastAsia="宋体" w:hAnsi="宋体"/>
                <w:sz w:val="21"/>
                <w:szCs w:val="22"/>
              </w:rPr>
              <w:t xml:space="preserve">[4]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[5] Almeida H, Campello M, Weisbach M S. The cash flow sensitivity of cash[J]. The Journal of Finance, 2004, 59(4): 1777-1804.</w:t>
            </w:r>
          </w:p>
          <w:p>
            <w:pPr>
              <w:spacing/>
              <w:ind/>
            </w:pPr>
            <w:r>
              <w:rPr>
                <w:rFonts w:ascii="宋体" w:cs="SimSun" w:eastAsia="宋体" w:hAnsi="宋体"/>
                <w:sz w:val="21"/>
                <w:szCs w:val="22"/>
              </w:rPr>
              <w:t xml:space="preserve">[6] Faulkender M, Wang R. Corporate financial policy and the value of cash[J]. The Journal of Finance, 2006, 61(4): 1957-1990.</w:t>
            </w:r>
          </w:p>
          <w:p>
            <w:pPr>
              <w:spacing/>
              <w:ind/>
            </w:pPr>
            <w:r>
              <w:rPr>
                <w:rFonts w:ascii="宋体" w:cs="SimSun" w:eastAsia="宋体" w:hAnsi="宋体"/>
                <w:sz w:val="21"/>
                <w:szCs w:val="22"/>
              </w:rPr>
              <w:t xml:space="preserve">[7] Dittmar A, Mahrt-Smith J. Corporate governance and the value of cash holdings[J]. Journal of Financial Economics, 2007, 83(3): 599-634.</w:t>
            </w:r>
          </w:p>
          <w:p>
            <w:pPr>
              <w:spacing/>
              <w:ind/>
            </w:pPr>
            <w:r>
              <w:rPr>
                <w:rFonts w:ascii="宋体" w:cs="SimSun" w:eastAsia="宋体" w:hAnsi="宋体"/>
                <w:sz w:val="21"/>
                <w:szCs w:val="22"/>
              </w:rPr>
              <w:t xml:space="preserve">[8]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[9]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Sun L, Abraham S. Estimating dynamic treatment effects in event studies with heterogeneous treatment effects[J]. Journal of Econometrics, 2021, 225(2): 175-199.</w:t>
            </w:r>
          </w:p>
          <w:p>
            <w:pPr>
              <w:spacing/>
              <w:ind/>
            </w:pPr>
            <w:r>
              <w:rPr>
                <w:rFonts w:ascii="宋体" w:cs="SimSun" w:eastAsia="宋体" w:hAnsi="宋体"/>
                <w:sz w:val="21"/>
                <w:szCs w:val="22"/>
              </w:rPr>
              <w:t xml:space="preserve">[20] Chen Y, Hu S Y. The controlling shareholder's personal leverage and firm performance[J]. Applied Economics, 2007, 39(8): 1059-1075.</w:t>
            </w:r>
          </w:p>
          <w:p>
            <w:pPr>
              <w:spacing/>
              <w:ind/>
            </w:pPr>
            <w:r>
              <w:rPr>
                <w:rFonts w:ascii="宋体" w:cs="SimSun" w:eastAsia="宋体" w:hAnsi="宋体"/>
                <w:sz w:val="21"/>
                <w:szCs w:val="22"/>
              </w:rPr>
              <w:t xml:space="preserve">[21] Chan K, Chen H K, Hu S Y, Liu Y. Share pledges and margin call pressure[J]. Journal of Corporate Finance, 2018, 52: 96-117.</w:t>
            </w:r>
          </w:p>
          <w:p>
            <w:pPr>
              <w:spacing/>
              <w:ind/>
            </w:pPr>
            <w:r>
              <w:rPr>
                <w:rFonts w:ascii="宋体" w:cs="SimSun" w:eastAsia="宋体" w:hAnsi="宋体"/>
                <w:sz w:val="21"/>
                <w:szCs w:val="22"/>
              </w:rPr>
              <w:t xml:space="preserve">[22]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[23]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[24] Pang C, Wang Y. Stock pledge, risk of losing control and corporate innovation[J]. Journal of Corporate Finance, 2020, 60: 101534.</w:t>
            </w:r>
          </w:p>
          <w:p>
            <w:pPr>
              <w:spacing/>
              <w:ind/>
            </w:pPr>
            <w:r>
              <w:rPr>
                <w:rFonts w:ascii="宋体" w:cs="SimSun" w:eastAsia="宋体" w:hAnsi="宋体"/>
                <w:sz w:val="21"/>
                <w:szCs w:val="22"/>
              </w:rPr>
              <w:t xml:space="preserve">[25]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[26] Guo Q, Kryzanowski L, Li M, et al. Share-loan pledging and relaxation of share-repurchase restrictions in China[J]. Accounting and Finance, 2021, 61(5): 5925-5964.</w:t>
            </w:r>
          </w:p>
          <w:p>
            <w:pPr>
              <w:spacing/>
              <w:ind/>
            </w:pPr>
            <w:r>
              <w:rPr>
                <w:rFonts w:ascii="宋体" w:cs="SimSun" w:eastAsia="宋体" w:hAnsi="宋体"/>
                <w:sz w:val="21"/>
                <w:szCs w:val="22"/>
              </w:rPr>
              <w:t xml:space="preserve">[27] Pan X, Qian M. Firm financing through insider stock pledges[J]. Review of Finance, 2024, 28(2): 621-659.</w:t>
            </w:r>
          </w:p>
          <w:p>
            <w:pPr>
              <w:spacing/>
              <w:ind/>
            </w:pPr>
            <w:r>
              <w:rPr>
                <w:rFonts w:ascii="宋体" w:cs="SimSun" w:eastAsia="宋体" w:hAnsi="宋体"/>
                <w:sz w:val="21"/>
                <w:szCs w:val="22"/>
              </w:rPr>
              <w:t xml:space="preserve">[28] 郝项超，梁琪．最终控制人股权质押损害公司价值么？[J]．会计研究，2009(7)：57-63．</w:t>
            </w:r>
          </w:p>
          <w:p>
            <w:pPr>
              <w:spacing/>
              <w:ind/>
            </w:pPr>
            <w:r>
              <w:rPr>
                <w:rFonts w:ascii="宋体" w:cs="SimSun" w:eastAsia="宋体" w:hAnsi="宋体"/>
                <w:sz w:val="21"/>
                <w:szCs w:val="22"/>
              </w:rPr>
              <w:t xml:space="preserve">[29] 王彦超．融资约束、现金持有与过度投资[J]．金融研究，2009(7)：121-133．</w:t>
            </w:r>
          </w:p>
          <w:p>
            <w:pPr>
              <w:spacing/>
              <w:ind/>
            </w:pPr>
            <w:r>
              <w:rPr>
                <w:rFonts w:ascii="宋体" w:cs="SimSun" w:eastAsia="宋体" w:hAnsi="宋体"/>
                <w:sz w:val="21"/>
                <w:szCs w:val="22"/>
              </w:rPr>
              <w:t xml:space="preserve">[30] 连玉君，彭方平，苏治．融资约束和流动性管理行为[J]．金融研究，2010(10)：158-171．</w:t>
            </w:r>
          </w:p>
          <w:p>
            <w:pPr>
              <w:spacing/>
              <w:ind/>
            </w:pPr>
            <w:r>
              <w:rPr>
                <w:rFonts w:ascii="宋体" w:cs="SimSun" w:eastAsia="宋体" w:hAnsi="宋体"/>
                <w:sz w:val="21"/>
                <w:szCs w:val="22"/>
              </w:rPr>
              <w:t xml:space="preserve">[31] 鞠晓生，卢荻，虞义华．融资约束、营运资本管理与企业创新可持续性[J]．经济研究，2013，48(1)：4-16．</w:t>
            </w:r>
          </w:p>
          <w:p>
            <w:pPr>
              <w:spacing/>
              <w:ind/>
            </w:pPr>
            <w:r>
              <w:rPr>
                <w:rFonts w:ascii="宋体" w:cs="SimSun" w:eastAsia="宋体" w:hAnsi="宋体"/>
                <w:sz w:val="21"/>
                <w:szCs w:val="22"/>
              </w:rPr>
              <w:t xml:space="preserve">[32] 郑国坚，林东杰，林斌．大股东股权质押、占款与企业价值[J]．管理科学学报，2014，17(9)：72-87．</w:t>
            </w:r>
          </w:p>
          <w:p>
            <w:pPr>
              <w:spacing/>
              <w:ind/>
            </w:pPr>
            <w:r>
              <w:rPr>
                <w:rFonts w:ascii="宋体" w:cs="SimSun" w:eastAsia="宋体" w:hAnsi="宋体"/>
                <w:sz w:val="21"/>
                <w:szCs w:val="22"/>
              </w:rPr>
              <w:t xml:space="preserve">[33] 李旎，郑国坚．市值管理动机下的控股股东股权质押融资与利益侵占[J]．会计研究，2015(5)：42-49．</w:t>
            </w:r>
          </w:p>
          <w:p>
            <w:pPr>
              <w:spacing/>
              <w:ind/>
            </w:pPr>
            <w:r>
              <w:rPr>
                <w:rFonts w:ascii="宋体" w:cs="SimSun" w:eastAsia="宋体" w:hAnsi="宋体"/>
                <w:sz w:val="21"/>
                <w:szCs w:val="22"/>
              </w:rPr>
              <w:t xml:space="preserve">[34] 温忠麟，侯杰泰，张雷．调节效应与中介效应的比较和应用[J]．心理学报，2005，37(2)：268-274．</w:t>
            </w:r>
          </w:p>
          <w:p>
            <w:pPr>
              <w:spacing/>
              <w:ind/>
            </w:pPr>
            <w:r>
              <w:rPr>
                <w:rFonts w:ascii="宋体" w:cs="SimSun" w:eastAsia="宋体" w:hAnsi="宋体"/>
                <w:sz w:val="21"/>
                <w:szCs w:val="22"/>
              </w:rPr>
              <w:t xml:space="preserve">[35]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[36] 谢德仁，廖珂．控股股东股权质押与上市公司真实盈余管理[J]．会计研究，2018(8)：21-27．</w:t>
            </w:r>
          </w:p>
          <w:p>
            <w:pPr>
              <w:spacing/>
              <w:ind/>
            </w:pPr>
            <w:r>
              <w:rPr>
                <w:rFonts w:ascii="宋体" w:cs="SimSun" w:eastAsia="宋体" w:hAnsi="宋体"/>
                <w:sz w:val="21"/>
                <w:szCs w:val="22"/>
              </w:rPr>
              <w:t xml:space="preserve">[37] 李常青，李宇坤，李茂良．控股股东股权质押与企业创新投入[J]．金融研究，2018(7)：143-157．</w:t>
            </w:r>
          </w:p>
          <w:p>
            <w:pPr>
              <w:spacing/>
              <w:ind/>
            </w:pPr>
            <w:r>
              <w:rPr>
                <w:rFonts w:ascii="宋体" w:cs="SimSun" w:eastAsia="宋体" w:hAnsi="宋体"/>
                <w:sz w:val="21"/>
                <w:szCs w:val="22"/>
              </w:rPr>
              <w:t xml:space="preserve">[38]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[39] 王雄元，欧阳才越，史震阳．股权质押、控制权转移风险与税收规避[J]．经济研究，2018(1)：138-152．</w:t>
            </w:r>
          </w:p>
          <w:p>
            <w:pPr>
              <w:spacing/>
              <w:ind/>
            </w:pPr>
            <w:r>
              <w:rPr>
                <w:rFonts w:ascii="宋体" w:cs="SimSun" w:eastAsia="宋体" w:hAnsi="宋体"/>
                <w:sz w:val="21"/>
                <w:szCs w:val="22"/>
              </w:rPr>
              <w:t xml:space="preserve">[40] 廖珂，崔宸瑜，谢德仁．控股股东股权质押与上市公司股利政策选择[J]．金融研究，2018(4)：172-189．</w:t>
            </w:r>
          </w:p>
          <w:p>
            <w:pPr>
              <w:spacing/>
              <w:ind/>
            </w:pPr>
            <w:r>
              <w:rPr>
                <w:rFonts w:ascii="宋体" w:cs="SimSun" w:eastAsia="宋体" w:hAnsi="宋体"/>
                <w:sz w:val="21"/>
                <w:szCs w:val="22"/>
              </w:rPr>
              <w:t xml:space="preserve">[41] 唐玮，夏晓雪，姜付秀．控股股东股权质押与公司融资约束[J]．会计研究，2019(6)：51-57．</w:t>
            </w:r>
          </w:p>
          <w:p>
            <w:pPr>
              <w:spacing/>
              <w:ind/>
            </w:pPr>
            <w:r>
              <w:rPr>
                <w:rFonts w:ascii="宋体" w:cs="SimSun" w:eastAsia="宋体" w:hAnsi="宋体"/>
                <w:sz w:val="21"/>
                <w:szCs w:val="22"/>
              </w:rPr>
              <w:t xml:space="preserve">[42] 柯艳蓉，李玉敏．控股股东股权质押、投资效率与公司期权价值[J]．经济管理，2019，41(12)：123-139．</w:t>
            </w:r>
          </w:p>
          <w:p>
            <w:pPr>
              <w:spacing/>
              <w:ind/>
            </w:pPr>
            <w:r>
              <w:rPr>
                <w:rFonts w:ascii="宋体" w:cs="SimSun" w:eastAsia="宋体" w:hAnsi="宋体"/>
                <w:sz w:val="21"/>
                <w:szCs w:val="22"/>
              </w:rPr>
              <w:t xml:space="preserve">[43]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[44] 柯艳蓉，吴晓晖，李玉敏．控股股东股权质押、股权结构与股票流动性[J]．国际金融研究，2020(7)．</w:t>
            </w:r>
          </w:p>
          <w:p>
            <w:pPr>
              <w:spacing/>
              <w:ind/>
            </w:pPr>
            <w:r>
              <w:rPr>
                <w:rFonts w:ascii="宋体" w:cs="SimSun" w:eastAsia="宋体" w:hAnsi="宋体"/>
                <w:sz w:val="21"/>
                <w:szCs w:val="22"/>
              </w:rPr>
              <w:t xml:space="preserve">[45] 胡聪慧，朱菲菲，邱卉敏．股权质押、风险管理与大股东增持[J]．金融研究，2020(9)：190-206．</w:t>
            </w:r>
          </w:p>
          <w:p>
            <w:pPr>
              <w:spacing/>
              <w:ind/>
            </w:pPr>
            <w:r>
              <w:rPr>
                <w:rFonts w:ascii="宋体" w:cs="SimSun" w:eastAsia="宋体" w:hAnsi="宋体"/>
                <w:sz w:val="21"/>
                <w:szCs w:val="22"/>
              </w:rPr>
              <w:t xml:space="preserve">[46]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[47] 杜勇，眭鑫．控股股东股权质押与实体企业金融化——基于“掏空”与控制权转移的视角[J]．会计研究，2021(2)：102-119．</w:t>
            </w:r>
          </w:p>
          <w:p>
            <w:pPr>
              <w:spacing/>
              <w:ind/>
            </w:pPr>
            <w:r>
              <w:rPr>
                <w:rFonts w:ascii="宋体" w:cs="SimSun" w:eastAsia="宋体" w:hAnsi="宋体"/>
                <w:sz w:val="21"/>
                <w:szCs w:val="22"/>
              </w:rPr>
              <w:t xml:space="preserve">[48] 余明桂，宋慧恬，张庆．支持型股权质押、融资约束与公司投资[J]．财会月刊，2021(12)：23-33．</w:t>
            </w:r>
          </w:p>
          <w:p>
            <w:pPr>
              <w:spacing/>
              <w:ind/>
            </w:pPr>
            <w:r>
              <w:rPr>
                <w:rFonts w:ascii="宋体" w:cs="SimSun" w:eastAsia="宋体" w:hAnsi="宋体"/>
                <w:sz w:val="21"/>
                <w:szCs w:val="22"/>
              </w:rPr>
              <w:t xml:space="preserve">[49] 毛捷，管星华．地方政府纾困政策的效应研究：来自上市公司的证据[J]．经济研究，2022，57(9)：82-98．</w:t>
            </w:r>
          </w:p>
          <w:p>
            <w:pPr>
              <w:spacing/>
              <w:ind/>
            </w:pPr>
            <w:r>
              <w:rPr>
                <w:rFonts w:ascii="宋体" w:cs="SimSun" w:eastAsia="宋体" w:hAnsi="宋体"/>
                <w:sz w:val="21"/>
                <w:szCs w:val="22"/>
              </w:rPr>
              <w:t xml:space="preserve">[50] 周孝华，王诗意．纾困基金是否具有“造血”扶持之效？——基于民营企业价值的视角[J]．财经研究，2022，48(3)：48-63．</w:t>
            </w:r>
          </w:p>
          <w:p>
            <w:pPr>
              <w:spacing/>
              <w:ind/>
            </w:pPr>
            <w:r>
              <w:rPr>
                <w:rFonts w:ascii="宋体" w:cs="SimSun" w:eastAsia="宋体" w:hAnsi="宋体"/>
                <w:sz w:val="21"/>
                <w:szCs w:val="22"/>
              </w:rPr>
              <w:t xml:space="preserve">[51] 苏治，金昕，张永冀．控股股东股权质押风险溢出效应研究——基于私用型和公用型质押的对比分析[J]．会计研究，2023(6)：62-77．</w:t>
            </w:r>
          </w:p>
          <w:p>
            <w:pPr>
              <w:spacing/>
              <w:ind/>
            </w:pPr>
            <w:r>
              <w:rPr>
                <w:rFonts w:ascii="宋体" w:cs="SimSun" w:eastAsia="宋体" w:hAnsi="宋体"/>
                <w:sz w:val="21"/>
                <w:szCs w:val="22"/>
              </w:rPr>
              <w:t xml:space="preserve">[52] 刘强，董恬媛，韩洪灵．控股股东股权质押与企业劳动收入份额[J]．当代经济科学，2025，47(6)：59-72．</w:t>
            </w:r>
          </w:p>
          <w:p>
            <w:pPr>
              <w:spacing/>
              <w:ind/>
            </w:pPr>
            <w:r>
              <w:rPr>
                <w:rFonts w:ascii="宋体" w:cs="SimSun" w:eastAsia="宋体" w:hAnsi="宋体"/>
                <w:sz w:val="21"/>
                <w:szCs w:val="22"/>
              </w:rPr>
              <w:t xml:space="preserve">[53] 郑登津，闻人泱泱，陈德球．制衡还是合谋：来自股权质押新视角下年报文本特征的证据[J]．会计研究，2026(6)：20-33．</w:t>
            </w:r>
          </w:p>
          <w:p>
            <w:pPr>
              <w:spacing/>
              <w:ind/>
            </w:pPr>
            <w:r>
              <w:rPr>
                <w:rFonts w:ascii="宋体" w:cs="SimSun" w:eastAsia="宋体" w:hAnsi="宋体"/>
                <w:sz w:val="21"/>
                <w:szCs w:val="22"/>
              </w:rPr>
              <w:t xml:space="preserve">[54]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[55] de Chaisemartin C, D'Haultfœuille X. Two-way fixed effects estimators with heterogeneous treatment effects[J]. American Economic Review, 2020, 110(9): 2964-2996.</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（此部分留待正式答辩时由专家组现场记录）</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