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37E92C">
      <w:pPr>
        <w:spacing w:before="120" w:after="40"/>
        <w:jc w:val="center"/>
      </w:pPr>
      <w:r>
        <w:rPr>
          <w:rFonts w:eastAsia="黑体"/>
          <w:b/>
          <w:bCs/>
          <w:sz w:val="30"/>
          <w:szCs w:val="30"/>
        </w:rPr>
        <w:t>国家战略功能约束下西藏高质量发展的三元协调评价</w:t>
      </w:r>
    </w:p>
    <w:p w14:paraId="3AF91374">
      <w:pPr>
        <w:spacing w:after="120"/>
        <w:jc w:val="center"/>
      </w:pPr>
      <w:r>
        <w:rPr>
          <w:rFonts w:hint="eastAsia" w:eastAsia="黑体"/>
          <w:b/>
          <w:bCs/>
          <w:sz w:val="24"/>
          <w:szCs w:val="24"/>
        </w:rPr>
        <w:t>——</w:t>
      </w:r>
      <w:r>
        <w:rPr>
          <w:rFonts w:eastAsia="黑体"/>
          <w:b/>
          <w:bCs/>
          <w:sz w:val="24"/>
          <w:szCs w:val="24"/>
        </w:rPr>
        <w:t>基于</w:t>
      </w:r>
      <w:r>
        <w:rPr>
          <w:rFonts w:hint="eastAsia" w:eastAsia="黑体"/>
          <w:b/>
          <w:bCs/>
          <w:sz w:val="24"/>
          <w:szCs w:val="24"/>
        </w:rPr>
        <w:t>“</w:t>
      </w:r>
      <w:r>
        <w:rPr>
          <w:rFonts w:eastAsia="黑体"/>
          <w:b/>
          <w:bCs/>
          <w:sz w:val="24"/>
          <w:szCs w:val="24"/>
        </w:rPr>
        <w:t>安全</w:t>
      </w:r>
      <w:r>
        <w:rPr>
          <w:rFonts w:hint="eastAsia" w:eastAsia="黑体"/>
          <w:b/>
          <w:bCs/>
          <w:sz w:val="24"/>
          <w:szCs w:val="24"/>
        </w:rPr>
        <w:t>—</w:t>
      </w:r>
      <w:r>
        <w:rPr>
          <w:rFonts w:eastAsia="黑体"/>
          <w:b/>
          <w:bCs/>
          <w:sz w:val="24"/>
          <w:szCs w:val="24"/>
        </w:rPr>
        <w:t>发展</w:t>
      </w:r>
      <w:r>
        <w:rPr>
          <w:rFonts w:hint="eastAsia" w:eastAsia="黑体"/>
          <w:b/>
          <w:bCs/>
          <w:sz w:val="24"/>
          <w:szCs w:val="24"/>
        </w:rPr>
        <w:t>—</w:t>
      </w:r>
      <w:r>
        <w:rPr>
          <w:rFonts w:eastAsia="黑体"/>
          <w:b/>
          <w:bCs/>
          <w:sz w:val="24"/>
          <w:szCs w:val="24"/>
        </w:rPr>
        <w:t>生态</w:t>
      </w:r>
      <w:r>
        <w:rPr>
          <w:rFonts w:hint="eastAsia" w:eastAsia="黑体"/>
          <w:b/>
          <w:bCs/>
          <w:sz w:val="24"/>
          <w:szCs w:val="24"/>
        </w:rPr>
        <w:t>”</w:t>
      </w:r>
      <w:r>
        <w:rPr>
          <w:rFonts w:eastAsia="黑体"/>
          <w:b/>
          <w:bCs/>
          <w:sz w:val="24"/>
          <w:szCs w:val="24"/>
        </w:rPr>
        <w:t>的测度</w:t>
      </w:r>
    </w:p>
    <w:p w14:paraId="365E6C99">
      <w:pPr>
        <w:spacing w:after="60"/>
        <w:ind w:firstLine="420"/>
        <w:jc w:val="both"/>
        <w:rPr>
          <w:sz w:val="18"/>
          <w:szCs w:val="18"/>
        </w:rPr>
      </w:pPr>
      <w:r>
        <w:rPr>
          <w:rFonts w:eastAsia="黑体"/>
          <w:b/>
          <w:bCs/>
        </w:rPr>
        <w:t xml:space="preserve">摘要　西藏同时承担国家生态安全屏障、边疆安全屏障和高原经济高质量发展先行区建设等多重战略功能，以经济绩效为主的通用评价框架难以充分反映其发展状况。本文以新时代党的治藏方略“四件大事”为学理起点，构建包含13项指标的“安全—发展—生态”三元评价框架，采用固定基准标准化与失衡惩罚型协调指数（MPI）测度2016—2025年西藏三元协调状况。研究发现：（1）三个子系统总体改善，MPI由0.393升至0.754，统筹推进“四件大事”的成效在测度上得到体现；（2）相对短板呈阶段性转移，2016—2017年为生态、2018—2022年为发展，均在多种设定下稳健，2023—2025年安全改善相对趋缓，提示政策资源投向需随短板适时调整；（3）与按通用维度线性加总的对照指数走势高度一致（相关系数0.979），三元框架的增量在于按战略功能识别阶段性短板。据此提出优化服务业结构、畅通生态价值转化通道、稳固民生保障投入和建立短板动态监测机制等建议。</w:t>
      </w:r>
    </w:p>
    <w:p w14:paraId="5F7905D1">
      <w:pPr>
        <w:spacing w:after="160"/>
        <w:ind w:firstLine="420"/>
        <w:jc w:val="both"/>
      </w:pPr>
      <w:r>
        <w:rPr>
          <w:rFonts w:eastAsia="黑体"/>
          <w:b/>
          <w:bCs/>
        </w:rPr>
        <w:t>关键词　</w:t>
      </w:r>
      <w:r>
        <w:rPr>
          <w:sz w:val="18"/>
          <w:szCs w:val="18"/>
        </w:rPr>
        <w:t>西藏；治藏方略；高质量发展；国家战略功能；三元协调；失衡惩罚型聚合</w:t>
      </w:r>
    </w:p>
    <w:p w14:paraId="15C0352D">
      <w:pPr>
        <w:spacing w:before="260" w:after="120"/>
      </w:pPr>
      <w:r>
        <w:rPr>
          <w:rFonts w:eastAsia="黑体"/>
          <w:b/>
          <w:bCs/>
          <w:sz w:val="28"/>
          <w:szCs w:val="28"/>
        </w:rPr>
        <w:t>一、引言</w:t>
      </w:r>
    </w:p>
    <w:p w14:paraId="09C4B334">
      <w:pPr>
        <w:ind w:firstLine="420"/>
        <w:jc w:val="both"/>
        <w:rPr>
          <w:sz w:val="21"/>
          <w:szCs w:val="21"/>
        </w:rPr>
      </w:pPr>
      <w:r>
        <w:rPr>
          <w:sz w:val="21"/>
          <w:szCs w:val="21"/>
        </w:rPr>
        <w:t xml:space="preserve">党的二十大把高质量发展确立为全面建设社会主义现代化国家的首要任务。学界多以创新、协调、绿色、开放、共享五大发展理念为主线构建评价指标体系</w:t>
      </w:r>
      <w:r>
        <w:rPr>
          <w:sz w:val="21"/>
          <w:szCs w:val="21"/>
          <w:vertAlign w:val="superscript"/>
        </w:rPr>
        <w:t xml:space="preserve">[1]</w:t>
      </w:r>
      <w:r>
        <w:rPr>
          <w:sz w:val="21"/>
          <w:szCs w:val="21"/>
        </w:rPr>
        <w:t xml:space="preserve">，其隐含前提是发展在区域功能中居于主导地位。西藏在国家空间分工中同时承担多重战略功能：它既是世界屋脊、亚洲水塔和重要的国家生态安全屏障，又是维护国家统一、民族团结与边疆稳固的战略前沿，同时还肩负发展追赶的现代化任务</w:t>
      </w:r>
      <w:r>
        <w:rPr>
          <w:sz w:val="21"/>
          <w:szCs w:val="21"/>
          <w:vertAlign w:val="superscript"/>
        </w:rPr>
        <w:t xml:space="preserve">[2,3]</w:t>
      </w:r>
      <w:r>
        <w:rPr>
          <w:sz w:val="21"/>
          <w:szCs w:val="21"/>
        </w:rPr>
        <w:t xml:space="preserve">。沿用以经济绩效为主的通用框架评价西藏，安全与生态两项屏障功能难以得到与其地位相称的评价：安全多被视为发展的背景条件，或被分解并入“社会民生”等指标；生态虽常以“绿色”维度出现，衡量的却主要是发展方式的资源环境属性，而非生态安全屏障功能的守护程度。</w:t>
      </w:r>
    </w:p>
    <w:p w14:paraId="5A1B79AD">
      <w:pPr>
        <w:ind w:firstLine="420"/>
        <w:jc w:val="both"/>
        <w:rPr>
          <w:sz w:val="21"/>
          <w:szCs w:val="21"/>
        </w:rPr>
      </w:pPr>
      <w:r>
        <w:rPr>
          <w:sz w:val="21"/>
          <w:szCs w:val="21"/>
        </w:rPr>
        <w:t xml:space="preserve">新时代党的治藏方略为此提供了学理起点。习近平总书记明确“稳定、发展、生态、强边”是必须统筹推进的四件大事</w:t>
      </w:r>
      <w:r>
        <w:rPr>
          <w:sz w:val="21"/>
          <w:szCs w:val="21"/>
          <w:vertAlign w:val="superscript"/>
        </w:rPr>
        <w:t xml:space="preserve">[4]</w:t>
      </w:r>
      <w:r>
        <w:rPr>
          <w:sz w:val="21"/>
          <w:szCs w:val="21"/>
        </w:rPr>
        <w:t xml:space="preserve">：稳定与强边共同构成发展的底线前提，生态是发展不可逾越的自然边界</w:t>
      </w:r>
      <w:r>
        <w:rPr>
          <w:sz w:val="21"/>
          <w:szCs w:val="21"/>
          <w:vertAlign w:val="superscript"/>
        </w:rPr>
        <w:t xml:space="preserve">[5]</w:t>
      </w:r>
      <w:r>
        <w:rPr>
          <w:sz w:val="21"/>
          <w:szCs w:val="21"/>
        </w:rPr>
        <w:t xml:space="preserve">，发展则是巩固前三者成果、实现长治久安的物质基础</w:t>
      </w:r>
      <w:r>
        <w:rPr>
          <w:sz w:val="21"/>
          <w:szCs w:val="21"/>
          <w:vertAlign w:val="superscript"/>
        </w:rPr>
        <w:t xml:space="preserve">[6]</w:t>
      </w:r>
      <w:r>
        <w:rPr>
          <w:sz w:val="21"/>
          <w:szCs w:val="21"/>
        </w:rPr>
        <w:t xml:space="preserve">。据此，本文从国家战略功能约束出发构建“安全—发展—生态”三元评价框架，以固定基准标准化保证纵向可比，以失衡惩罚型协调指数实现对子系统失衡敏感的弱补偿性聚合，测度2016—2025年西藏的三元协调状态，并识别制约协调的相对短板及其阶段性转移。本文的增量主要在于评价框架与区域战略功能的适配及其短板诊断，而非提出新的聚合算法。</w:t>
      </w:r>
    </w:p>
    <w:p w14:paraId="6434A4BF">
      <w:pPr>
        <w:spacing w:before="260" w:after="120"/>
      </w:pPr>
      <w:r>
        <w:rPr>
          <w:rFonts w:eastAsia="黑体"/>
          <w:b/>
          <w:bCs/>
          <w:sz w:val="28"/>
          <w:szCs w:val="28"/>
        </w:rPr>
        <w:t>二、文献回顾与理论框架</w:t>
      </w:r>
    </w:p>
    <w:p w14:paraId="52A11983">
      <w:pPr>
        <w:spacing w:before="160" w:after="80"/>
      </w:pPr>
      <w:r>
        <w:rPr>
          <w:rFonts w:eastAsia="黑体"/>
          <w:b/>
          <w:bCs/>
          <w:sz w:val="21"/>
          <w:szCs w:val="21"/>
        </w:rPr>
        <w:t>（一）文献回顾</w:t>
      </w:r>
    </w:p>
    <w:p w14:paraId="095CA689">
      <w:pPr>
        <w:ind w:firstLine="420"/>
        <w:jc w:val="both"/>
        <w:rPr>
          <w:sz w:val="21"/>
          <w:szCs w:val="21"/>
        </w:rPr>
      </w:pPr>
      <w:r>
        <w:rPr>
          <w:sz w:val="21"/>
          <w:szCs w:val="21"/>
        </w:rPr>
        <w:t xml:space="preserve">高质量发展评价已形成以五大发展理念构建指标体系的较成熟范式</w:t>
      </w:r>
      <w:r>
        <w:rPr>
          <w:sz w:val="21"/>
          <w:szCs w:val="21"/>
          <w:vertAlign w:val="superscript"/>
        </w:rPr>
        <w:t xml:space="preserve">[7-9]</w:t>
      </w:r>
      <w:r>
        <w:rPr>
          <w:sz w:val="21"/>
          <w:szCs w:val="21"/>
        </w:rPr>
        <w:t xml:space="preserve">，并由省际尺度下沉至城市群等区域尺度</w:t>
      </w:r>
      <w:r>
        <w:rPr>
          <w:sz w:val="21"/>
          <w:szCs w:val="21"/>
          <w:vertAlign w:val="superscript"/>
        </w:rPr>
        <w:t xml:space="preserve">[10,11]</w:t>
      </w:r>
      <w:r>
        <w:rPr>
          <w:sz w:val="21"/>
          <w:szCs w:val="21"/>
        </w:rPr>
        <w:t xml:space="preserve">，但这一范式以发展质量的区域同构性为前提。另一类研究强调区域功能差异，认为区域发展路径需与其在国家空间格局中的战略定位相匹配</w:t>
      </w:r>
      <w:r>
        <w:rPr>
          <w:sz w:val="21"/>
          <w:szCs w:val="21"/>
          <w:vertAlign w:val="superscript"/>
        </w:rPr>
        <w:t xml:space="preserve">[2]</w:t>
      </w:r>
      <w:r>
        <w:rPr>
          <w:sz w:val="21"/>
          <w:szCs w:val="21"/>
        </w:rPr>
        <w:t xml:space="preserve">；“安全公正空间”研究把生态上限与社会下限共同作为区域可行域的判断依据</w:t>
      </w:r>
      <w:r>
        <w:rPr>
          <w:sz w:val="21"/>
          <w:szCs w:val="21"/>
          <w:vertAlign w:val="superscript"/>
        </w:rPr>
        <w:t xml:space="preserve">[12,13]</w:t>
      </w:r>
      <w:r>
        <w:rPr>
          <w:sz w:val="21"/>
          <w:szCs w:val="21"/>
        </w:rPr>
        <w:t xml:space="preserve">，其“下限约束不可被上限表现所补偿”的逻辑对本文具有直接启发。就西藏而言，已有研究或讨论统筹发展和安全与高原经济追赶</w:t>
      </w:r>
      <w:r>
        <w:rPr>
          <w:sz w:val="21"/>
          <w:szCs w:val="21"/>
          <w:vertAlign w:val="superscript"/>
        </w:rPr>
        <w:t xml:space="preserve">[14,15]</w:t>
      </w:r>
      <w:r>
        <w:rPr>
          <w:sz w:val="21"/>
          <w:szCs w:val="21"/>
        </w:rPr>
        <w:t xml:space="preserve">，或测度发展水平</w:t>
      </w:r>
      <w:r>
        <w:rPr>
          <w:sz w:val="21"/>
          <w:szCs w:val="21"/>
          <w:vertAlign w:val="superscript"/>
        </w:rPr>
        <w:t xml:space="preserve">[16-20]</w:t>
      </w:r>
      <w:r>
        <w:rPr>
          <w:sz w:val="21"/>
          <w:szCs w:val="21"/>
        </w:rPr>
        <w:t xml:space="preserve">，或关注生态经济系统与生态安全</w:t>
      </w:r>
      <w:r>
        <w:rPr>
          <w:sz w:val="21"/>
          <w:szCs w:val="21"/>
          <w:vertAlign w:val="superscript"/>
        </w:rPr>
        <w:t xml:space="preserve">[21-23]</w:t>
      </w:r>
      <w:r>
        <w:rPr>
          <w:sz w:val="21"/>
          <w:szCs w:val="21"/>
        </w:rPr>
        <w:t xml:space="preserve">，但较少以生态屏障功能的守护程度为评价尺度，对安全功能也尚未形成独立的评价维度。与本文最接近的研究中，焦乐佳等测度西藏县域生态、经济与社会的耦合协调</w:t>
      </w:r>
      <w:r>
        <w:rPr>
          <w:sz w:val="21"/>
          <w:szCs w:val="21"/>
          <w:vertAlign w:val="superscript"/>
        </w:rPr>
        <w:t xml:space="preserve">[24]</w:t>
      </w:r>
      <w:r>
        <w:rPr>
          <w:sz w:val="21"/>
          <w:szCs w:val="21"/>
        </w:rPr>
        <w:t xml:space="preserve">，未纳入安全；王翔宇等将“安全保障”列为区域高质量发展维度，但受数据限制仅以粮食产量代理，并采用熵权加权求和</w:t>
      </w:r>
      <w:r>
        <w:rPr>
          <w:sz w:val="21"/>
          <w:szCs w:val="21"/>
          <w:vertAlign w:val="superscript"/>
        </w:rPr>
        <w:t xml:space="preserve">[25]</w:t>
      </w:r>
      <w:r>
        <w:rPr>
          <w:sz w:val="21"/>
          <w:szCs w:val="21"/>
        </w:rPr>
        <w:t xml:space="preserve">，安全因而可能被其他维度补偿。</w:t>
      </w:r>
    </w:p>
    <w:p w14:paraId="3B1AA85C">
      <w:pPr>
        <w:ind w:firstLine="420"/>
        <w:jc w:val="both"/>
        <w:rPr>
          <w:sz w:val="21"/>
          <w:szCs w:val="21"/>
        </w:rPr>
      </w:pPr>
      <w:r>
        <w:rPr>
          <w:sz w:val="21"/>
          <w:szCs w:val="21"/>
        </w:rPr>
        <w:t xml:space="preserve">方法层面，国内研究多沿耦合协调模型展开</w:t>
      </w:r>
      <w:r>
        <w:rPr>
          <w:sz w:val="21"/>
          <w:szCs w:val="21"/>
          <w:vertAlign w:val="superscript"/>
        </w:rPr>
        <w:t xml:space="preserve">[26]</w:t>
      </w:r>
      <w:r>
        <w:rPr>
          <w:sz w:val="21"/>
          <w:szCs w:val="21"/>
        </w:rPr>
        <w:t xml:space="preserve">，但耦合度在子系统差距较大时容易“虚高”</w:t>
      </w:r>
      <w:r>
        <w:rPr>
          <w:sz w:val="21"/>
          <w:szCs w:val="21"/>
          <w:vertAlign w:val="superscript"/>
        </w:rPr>
        <w:t xml:space="preserve">[27]</w:t>
      </w:r>
      <w:r>
        <w:rPr>
          <w:sz w:val="21"/>
          <w:szCs w:val="21"/>
        </w:rPr>
        <w:t xml:space="preserve">；客观赋权</w:t>
      </w:r>
      <w:r>
        <w:rPr>
          <w:sz w:val="21"/>
          <w:szCs w:val="21"/>
          <w:vertAlign w:val="superscript"/>
        </w:rPr>
        <w:t xml:space="preserve">[28]</w:t>
      </w:r>
      <w:r>
        <w:rPr>
          <w:sz w:val="21"/>
          <w:szCs w:val="21"/>
        </w:rPr>
        <w:t xml:space="preserve">与熵权—TOPSIS障碍度诊断</w:t>
      </w:r>
      <w:r>
        <w:rPr>
          <w:sz w:val="21"/>
          <w:szCs w:val="21"/>
          <w:vertAlign w:val="superscript"/>
        </w:rPr>
        <w:t xml:space="preserve">[29]</w:t>
      </w:r>
      <w:r>
        <w:rPr>
          <w:sz w:val="21"/>
          <w:szCs w:val="21"/>
        </w:rPr>
        <w:t xml:space="preserve">被广泛用于确定权重和识别制约因素。国际复合指标方法学系统讨论了权重、聚合与稳健性问题</w:t>
      </w:r>
      <w:r>
        <w:rPr>
          <w:sz w:val="21"/>
          <w:szCs w:val="21"/>
          <w:vertAlign w:val="superscript"/>
        </w:rPr>
        <w:t xml:space="preserve">[30,31]</w:t>
      </w:r>
      <w:r>
        <w:rPr>
          <w:sz w:val="21"/>
          <w:szCs w:val="21"/>
        </w:rPr>
        <w:t xml:space="preserve">，并针对维度间的完全补偿发展出非补偿性聚合</w:t>
      </w:r>
      <w:r>
        <w:rPr>
          <w:sz w:val="21"/>
          <w:szCs w:val="21"/>
          <w:vertAlign w:val="superscript"/>
        </w:rPr>
        <w:t xml:space="preserve">[32]</w:t>
      </w:r>
      <w:r>
        <w:rPr>
          <w:sz w:val="21"/>
          <w:szCs w:val="21"/>
        </w:rPr>
        <w:t xml:space="preserve">与失衡调整</w:t>
      </w:r>
      <w:r>
        <w:rPr>
          <w:sz w:val="21"/>
          <w:szCs w:val="21"/>
          <w:vertAlign w:val="superscript"/>
        </w:rPr>
        <w:t xml:space="preserve">[33]</w:t>
      </w:r>
      <w:r>
        <w:rPr>
          <w:sz w:val="21"/>
          <w:szCs w:val="21"/>
        </w:rPr>
        <w:t xml:space="preserve">等技术。综上，发展主导的评价框架容易弱化安全与生态屏障的独立地位，允许完全补偿的聚合方式又可能掩盖功能之间的结构性失衡，本文尝试在评价维度与聚合方式两方面加以推进。</w:t>
      </w:r>
    </w:p>
    <w:p w14:paraId="52FDBCC4">
      <w:pPr>
        <w:spacing w:before="160" w:after="80"/>
        <w:rPr>
          <w:rFonts w:eastAsia="黑体"/>
        </w:rPr>
      </w:pPr>
      <w:r>
        <w:rPr>
          <w:rFonts w:eastAsia="黑体"/>
          <w:b/>
          <w:bCs/>
          <w:sz w:val="21"/>
          <w:szCs w:val="21"/>
        </w:rPr>
        <w:t>（二）三元结构的提出</w:t>
      </w:r>
    </w:p>
    <w:p w14:paraId="6B3F8604">
      <w:pPr>
        <w:ind w:firstLine="420"/>
        <w:jc w:val="both"/>
        <w:rPr>
          <w:sz w:val="21"/>
          <w:szCs w:val="21"/>
        </w:rPr>
      </w:pPr>
      <w:r>
        <w:rPr>
          <w:sz w:val="21"/>
          <w:szCs w:val="21"/>
        </w:rPr>
        <w:t xml:space="preserve">三元结构衡量的是区域相对于其在国家空间分工中所承担功能的达成度。依照主体功能区与国家空间分工的逻辑</w:t>
      </w:r>
      <w:r>
        <w:rPr>
          <w:sz w:val="21"/>
          <w:szCs w:val="21"/>
          <w:vertAlign w:val="superscript"/>
        </w:rPr>
        <w:t xml:space="preserve">[2]</w:t>
      </w:r>
      <w:r>
        <w:rPr>
          <w:sz w:val="21"/>
          <w:szCs w:val="21"/>
        </w:rPr>
        <w:t xml:space="preserve">，一个区域对国家的贡献可归为三类：守住边疆安全、社会稳定、民族团结与民生兜底的底线，对应安全功能；不超越资源环境承载力与生态红线所界定的开发上界，对应生态功能，所测的是对这一上界的守护程度而非生态产出的绝对水平；在上述两类约束之间创造价值，对应发展功能。三者与治藏方略“稳定”“强边”“生态”“发展”的任务结构一一对应。创新、协调、绿色、开放、共享是发展在约束之内的实现通道，归入发展子系统内部，不另立维度。</w:t>
      </w:r>
    </w:p>
    <w:p w14:paraId="310B933D">
      <w:pPr>
        <w:ind w:firstLine="420"/>
        <w:jc w:val="both"/>
        <w:rPr>
          <w:sz w:val="21"/>
          <w:szCs w:val="21"/>
        </w:rPr>
      </w:pPr>
      <w:r>
        <w:rPr>
          <w:sz w:val="21"/>
          <w:szCs w:val="21"/>
        </w:rPr>
        <w:t xml:space="preserve">三者也不宜加权求和。安全是不可突破的下界，生态是不可逾越且损害往往不可逆的上界，发展则是可以连续调节的极大化对象；加权相加隐含恒定的边际替代率，即安全与生态的不足可由发展的超额表现等量抵偿，底线与上界的约束含义随之消失。本文以失衡惩罚型指数近似刻画这一性质，使子系统短板难以被其他维度完全补偿；对底线失守的判别则需另设专项阈值。</w:t>
      </w:r>
    </w:p>
    <w:p w14:paraId="6DD1DFE6">
      <w:pPr>
        <w:spacing w:before="160" w:after="80"/>
      </w:pPr>
      <w:r>
        <w:rPr>
          <w:rFonts w:eastAsia="黑体"/>
          <w:b/>
          <w:bCs/>
          <w:sz w:val="21"/>
          <w:szCs w:val="21"/>
        </w:rPr>
        <w:t>（三）三元结构发展模型</w:t>
      </w:r>
    </w:p>
    <w:p w14:paraId="27875E96">
      <w:pPr>
        <w:ind w:firstLine="420"/>
        <w:jc w:val="both"/>
      </w:pPr>
      <w:r>
        <w:rPr>
          <w:sz w:val="21"/>
          <w:szCs w:val="21"/>
        </w:rPr>
        <w:t xml:space="preserve">由此可提出国家战略功能约束下的三元结构发展模型（图1）：安全（S）构成发展的下界，生态（E）构成发展的上界，发展（D）是两类约束所界定的可行域内的响应变量。系统整体质量由整体水平与失衡程度共同决定，取决于最紧的约束或最弱的响应，因此测度须关注协调状态与短板，并留意短板在子系统之间的转移。</w:t>
      </w:r>
    </w:p>
    <w:p w14:paraId="4FD0CF0A">
      <w:pPr>
        <w:spacing w:before="120" w:after="40"/>
        <w:jc w:val="center"/>
      </w:pPr>
      <w:r>
        <w:drawing>
          <wp:inline distT="0" distB="0" distL="0" distR="0">
            <wp:extent cx="5029200" cy="2894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029200" cy="2894409"/>
                    </a:xfrm>
                    <a:prstGeom prst="rect">
                      <a:avLst/>
                    </a:prstGeom>
                  </pic:spPr>
                </pic:pic>
              </a:graphicData>
            </a:graphic>
          </wp:inline>
        </w:drawing>
      </w:r>
    </w:p>
    <w:p w14:paraId="18A3928B">
      <w:pPr>
        <w:spacing w:after="140"/>
        <w:jc w:val="center"/>
      </w:pPr>
      <w:r>
        <w:rPr>
          <w:rFonts w:eastAsia="黑体"/>
          <w:b/>
          <w:bCs/>
          <w:sz w:val="21"/>
          <w:szCs w:val="21"/>
        </w:rPr>
        <w:t>图1　</w:t>
      </w:r>
      <w:r>
        <w:rPr>
          <w:rFonts w:hint="eastAsia"/>
          <w:sz w:val="21"/>
          <w:szCs w:val="21"/>
        </w:rPr>
        <w:t>“</w:t>
      </w:r>
      <w:r>
        <w:rPr>
          <w:rFonts w:eastAsia="黑体"/>
          <w:b/>
          <w:bCs/>
          <w:sz w:val="21"/>
          <w:szCs w:val="21"/>
        </w:rPr>
        <w:t>安全</w:t>
      </w:r>
      <w:r>
        <w:rPr>
          <w:rFonts w:hint="eastAsia"/>
          <w:sz w:val="21"/>
          <w:szCs w:val="21"/>
        </w:rPr>
        <w:t>—</w:t>
      </w:r>
      <w:r>
        <w:rPr>
          <w:rFonts w:eastAsia="黑体"/>
          <w:b/>
          <w:bCs/>
          <w:sz w:val="21"/>
          <w:szCs w:val="21"/>
        </w:rPr>
        <w:t>发展</w:t>
      </w:r>
      <w:r>
        <w:rPr>
          <w:rFonts w:hint="eastAsia"/>
          <w:sz w:val="21"/>
          <w:szCs w:val="21"/>
        </w:rPr>
        <w:t>—</w:t>
      </w:r>
      <w:r>
        <w:rPr>
          <w:rFonts w:eastAsia="黑体"/>
          <w:b/>
          <w:bCs/>
          <w:sz w:val="21"/>
          <w:szCs w:val="21"/>
        </w:rPr>
        <w:t>生态</w:t>
      </w:r>
      <w:r>
        <w:rPr>
          <w:rFonts w:hint="eastAsia"/>
          <w:sz w:val="21"/>
          <w:szCs w:val="21"/>
        </w:rPr>
        <w:t>”</w:t>
      </w:r>
      <w:r>
        <w:rPr>
          <w:rFonts w:eastAsia="黑体"/>
          <w:b/>
          <w:bCs/>
          <w:sz w:val="21"/>
          <w:szCs w:val="21"/>
        </w:rPr>
        <w:t>三元结构发展模型的逻辑框架</w:t>
      </w:r>
    </w:p>
    <w:p w14:paraId="5639A527">
      <w:pPr>
        <w:spacing w:after="140"/>
        <w:jc w:val="both"/>
      </w:pPr>
      <w:r>
        <w:rPr>
          <w:sz w:val="18"/>
          <w:szCs w:val="18"/>
        </w:rPr>
        <w:t>注：S表示安全，D表示发展，E表示生态；H1、H2、H3为本文提出的三项分析命题。</w:t>
      </w:r>
    </w:p>
    <w:p w14:paraId="47E2D172">
      <w:pPr>
        <w:spacing w:before="160" w:after="80"/>
      </w:pPr>
      <w:r>
        <w:rPr>
          <w:rFonts w:eastAsia="黑体"/>
          <w:b/>
          <w:bCs/>
          <w:sz w:val="21"/>
          <w:szCs w:val="21"/>
        </w:rPr>
        <w:t>（四）作用机制与分析命题</w:t>
      </w:r>
    </w:p>
    <w:p w14:paraId="6389E851">
      <w:pPr>
        <w:ind w:firstLine="420"/>
        <w:jc w:val="both"/>
      </w:pPr>
      <w:r>
        <w:rPr>
          <w:sz w:val="21"/>
          <w:szCs w:val="21"/>
        </w:rPr>
        <w:t xml:space="preserve">三个子系统通过若干作用链条相互关联（图2）。由于本文数据为单一地区10个年度观测且无对照组，以下命题用于界定测度所要回答的内容，而不作因果检验。</w:t>
      </w:r>
    </w:p>
    <w:p w14:paraId="3CA24677">
      <w:pPr>
        <w:ind w:firstLine="420"/>
        <w:jc w:val="both"/>
      </w:pPr>
      <w:r>
        <w:rPr>
          <w:sz w:val="21"/>
          <w:szCs w:val="21"/>
        </w:rPr>
        <w:t xml:space="preserve">命题H1（安全的降成本机制）：安全子系统通过稳定社会预期、夯实民生兜底与公共服务均等化，降低制度风险、交易成本与社会摩擦成本，从而提高发展效率。</w:t>
      </w:r>
    </w:p>
    <w:p w14:paraId="3876114E">
      <w:pPr>
        <w:ind w:firstLine="420"/>
        <w:jc w:val="both"/>
      </w:pPr>
      <w:r>
        <w:rPr>
          <w:sz w:val="21"/>
          <w:szCs w:val="21"/>
        </w:rPr>
        <w:t xml:space="preserve">命题H2（生态的价值转化机制）：生态对发展的作用取决于“地理势能”向经济动能转化的通道是否畅通</w:t>
      </w:r>
      <w:r>
        <w:rPr>
          <w:sz w:val="21"/>
          <w:szCs w:val="21"/>
          <w:vertAlign w:val="superscript"/>
        </w:rPr>
        <w:t xml:space="preserve">[34]</w:t>
      </w:r>
      <w:r>
        <w:rPr>
          <w:sz w:val="21"/>
          <w:szCs w:val="21"/>
        </w:rPr>
        <w:t xml:space="preserve">。藏电外送、生态文旅、碳汇交易等通道畅通时，生态与发展可能由“约束关系”转为“协同关系”；通道不畅时，生态优势则可能长期停留在资源形态</w:t>
      </w:r>
      <w:r>
        <w:rPr>
          <w:sz w:val="21"/>
          <w:szCs w:val="21"/>
          <w:vertAlign w:val="superscript"/>
        </w:rPr>
        <w:t xml:space="preserve">[35]</w:t>
      </w:r>
      <w:r>
        <w:rPr>
          <w:sz w:val="21"/>
          <w:szCs w:val="21"/>
        </w:rPr>
        <w:t xml:space="preserve">。</w:t>
      </w:r>
    </w:p>
    <w:p w14:paraId="2482C184">
      <w:pPr>
        <w:ind w:firstLine="420"/>
        <w:jc w:val="both"/>
        <w:rPr>
          <w:sz w:val="21"/>
          <w:szCs w:val="21"/>
        </w:rPr>
      </w:pPr>
      <w:r>
        <w:rPr>
          <w:sz w:val="21"/>
          <w:szCs w:val="21"/>
        </w:rPr>
        <w:t xml:space="preserve">命题H3（短板的动态转移）：三元协调的相对短板随三者改善速度的差异在子系统之间转移，需要逐年识别。</w:t>
      </w:r>
    </w:p>
    <w:p w14:paraId="4746B92C">
      <w:pPr>
        <w:spacing w:before="120" w:after="40"/>
        <w:jc w:val="center"/>
      </w:pPr>
      <w:r>
        <w:drawing>
          <wp:inline distT="0" distB="0" distL="0" distR="0">
            <wp:extent cx="5029200" cy="2821940"/>
            <wp:effectExtent l="0" t="0" r="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029200" cy="2822377"/>
                    </a:xfrm>
                    <a:prstGeom prst="rect">
                      <a:avLst/>
                    </a:prstGeom>
                  </pic:spPr>
                </pic:pic>
              </a:graphicData>
            </a:graphic>
          </wp:inline>
        </w:drawing>
      </w:r>
    </w:p>
    <w:p w14:paraId="7F3AAD1D">
      <w:pPr>
        <w:spacing w:after="140"/>
        <w:jc w:val="center"/>
      </w:pPr>
      <w:r>
        <w:rPr>
          <w:rFonts w:eastAsia="黑体"/>
          <w:b/>
          <w:bCs/>
          <w:sz w:val="21"/>
          <w:szCs w:val="21"/>
        </w:rPr>
        <w:t>图2　</w:t>
      </w:r>
      <w:r>
        <w:rPr>
          <w:rFonts w:hint="eastAsia" w:eastAsia="黑体"/>
          <w:b/>
          <w:bCs/>
          <w:sz w:val="21"/>
          <w:szCs w:val="21"/>
        </w:rPr>
        <w:t>“</w:t>
      </w:r>
      <w:r>
        <w:rPr>
          <w:rFonts w:eastAsia="黑体"/>
          <w:b/>
          <w:bCs/>
          <w:sz w:val="21"/>
          <w:szCs w:val="21"/>
        </w:rPr>
        <w:t>安全</w:t>
      </w:r>
      <w:r>
        <w:rPr>
          <w:rFonts w:hint="eastAsia" w:eastAsia="黑体"/>
          <w:b/>
          <w:bCs/>
          <w:sz w:val="21"/>
          <w:szCs w:val="21"/>
        </w:rPr>
        <w:t>—</w:t>
      </w:r>
      <w:r>
        <w:rPr>
          <w:rFonts w:eastAsia="黑体"/>
          <w:b/>
          <w:bCs/>
          <w:sz w:val="21"/>
          <w:szCs w:val="21"/>
        </w:rPr>
        <w:t>发展</w:t>
      </w:r>
      <w:r>
        <w:rPr>
          <w:rFonts w:hint="eastAsia" w:eastAsia="黑体"/>
          <w:b/>
          <w:bCs/>
          <w:sz w:val="21"/>
          <w:szCs w:val="21"/>
        </w:rPr>
        <w:t>—</w:t>
      </w:r>
      <w:r>
        <w:rPr>
          <w:rFonts w:eastAsia="黑体"/>
          <w:b/>
          <w:bCs/>
          <w:sz w:val="21"/>
          <w:szCs w:val="21"/>
        </w:rPr>
        <w:t>生态</w:t>
      </w:r>
      <w:r>
        <w:rPr>
          <w:rFonts w:hint="eastAsia" w:eastAsia="黑体"/>
          <w:b/>
          <w:bCs/>
          <w:sz w:val="21"/>
          <w:szCs w:val="21"/>
        </w:rPr>
        <w:t>”</w:t>
      </w:r>
      <w:r>
        <w:rPr>
          <w:rFonts w:eastAsia="黑体"/>
          <w:b/>
          <w:bCs/>
          <w:sz w:val="21"/>
          <w:szCs w:val="21"/>
        </w:rPr>
        <w:t>作用机制链条与分析命题</w:t>
      </w:r>
    </w:p>
    <w:p w14:paraId="09103377">
      <w:pPr>
        <w:spacing w:after="140"/>
        <w:jc w:val="both"/>
      </w:pPr>
      <w:r>
        <w:rPr>
          <w:sz w:val="18"/>
          <w:szCs w:val="18"/>
        </w:rPr>
        <w:t>注：图中箭头表示结构性关联。</w:t>
      </w:r>
    </w:p>
    <w:p w14:paraId="4D930E82">
      <w:pPr>
        <w:spacing w:before="260" w:after="120"/>
      </w:pPr>
      <w:r>
        <w:rPr>
          <w:rFonts w:eastAsia="黑体"/>
          <w:b/>
          <w:bCs/>
          <w:sz w:val="28"/>
          <w:szCs w:val="28"/>
        </w:rPr>
        <w:t>三、指标体系、数据与方法</w:t>
      </w:r>
    </w:p>
    <w:p w14:paraId="1DA0667F">
      <w:pPr>
        <w:spacing w:before="160" w:after="80"/>
      </w:pPr>
      <w:r>
        <w:rPr>
          <w:rFonts w:eastAsia="黑体"/>
          <w:b/>
          <w:bCs/>
          <w:sz w:val="21"/>
          <w:szCs w:val="21"/>
        </w:rPr>
        <w:t>（一）指标体系构建</w:t>
      </w:r>
    </w:p>
    <w:p w14:paraId="2D88E4BD">
      <w:pPr>
        <w:ind w:firstLine="420"/>
        <w:jc w:val="both"/>
        <w:rPr>
          <w:sz w:val="21"/>
          <w:szCs w:val="21"/>
        </w:rPr>
      </w:pPr>
      <w:r>
        <w:rPr>
          <w:sz w:val="21"/>
          <w:szCs w:val="21"/>
        </w:rPr>
        <w:t xml:space="preserve">指标体系按“战略功能—理论构念—统计指标”逐级映射构建，所选指标均具有连续、公开、可比的年度序列，最终形成3个子系统、13项指标（表1）。安全子系统刻画边疆安全屏障功能的维系条件：边防投入、社会治安等直接变量缺乏公开可比的省级年度序列，本文以地方财力（S1）、城乡收入差距（S2）、居民医保财政补助（S3）与养老保险参保率（S4）等制度性条件作间接代理</w:t>
      </w:r>
      <w:r>
        <w:rPr>
          <w:sz w:val="21"/>
          <w:szCs w:val="21"/>
          <w:vertAlign w:val="superscript"/>
        </w:rPr>
        <w:t xml:space="preserve">[36]</w:t>
      </w:r>
      <w:r>
        <w:rPr>
          <w:sz w:val="21"/>
          <w:szCs w:val="21"/>
        </w:rPr>
        <w:t xml:space="preserve">。发展子系统从追赶水平与发展动能两方面刻画在底线与边界之间创造价值的成效：人均GDP与农村居民收入相对全国水平（D1、D2）反映追赶，外向度（D3）、人均接待游客（D4）与发电量（D5）分别反映开放、文旅与清洁能源动能。生态子系统沿“生态本底—环境质量—开发压力”选取森林覆盖率（E2）、草原综合植被盖度（E4）、空气质量优良天数比例（E3）与单位GDP能耗指数（E1）。S2与D2均由城乡收入数据派生，会在一定程度上压低测得的失衡幅度，这是本文指标设计的一项已知约束。</w:t>
      </w:r>
    </w:p>
    <w:p w14:paraId="7FC87E8F">
      <w:pPr>
        <w:spacing w:before="140" w:after="40"/>
        <w:jc w:val="center"/>
      </w:pPr>
      <w:r>
        <w:rPr>
          <w:rFonts w:eastAsia="黑体"/>
          <w:b/>
          <w:bCs/>
          <w:sz w:val="21"/>
          <w:szCs w:val="21"/>
        </w:rPr>
        <w:t>表1　西藏高质量发展</w:t>
      </w:r>
      <w:r>
        <w:rPr>
          <w:rFonts w:hint="eastAsia"/>
          <w:b/>
          <w:bCs/>
          <w:sz w:val="21"/>
          <w:szCs w:val="21"/>
        </w:rPr>
        <w:t>“</w:t>
      </w:r>
      <w:r>
        <w:rPr>
          <w:rFonts w:eastAsia="黑体"/>
          <w:b/>
          <w:bCs/>
          <w:sz w:val="21"/>
          <w:szCs w:val="21"/>
        </w:rPr>
        <w:t>安全</w:t>
      </w:r>
      <w:r>
        <w:rPr>
          <w:rFonts w:hint="eastAsia"/>
          <w:b/>
          <w:bCs/>
          <w:sz w:val="21"/>
          <w:szCs w:val="21"/>
        </w:rPr>
        <w:t>—</w:t>
      </w:r>
      <w:r>
        <w:rPr>
          <w:rFonts w:eastAsia="黑体"/>
          <w:b/>
          <w:bCs/>
          <w:sz w:val="21"/>
          <w:szCs w:val="21"/>
        </w:rPr>
        <w:t>发展</w:t>
      </w:r>
      <w:r>
        <w:rPr>
          <w:rFonts w:hint="eastAsia"/>
          <w:b/>
          <w:bCs/>
          <w:sz w:val="21"/>
          <w:szCs w:val="21"/>
        </w:rPr>
        <w:t>—</w:t>
      </w:r>
      <w:r>
        <w:rPr>
          <w:rFonts w:eastAsia="黑体"/>
          <w:b/>
          <w:bCs/>
          <w:sz w:val="21"/>
          <w:szCs w:val="21"/>
        </w:rPr>
        <w:t>生态</w:t>
      </w:r>
      <w:r>
        <w:rPr>
          <w:rFonts w:hint="eastAsia"/>
          <w:b/>
          <w:bCs/>
          <w:sz w:val="21"/>
          <w:szCs w:val="21"/>
        </w:rPr>
        <w:t>”</w:t>
      </w:r>
      <w:r>
        <w:rPr>
          <w:rFonts w:eastAsia="黑体"/>
          <w:b/>
          <w:bCs/>
          <w:sz w:val="21"/>
          <w:szCs w:val="21"/>
        </w:rPr>
        <w:t>三元评价指标体系</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850"/>
        <w:gridCol w:w="1250"/>
        <w:gridCol w:w="800"/>
        <w:gridCol w:w="1850"/>
        <w:gridCol w:w="580"/>
        <w:gridCol w:w="1900"/>
        <w:gridCol w:w="1570"/>
      </w:tblGrid>
      <w:tr w14:paraId="135ADB2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AC3D25">
            <w:pPr>
              <w:spacing w:line="240" w:lineRule="auto"/>
              <w:jc w:val="center"/>
            </w:pPr>
            <w:r>
              <w:rPr>
                <w:b/>
                <w:bCs/>
                <w:sz w:val="18"/>
                <w:szCs w:val="18"/>
              </w:rPr>
              <w:t>子系统</w:t>
            </w:r>
          </w:p>
        </w:tc>
        <w:tc>
          <w:tcPr>
            <w:tcW w:w="12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FB27E65">
            <w:pPr>
              <w:spacing w:line="240" w:lineRule="auto"/>
              <w:jc w:val="center"/>
            </w:pPr>
            <w:r>
              <w:rPr>
                <w:b/>
                <w:bCs/>
                <w:sz w:val="18"/>
                <w:szCs w:val="18"/>
              </w:rPr>
              <w:t>理论构念</w:t>
            </w:r>
          </w:p>
        </w:tc>
        <w:tc>
          <w:tcPr>
            <w:tcW w:w="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DA7CD3F">
            <w:pPr>
              <w:spacing w:line="240" w:lineRule="auto"/>
              <w:jc w:val="center"/>
            </w:pPr>
            <w:r>
              <w:rPr>
                <w:b/>
                <w:bCs/>
                <w:sz w:val="18"/>
                <w:szCs w:val="18"/>
              </w:rPr>
              <w:t>指标编码</w:t>
            </w:r>
          </w:p>
        </w:tc>
        <w:tc>
          <w:tcPr>
            <w:tcW w:w="185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79BABD">
            <w:pPr>
              <w:spacing w:line="240" w:lineRule="auto"/>
              <w:jc w:val="center"/>
            </w:pPr>
            <w:r>
              <w:rPr>
                <w:b/>
                <w:bCs/>
                <w:sz w:val="18"/>
                <w:szCs w:val="18"/>
              </w:rPr>
              <w:t>三级指标</w:t>
            </w:r>
          </w:p>
        </w:tc>
        <w:tc>
          <w:tcPr>
            <w:tcW w:w="58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DFD97C2">
            <w:pPr>
              <w:spacing w:line="240" w:lineRule="auto"/>
              <w:jc w:val="center"/>
            </w:pPr>
            <w:r>
              <w:rPr>
                <w:b/>
                <w:bCs/>
                <w:sz w:val="18"/>
                <w:szCs w:val="18"/>
              </w:rPr>
              <w:t>方向</w:t>
            </w:r>
          </w:p>
        </w:tc>
        <w:tc>
          <w:tcPr>
            <w:tcW w:w="19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4B3E909">
            <w:pPr>
              <w:spacing w:line="240" w:lineRule="auto"/>
              <w:jc w:val="center"/>
            </w:pPr>
            <w:r>
              <w:rPr>
                <w:b/>
                <w:bCs/>
                <w:sz w:val="18"/>
                <w:szCs w:val="18"/>
              </w:rPr>
              <w:t>数据来源</w:t>
            </w:r>
          </w:p>
        </w:tc>
        <w:tc>
          <w:tcPr>
            <w:tcW w:w="157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4FFC5F9">
            <w:pPr>
              <w:spacing w:line="240" w:lineRule="auto"/>
              <w:jc w:val="center"/>
            </w:pPr>
            <w:r>
              <w:rPr>
                <w:b/>
                <w:bCs/>
                <w:sz w:val="18"/>
                <w:szCs w:val="18"/>
              </w:rPr>
              <w:t>标准化基准（下限，上限）</w:t>
            </w:r>
          </w:p>
        </w:tc>
      </w:tr>
      <w:tr w14:paraId="2A392BB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1F95CD52">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50F28314">
            <w:pPr>
              <w:spacing w:line="240" w:lineRule="auto"/>
              <w:jc w:val="center"/>
            </w:pPr>
            <w:r>
              <w:rPr>
                <w:sz w:val="18"/>
                <w:szCs w:val="18"/>
              </w:rPr>
              <w:t>地方财力保障</w:t>
            </w:r>
          </w:p>
        </w:tc>
        <w:tc>
          <w:tcPr>
            <w:tcW w:w="800" w:type="dxa"/>
            <w:tcBorders>
              <w:top w:val="nil"/>
              <w:left w:val="nil"/>
              <w:bottom w:val="nil"/>
              <w:right w:val="nil"/>
            </w:tcBorders>
            <w:tcMar>
              <w:top w:w="20" w:type="dxa"/>
              <w:left w:w="40" w:type="dxa"/>
              <w:bottom w:w="20" w:type="dxa"/>
              <w:right w:w="40" w:type="dxa"/>
            </w:tcMar>
            <w:vAlign w:val="center"/>
          </w:tcPr>
          <w:p w14:paraId="029B6A44">
            <w:pPr>
              <w:spacing w:line="240" w:lineRule="auto"/>
              <w:jc w:val="center"/>
            </w:pPr>
            <w:r>
              <w:rPr>
                <w:sz w:val="18"/>
                <w:szCs w:val="18"/>
              </w:rPr>
              <w:t>S1</w:t>
            </w:r>
          </w:p>
        </w:tc>
        <w:tc>
          <w:tcPr>
            <w:tcW w:w="1850" w:type="dxa"/>
            <w:tcBorders>
              <w:top w:val="nil"/>
              <w:left w:val="nil"/>
              <w:bottom w:val="nil"/>
              <w:right w:val="nil"/>
            </w:tcBorders>
            <w:tcMar>
              <w:top w:w="20" w:type="dxa"/>
              <w:left w:w="40" w:type="dxa"/>
              <w:bottom w:w="20" w:type="dxa"/>
              <w:right w:w="40" w:type="dxa"/>
            </w:tcMar>
            <w:vAlign w:val="center"/>
          </w:tcPr>
          <w:p w14:paraId="1F485792">
            <w:pPr>
              <w:spacing w:line="240" w:lineRule="auto"/>
              <w:jc w:val="center"/>
            </w:pPr>
            <w:r>
              <w:rPr>
                <w:sz w:val="18"/>
                <w:szCs w:val="18"/>
              </w:rPr>
              <w:t>人均一般公共预算收入（元/人）</w:t>
            </w:r>
          </w:p>
        </w:tc>
        <w:tc>
          <w:tcPr>
            <w:tcW w:w="580" w:type="dxa"/>
            <w:tcBorders>
              <w:top w:val="nil"/>
              <w:left w:val="nil"/>
              <w:bottom w:val="nil"/>
              <w:right w:val="nil"/>
            </w:tcBorders>
            <w:tcMar>
              <w:top w:w="20" w:type="dxa"/>
              <w:left w:w="40" w:type="dxa"/>
              <w:bottom w:w="20" w:type="dxa"/>
              <w:right w:w="40" w:type="dxa"/>
            </w:tcMar>
            <w:vAlign w:val="center"/>
          </w:tcPr>
          <w:p w14:paraId="35543D9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CC2B50">
            <w:pPr>
              <w:spacing w:line="240" w:lineRule="auto"/>
              <w:jc w:val="center"/>
            </w:pPr>
            <w:r>
              <w:rPr>
                <w:sz w:val="18"/>
                <w:szCs w:val="18"/>
              </w:rPr>
              <w:t>统计公报、财政资料÷常住人口</w:t>
            </w:r>
          </w:p>
        </w:tc>
        <w:tc>
          <w:tcPr>
            <w:tcW w:w="1570" w:type="dxa"/>
            <w:tcBorders>
              <w:top w:val="nil"/>
              <w:left w:val="nil"/>
              <w:bottom w:val="nil"/>
              <w:right w:val="nil"/>
            </w:tcBorders>
            <w:tcMar>
              <w:top w:w="20" w:type="dxa"/>
              <w:left w:w="40" w:type="dxa"/>
              <w:bottom w:w="20" w:type="dxa"/>
              <w:right w:w="40" w:type="dxa"/>
            </w:tcMar>
            <w:vAlign w:val="center"/>
          </w:tcPr>
          <w:p w14:paraId="62A68B41">
            <w:pPr>
              <w:spacing w:line="240" w:lineRule="auto"/>
              <w:jc w:val="center"/>
            </w:pPr>
            <w:r>
              <w:rPr>
                <w:sz w:val="18"/>
                <w:szCs w:val="18"/>
              </w:rPr>
              <w:t>(0, 12000)，见说明①</w:t>
            </w:r>
          </w:p>
        </w:tc>
      </w:tr>
      <w:tr w14:paraId="574DCC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E4F8D15">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7CE44AE6">
            <w:pPr>
              <w:spacing w:line="240" w:lineRule="auto"/>
              <w:jc w:val="center"/>
            </w:pPr>
            <w:r>
              <w:rPr>
                <w:sz w:val="18"/>
                <w:szCs w:val="18"/>
              </w:rPr>
              <w:t>共同富裕基础</w:t>
            </w:r>
          </w:p>
        </w:tc>
        <w:tc>
          <w:tcPr>
            <w:tcW w:w="800" w:type="dxa"/>
            <w:tcBorders>
              <w:top w:val="nil"/>
              <w:left w:val="nil"/>
              <w:bottom w:val="nil"/>
              <w:right w:val="nil"/>
            </w:tcBorders>
            <w:tcMar>
              <w:top w:w="20" w:type="dxa"/>
              <w:left w:w="40" w:type="dxa"/>
              <w:bottom w:w="20" w:type="dxa"/>
              <w:right w:w="40" w:type="dxa"/>
            </w:tcMar>
            <w:vAlign w:val="center"/>
          </w:tcPr>
          <w:p w14:paraId="5D1A4586">
            <w:pPr>
              <w:spacing w:line="240" w:lineRule="auto"/>
              <w:jc w:val="center"/>
            </w:pPr>
            <w:r>
              <w:rPr>
                <w:sz w:val="18"/>
                <w:szCs w:val="18"/>
              </w:rPr>
              <w:t>S2</w:t>
            </w:r>
          </w:p>
        </w:tc>
        <w:tc>
          <w:tcPr>
            <w:tcW w:w="1850" w:type="dxa"/>
            <w:tcBorders>
              <w:top w:val="nil"/>
              <w:left w:val="nil"/>
              <w:bottom w:val="nil"/>
              <w:right w:val="nil"/>
            </w:tcBorders>
            <w:tcMar>
              <w:top w:w="20" w:type="dxa"/>
              <w:left w:w="40" w:type="dxa"/>
              <w:bottom w:w="20" w:type="dxa"/>
              <w:right w:w="40" w:type="dxa"/>
            </w:tcMar>
            <w:vAlign w:val="center"/>
          </w:tcPr>
          <w:p w14:paraId="53EA1C24">
            <w:pPr>
              <w:spacing w:line="240" w:lineRule="auto"/>
              <w:jc w:val="center"/>
            </w:pPr>
            <w:r>
              <w:rPr>
                <w:sz w:val="18"/>
                <w:szCs w:val="18"/>
              </w:rPr>
              <w:t>城乡居民收入比与全国差距（倍）</w:t>
            </w:r>
          </w:p>
        </w:tc>
        <w:tc>
          <w:tcPr>
            <w:tcW w:w="580" w:type="dxa"/>
            <w:tcBorders>
              <w:top w:val="nil"/>
              <w:left w:val="nil"/>
              <w:bottom w:val="nil"/>
              <w:right w:val="nil"/>
            </w:tcBorders>
            <w:tcMar>
              <w:top w:w="20" w:type="dxa"/>
              <w:left w:w="40" w:type="dxa"/>
              <w:bottom w:w="20" w:type="dxa"/>
              <w:right w:w="40" w:type="dxa"/>
            </w:tcMar>
            <w:vAlign w:val="center"/>
          </w:tcPr>
          <w:p w14:paraId="57467196">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44805F88">
            <w:pPr>
              <w:spacing w:line="240" w:lineRule="auto"/>
              <w:jc w:val="center"/>
            </w:pPr>
            <w:r>
              <w:rPr>
                <w:sz w:val="18"/>
                <w:szCs w:val="18"/>
              </w:rPr>
              <w:t>由城乡收入及全国城乡收入比计算</w:t>
            </w:r>
          </w:p>
        </w:tc>
        <w:tc>
          <w:tcPr>
            <w:tcW w:w="1570" w:type="dxa"/>
            <w:tcBorders>
              <w:top w:val="nil"/>
              <w:left w:val="nil"/>
              <w:bottom w:val="nil"/>
              <w:right w:val="nil"/>
            </w:tcBorders>
            <w:tcMar>
              <w:top w:w="20" w:type="dxa"/>
              <w:left w:w="40" w:type="dxa"/>
              <w:bottom w:w="20" w:type="dxa"/>
              <w:right w:w="40" w:type="dxa"/>
            </w:tcMar>
            <w:vAlign w:val="center"/>
          </w:tcPr>
          <w:p w14:paraId="0BDDCEA8">
            <w:pPr>
              <w:spacing w:line="240" w:lineRule="auto"/>
              <w:jc w:val="center"/>
            </w:pPr>
            <w:r>
              <w:rPr>
                <w:sz w:val="18"/>
                <w:szCs w:val="18"/>
              </w:rPr>
              <w:t>(</w:t>
            </w:r>
            <w:r>
              <w:rPr>
                <w:rFonts w:hint="eastAsia"/>
                <w:sz w:val="18"/>
                <w:szCs w:val="18"/>
              </w:rPr>
              <w:t>-</w:t>
            </w:r>
            <w:r>
              <w:rPr>
                <w:sz w:val="18"/>
                <w:szCs w:val="18"/>
              </w:rPr>
              <w:t>1, 2)</w:t>
            </w:r>
          </w:p>
        </w:tc>
      </w:tr>
      <w:tr w14:paraId="5F0DF3E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EA10564">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6258C73C">
            <w:pPr>
              <w:spacing w:line="240" w:lineRule="auto"/>
              <w:jc w:val="center"/>
            </w:pPr>
            <w:r>
              <w:rPr>
                <w:sz w:val="18"/>
                <w:szCs w:val="18"/>
              </w:rPr>
              <w:t>民生兜底保障</w:t>
            </w:r>
          </w:p>
        </w:tc>
        <w:tc>
          <w:tcPr>
            <w:tcW w:w="800" w:type="dxa"/>
            <w:tcBorders>
              <w:top w:val="nil"/>
              <w:left w:val="nil"/>
              <w:bottom w:val="nil"/>
              <w:right w:val="nil"/>
            </w:tcBorders>
            <w:tcMar>
              <w:top w:w="20" w:type="dxa"/>
              <w:left w:w="40" w:type="dxa"/>
              <w:bottom w:w="20" w:type="dxa"/>
              <w:right w:w="40" w:type="dxa"/>
            </w:tcMar>
            <w:vAlign w:val="center"/>
          </w:tcPr>
          <w:p w14:paraId="02E036F2">
            <w:pPr>
              <w:spacing w:line="240" w:lineRule="auto"/>
              <w:jc w:val="center"/>
            </w:pPr>
            <w:r>
              <w:rPr>
                <w:sz w:val="18"/>
                <w:szCs w:val="18"/>
              </w:rPr>
              <w:t>S3</w:t>
            </w:r>
          </w:p>
        </w:tc>
        <w:tc>
          <w:tcPr>
            <w:tcW w:w="1850" w:type="dxa"/>
            <w:tcBorders>
              <w:top w:val="nil"/>
              <w:left w:val="nil"/>
              <w:bottom w:val="nil"/>
              <w:right w:val="nil"/>
            </w:tcBorders>
            <w:tcMar>
              <w:top w:w="20" w:type="dxa"/>
              <w:left w:w="40" w:type="dxa"/>
              <w:bottom w:w="20" w:type="dxa"/>
              <w:right w:w="40" w:type="dxa"/>
            </w:tcMar>
            <w:vAlign w:val="center"/>
          </w:tcPr>
          <w:p w14:paraId="6EA895D6">
            <w:pPr>
              <w:spacing w:line="240" w:lineRule="auto"/>
              <w:jc w:val="center"/>
            </w:pPr>
            <w:r>
              <w:rPr>
                <w:sz w:val="18"/>
                <w:szCs w:val="18"/>
              </w:rPr>
              <w:t>居民医保人均财政补助标准（元/人年）</w:t>
            </w:r>
          </w:p>
        </w:tc>
        <w:tc>
          <w:tcPr>
            <w:tcW w:w="580" w:type="dxa"/>
            <w:tcBorders>
              <w:top w:val="nil"/>
              <w:left w:val="nil"/>
              <w:bottom w:val="nil"/>
              <w:right w:val="nil"/>
            </w:tcBorders>
            <w:tcMar>
              <w:top w:w="20" w:type="dxa"/>
              <w:left w:w="40" w:type="dxa"/>
              <w:bottom w:w="20" w:type="dxa"/>
              <w:right w:w="40" w:type="dxa"/>
            </w:tcMar>
            <w:vAlign w:val="center"/>
          </w:tcPr>
          <w:p w14:paraId="54892E3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DBF3ED0">
            <w:pPr>
              <w:spacing w:line="240" w:lineRule="auto"/>
              <w:jc w:val="center"/>
            </w:pPr>
            <w:r>
              <w:rPr>
                <w:sz w:val="18"/>
                <w:szCs w:val="18"/>
              </w:rPr>
              <w:t>医保局、统计公报</w:t>
            </w:r>
          </w:p>
        </w:tc>
        <w:tc>
          <w:tcPr>
            <w:tcW w:w="1570" w:type="dxa"/>
            <w:tcBorders>
              <w:top w:val="nil"/>
              <w:left w:val="nil"/>
              <w:bottom w:val="nil"/>
              <w:right w:val="nil"/>
            </w:tcBorders>
            <w:tcMar>
              <w:top w:w="20" w:type="dxa"/>
              <w:left w:w="40" w:type="dxa"/>
              <w:bottom w:w="20" w:type="dxa"/>
              <w:right w:w="40" w:type="dxa"/>
            </w:tcMar>
            <w:vAlign w:val="center"/>
          </w:tcPr>
          <w:p w14:paraId="1CD97FF1">
            <w:pPr>
              <w:spacing w:line="240" w:lineRule="auto"/>
              <w:jc w:val="center"/>
            </w:pPr>
            <w:r>
              <w:rPr>
                <w:sz w:val="18"/>
                <w:szCs w:val="18"/>
              </w:rPr>
              <w:t>(0, 1200)</w:t>
            </w:r>
          </w:p>
        </w:tc>
      </w:tr>
      <w:tr w14:paraId="7A6C593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551C279">
            <w:pPr>
              <w:spacing w:line="240" w:lineRule="auto"/>
              <w:jc w:val="center"/>
            </w:pPr>
            <w:r>
              <w:rPr>
                <w:sz w:val="18"/>
                <w:szCs w:val="18"/>
              </w:rPr>
              <w:t>安全 S</w:t>
            </w:r>
          </w:p>
        </w:tc>
        <w:tc>
          <w:tcPr>
            <w:tcW w:w="1250" w:type="dxa"/>
            <w:tcBorders>
              <w:top w:val="nil"/>
              <w:left w:val="nil"/>
              <w:bottom w:val="nil"/>
              <w:right w:val="nil"/>
            </w:tcBorders>
            <w:tcMar>
              <w:top w:w="20" w:type="dxa"/>
              <w:left w:w="40" w:type="dxa"/>
              <w:bottom w:w="20" w:type="dxa"/>
              <w:right w:w="40" w:type="dxa"/>
            </w:tcMar>
            <w:vAlign w:val="center"/>
          </w:tcPr>
          <w:p w14:paraId="1C9E7D97">
            <w:pPr>
              <w:spacing w:line="240" w:lineRule="auto"/>
              <w:jc w:val="center"/>
            </w:pPr>
            <w:r>
              <w:rPr>
                <w:sz w:val="18"/>
                <w:szCs w:val="18"/>
              </w:rPr>
              <w:t>社会保障覆盖</w:t>
            </w:r>
          </w:p>
        </w:tc>
        <w:tc>
          <w:tcPr>
            <w:tcW w:w="800" w:type="dxa"/>
            <w:tcBorders>
              <w:top w:val="nil"/>
              <w:left w:val="nil"/>
              <w:bottom w:val="nil"/>
              <w:right w:val="nil"/>
            </w:tcBorders>
            <w:tcMar>
              <w:top w:w="20" w:type="dxa"/>
              <w:left w:w="40" w:type="dxa"/>
              <w:bottom w:w="20" w:type="dxa"/>
              <w:right w:w="40" w:type="dxa"/>
            </w:tcMar>
            <w:vAlign w:val="center"/>
          </w:tcPr>
          <w:p w14:paraId="0744D756">
            <w:pPr>
              <w:spacing w:line="240" w:lineRule="auto"/>
              <w:jc w:val="center"/>
            </w:pPr>
            <w:r>
              <w:rPr>
                <w:sz w:val="18"/>
                <w:szCs w:val="18"/>
              </w:rPr>
              <w:t>S4</w:t>
            </w:r>
          </w:p>
        </w:tc>
        <w:tc>
          <w:tcPr>
            <w:tcW w:w="1850" w:type="dxa"/>
            <w:tcBorders>
              <w:top w:val="nil"/>
              <w:left w:val="nil"/>
              <w:bottom w:val="nil"/>
              <w:right w:val="nil"/>
            </w:tcBorders>
            <w:tcMar>
              <w:top w:w="20" w:type="dxa"/>
              <w:left w:w="40" w:type="dxa"/>
              <w:bottom w:w="20" w:type="dxa"/>
              <w:right w:w="40" w:type="dxa"/>
            </w:tcMar>
            <w:vAlign w:val="center"/>
          </w:tcPr>
          <w:p w14:paraId="7705AAAC">
            <w:pPr>
              <w:spacing w:line="240" w:lineRule="auto"/>
              <w:jc w:val="center"/>
            </w:pPr>
            <w:r>
              <w:rPr>
                <w:sz w:val="18"/>
                <w:szCs w:val="18"/>
              </w:rPr>
              <w:t>基本养老保险参保率（%）</w:t>
            </w:r>
          </w:p>
        </w:tc>
        <w:tc>
          <w:tcPr>
            <w:tcW w:w="580" w:type="dxa"/>
            <w:tcBorders>
              <w:top w:val="nil"/>
              <w:left w:val="nil"/>
              <w:bottom w:val="nil"/>
              <w:right w:val="nil"/>
            </w:tcBorders>
            <w:tcMar>
              <w:top w:w="20" w:type="dxa"/>
              <w:left w:w="40" w:type="dxa"/>
              <w:bottom w:w="20" w:type="dxa"/>
              <w:right w:w="40" w:type="dxa"/>
            </w:tcMar>
            <w:vAlign w:val="center"/>
          </w:tcPr>
          <w:p w14:paraId="2F717DAC">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FEF0C9F">
            <w:pPr>
              <w:spacing w:line="240" w:lineRule="auto"/>
              <w:jc w:val="center"/>
            </w:pPr>
            <w:r>
              <w:rPr>
                <w:sz w:val="18"/>
                <w:szCs w:val="18"/>
              </w:rPr>
              <w:t>人社统计资料</w:t>
            </w:r>
          </w:p>
        </w:tc>
        <w:tc>
          <w:tcPr>
            <w:tcW w:w="1570" w:type="dxa"/>
            <w:tcBorders>
              <w:top w:val="nil"/>
              <w:left w:val="nil"/>
              <w:bottom w:val="nil"/>
              <w:right w:val="nil"/>
            </w:tcBorders>
            <w:tcMar>
              <w:top w:w="20" w:type="dxa"/>
              <w:left w:w="40" w:type="dxa"/>
              <w:bottom w:w="20" w:type="dxa"/>
              <w:right w:w="40" w:type="dxa"/>
            </w:tcMar>
            <w:vAlign w:val="center"/>
          </w:tcPr>
          <w:p w14:paraId="00C40123">
            <w:pPr>
              <w:spacing w:line="240" w:lineRule="auto"/>
              <w:jc w:val="center"/>
            </w:pPr>
            <w:r>
              <w:rPr>
                <w:sz w:val="18"/>
                <w:szCs w:val="18"/>
              </w:rPr>
              <w:t>(0, 100)</w:t>
            </w:r>
          </w:p>
        </w:tc>
      </w:tr>
      <w:tr w14:paraId="111ECAF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29A80B25">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2EC0603C">
            <w:pPr>
              <w:spacing w:line="240" w:lineRule="auto"/>
              <w:jc w:val="center"/>
            </w:pPr>
            <w:r>
              <w:rPr>
                <w:sz w:val="18"/>
                <w:szCs w:val="18"/>
              </w:rPr>
              <w:t>发展追赶水平</w:t>
            </w:r>
          </w:p>
        </w:tc>
        <w:tc>
          <w:tcPr>
            <w:tcW w:w="800" w:type="dxa"/>
            <w:tcBorders>
              <w:top w:val="nil"/>
              <w:left w:val="nil"/>
              <w:bottom w:val="nil"/>
              <w:right w:val="nil"/>
            </w:tcBorders>
            <w:tcMar>
              <w:top w:w="20" w:type="dxa"/>
              <w:left w:w="40" w:type="dxa"/>
              <w:bottom w:w="20" w:type="dxa"/>
              <w:right w:w="40" w:type="dxa"/>
            </w:tcMar>
            <w:vAlign w:val="center"/>
          </w:tcPr>
          <w:p w14:paraId="2538B6D0">
            <w:pPr>
              <w:spacing w:line="240" w:lineRule="auto"/>
              <w:jc w:val="center"/>
            </w:pPr>
            <w:r>
              <w:rPr>
                <w:sz w:val="18"/>
                <w:szCs w:val="18"/>
              </w:rPr>
              <w:t>D1</w:t>
            </w:r>
          </w:p>
        </w:tc>
        <w:tc>
          <w:tcPr>
            <w:tcW w:w="1850" w:type="dxa"/>
            <w:tcBorders>
              <w:top w:val="nil"/>
              <w:left w:val="nil"/>
              <w:bottom w:val="nil"/>
              <w:right w:val="nil"/>
            </w:tcBorders>
            <w:tcMar>
              <w:top w:w="20" w:type="dxa"/>
              <w:left w:w="40" w:type="dxa"/>
              <w:bottom w:w="20" w:type="dxa"/>
              <w:right w:w="40" w:type="dxa"/>
            </w:tcMar>
            <w:vAlign w:val="center"/>
          </w:tcPr>
          <w:p w14:paraId="0BCA1B50">
            <w:pPr>
              <w:spacing w:line="240" w:lineRule="auto"/>
              <w:jc w:val="center"/>
            </w:pPr>
            <w:r>
              <w:rPr>
                <w:sz w:val="18"/>
                <w:szCs w:val="18"/>
              </w:rPr>
              <w:t>人均GDP相对全国水平（%）</w:t>
            </w:r>
          </w:p>
        </w:tc>
        <w:tc>
          <w:tcPr>
            <w:tcW w:w="580" w:type="dxa"/>
            <w:tcBorders>
              <w:top w:val="nil"/>
              <w:left w:val="nil"/>
              <w:bottom w:val="nil"/>
              <w:right w:val="nil"/>
            </w:tcBorders>
            <w:tcMar>
              <w:top w:w="20" w:type="dxa"/>
              <w:left w:w="40" w:type="dxa"/>
              <w:bottom w:w="20" w:type="dxa"/>
              <w:right w:w="40" w:type="dxa"/>
            </w:tcMar>
            <w:vAlign w:val="center"/>
          </w:tcPr>
          <w:p w14:paraId="6386860E">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AD1B78E">
            <w:pPr>
              <w:spacing w:line="240" w:lineRule="auto"/>
              <w:jc w:val="center"/>
            </w:pPr>
            <w:r>
              <w:rPr>
                <w:sz w:val="18"/>
                <w:szCs w:val="18"/>
              </w:rPr>
              <w:t>西藏/全国人均GDP</w:t>
            </w:r>
          </w:p>
        </w:tc>
        <w:tc>
          <w:tcPr>
            <w:tcW w:w="1570" w:type="dxa"/>
            <w:tcBorders>
              <w:top w:val="nil"/>
              <w:left w:val="nil"/>
              <w:bottom w:val="nil"/>
              <w:right w:val="nil"/>
            </w:tcBorders>
            <w:tcMar>
              <w:top w:w="20" w:type="dxa"/>
              <w:left w:w="40" w:type="dxa"/>
              <w:bottom w:w="20" w:type="dxa"/>
              <w:right w:w="40" w:type="dxa"/>
            </w:tcMar>
            <w:vAlign w:val="center"/>
          </w:tcPr>
          <w:p w14:paraId="1A7B8EB7">
            <w:pPr>
              <w:spacing w:line="240" w:lineRule="auto"/>
              <w:jc w:val="center"/>
            </w:pPr>
            <w:r>
              <w:rPr>
                <w:sz w:val="18"/>
                <w:szCs w:val="18"/>
              </w:rPr>
              <w:t>(0, 100)</w:t>
            </w:r>
          </w:p>
        </w:tc>
      </w:tr>
      <w:tr w14:paraId="2EAA42E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55C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B161CA0">
            <w:pPr>
              <w:spacing w:line="240" w:lineRule="auto"/>
              <w:jc w:val="center"/>
            </w:pPr>
            <w:r>
              <w:rPr>
                <w:sz w:val="18"/>
                <w:szCs w:val="18"/>
              </w:rPr>
              <w:t>城乡收入改善</w:t>
            </w:r>
          </w:p>
        </w:tc>
        <w:tc>
          <w:tcPr>
            <w:tcW w:w="800" w:type="dxa"/>
            <w:tcBorders>
              <w:top w:val="nil"/>
              <w:left w:val="nil"/>
              <w:bottom w:val="nil"/>
              <w:right w:val="nil"/>
            </w:tcBorders>
            <w:tcMar>
              <w:top w:w="20" w:type="dxa"/>
              <w:left w:w="40" w:type="dxa"/>
              <w:bottom w:w="20" w:type="dxa"/>
              <w:right w:w="40" w:type="dxa"/>
            </w:tcMar>
            <w:vAlign w:val="center"/>
          </w:tcPr>
          <w:p w14:paraId="3A54EA29">
            <w:pPr>
              <w:spacing w:line="240" w:lineRule="auto"/>
              <w:jc w:val="center"/>
            </w:pPr>
            <w:r>
              <w:rPr>
                <w:sz w:val="18"/>
                <w:szCs w:val="18"/>
              </w:rPr>
              <w:t>D2</w:t>
            </w:r>
          </w:p>
        </w:tc>
        <w:tc>
          <w:tcPr>
            <w:tcW w:w="1850" w:type="dxa"/>
            <w:tcBorders>
              <w:top w:val="nil"/>
              <w:left w:val="nil"/>
              <w:bottom w:val="nil"/>
              <w:right w:val="nil"/>
            </w:tcBorders>
            <w:tcMar>
              <w:top w:w="20" w:type="dxa"/>
              <w:left w:w="40" w:type="dxa"/>
              <w:bottom w:w="20" w:type="dxa"/>
              <w:right w:w="40" w:type="dxa"/>
            </w:tcMar>
            <w:vAlign w:val="center"/>
          </w:tcPr>
          <w:p w14:paraId="66A7FE09">
            <w:pPr>
              <w:spacing w:line="240" w:lineRule="auto"/>
              <w:jc w:val="center"/>
            </w:pPr>
            <w:r>
              <w:rPr>
                <w:sz w:val="18"/>
                <w:szCs w:val="18"/>
              </w:rPr>
              <w:t>农村居民人均收入相对全国水平（%）</w:t>
            </w:r>
          </w:p>
        </w:tc>
        <w:tc>
          <w:tcPr>
            <w:tcW w:w="580" w:type="dxa"/>
            <w:tcBorders>
              <w:top w:val="nil"/>
              <w:left w:val="nil"/>
              <w:bottom w:val="nil"/>
              <w:right w:val="nil"/>
            </w:tcBorders>
            <w:tcMar>
              <w:top w:w="20" w:type="dxa"/>
              <w:left w:w="40" w:type="dxa"/>
              <w:bottom w:w="20" w:type="dxa"/>
              <w:right w:w="40" w:type="dxa"/>
            </w:tcMar>
            <w:vAlign w:val="center"/>
          </w:tcPr>
          <w:p w14:paraId="55C982A0">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2EA5086C">
            <w:pPr>
              <w:spacing w:line="240" w:lineRule="auto"/>
              <w:jc w:val="center"/>
            </w:pPr>
            <w:r>
              <w:rPr>
                <w:sz w:val="18"/>
                <w:szCs w:val="18"/>
              </w:rPr>
              <w:t>西藏/全国农村居民人均可支配收入</w:t>
            </w:r>
          </w:p>
        </w:tc>
        <w:tc>
          <w:tcPr>
            <w:tcW w:w="1570" w:type="dxa"/>
            <w:tcBorders>
              <w:top w:val="nil"/>
              <w:left w:val="nil"/>
              <w:bottom w:val="nil"/>
              <w:right w:val="nil"/>
            </w:tcBorders>
            <w:tcMar>
              <w:top w:w="20" w:type="dxa"/>
              <w:left w:w="40" w:type="dxa"/>
              <w:bottom w:w="20" w:type="dxa"/>
              <w:right w:w="40" w:type="dxa"/>
            </w:tcMar>
            <w:vAlign w:val="center"/>
          </w:tcPr>
          <w:p w14:paraId="0C40D7FA">
            <w:pPr>
              <w:spacing w:line="240" w:lineRule="auto"/>
              <w:jc w:val="center"/>
            </w:pPr>
            <w:r>
              <w:rPr>
                <w:sz w:val="18"/>
                <w:szCs w:val="18"/>
              </w:rPr>
              <w:t>(0, 100)</w:t>
            </w:r>
          </w:p>
        </w:tc>
      </w:tr>
      <w:tr w14:paraId="316A9F90">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54D54A6B">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1594D50C">
            <w:pPr>
              <w:spacing w:line="240" w:lineRule="auto"/>
              <w:jc w:val="center"/>
            </w:pPr>
            <w:r>
              <w:rPr>
                <w:sz w:val="18"/>
                <w:szCs w:val="18"/>
              </w:rPr>
              <w:t>开放与外向发展</w:t>
            </w:r>
          </w:p>
        </w:tc>
        <w:tc>
          <w:tcPr>
            <w:tcW w:w="800" w:type="dxa"/>
            <w:tcBorders>
              <w:top w:val="nil"/>
              <w:left w:val="nil"/>
              <w:bottom w:val="nil"/>
              <w:right w:val="nil"/>
            </w:tcBorders>
            <w:tcMar>
              <w:top w:w="20" w:type="dxa"/>
              <w:left w:w="40" w:type="dxa"/>
              <w:bottom w:w="20" w:type="dxa"/>
              <w:right w:w="40" w:type="dxa"/>
            </w:tcMar>
            <w:vAlign w:val="center"/>
          </w:tcPr>
          <w:p w14:paraId="09BDEF9A">
            <w:pPr>
              <w:spacing w:line="240" w:lineRule="auto"/>
              <w:jc w:val="center"/>
            </w:pPr>
            <w:r>
              <w:rPr>
                <w:sz w:val="18"/>
                <w:szCs w:val="18"/>
              </w:rPr>
              <w:t>D3</w:t>
            </w:r>
          </w:p>
        </w:tc>
        <w:tc>
          <w:tcPr>
            <w:tcW w:w="1850" w:type="dxa"/>
            <w:tcBorders>
              <w:top w:val="nil"/>
              <w:left w:val="nil"/>
              <w:bottom w:val="nil"/>
              <w:right w:val="nil"/>
            </w:tcBorders>
            <w:tcMar>
              <w:top w:w="20" w:type="dxa"/>
              <w:left w:w="40" w:type="dxa"/>
              <w:bottom w:w="20" w:type="dxa"/>
              <w:right w:w="40" w:type="dxa"/>
            </w:tcMar>
            <w:vAlign w:val="center"/>
          </w:tcPr>
          <w:p w14:paraId="569D89F0">
            <w:pPr>
              <w:spacing w:line="240" w:lineRule="auto"/>
              <w:jc w:val="center"/>
            </w:pPr>
            <w:r>
              <w:rPr>
                <w:sz w:val="18"/>
                <w:szCs w:val="18"/>
              </w:rPr>
              <w:t>外向度（进出口总额/GDP，%）</w:t>
            </w:r>
          </w:p>
        </w:tc>
        <w:tc>
          <w:tcPr>
            <w:tcW w:w="580" w:type="dxa"/>
            <w:tcBorders>
              <w:top w:val="nil"/>
              <w:left w:val="nil"/>
              <w:bottom w:val="nil"/>
              <w:right w:val="nil"/>
            </w:tcBorders>
            <w:tcMar>
              <w:top w:w="20" w:type="dxa"/>
              <w:left w:w="40" w:type="dxa"/>
              <w:bottom w:w="20" w:type="dxa"/>
              <w:right w:w="40" w:type="dxa"/>
            </w:tcMar>
            <w:vAlign w:val="center"/>
          </w:tcPr>
          <w:p w14:paraId="74C18F5B">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0A587BA">
            <w:pPr>
              <w:spacing w:line="240" w:lineRule="auto"/>
              <w:jc w:val="center"/>
            </w:pPr>
            <w:r>
              <w:rPr>
                <w:sz w:val="18"/>
                <w:szCs w:val="18"/>
              </w:rPr>
              <w:t>海关、统计公报</w:t>
            </w:r>
          </w:p>
        </w:tc>
        <w:tc>
          <w:tcPr>
            <w:tcW w:w="1570" w:type="dxa"/>
            <w:tcBorders>
              <w:top w:val="nil"/>
              <w:left w:val="nil"/>
              <w:bottom w:val="nil"/>
              <w:right w:val="nil"/>
            </w:tcBorders>
            <w:tcMar>
              <w:top w:w="20" w:type="dxa"/>
              <w:left w:w="40" w:type="dxa"/>
              <w:bottom w:w="20" w:type="dxa"/>
              <w:right w:w="40" w:type="dxa"/>
            </w:tcMar>
            <w:vAlign w:val="center"/>
          </w:tcPr>
          <w:p w14:paraId="2954B32D">
            <w:pPr>
              <w:spacing w:line="240" w:lineRule="auto"/>
              <w:jc w:val="center"/>
            </w:pPr>
            <w:r>
              <w:rPr>
                <w:sz w:val="18"/>
                <w:szCs w:val="18"/>
              </w:rPr>
              <w:t>(0, 10)</w:t>
            </w:r>
          </w:p>
        </w:tc>
      </w:tr>
      <w:tr w14:paraId="083048A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2782576">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36420B04">
            <w:pPr>
              <w:spacing w:line="240" w:lineRule="auto"/>
              <w:jc w:val="center"/>
            </w:pPr>
            <w:r>
              <w:rPr>
                <w:sz w:val="18"/>
                <w:szCs w:val="18"/>
              </w:rPr>
              <w:t>文旅动能</w:t>
            </w:r>
          </w:p>
        </w:tc>
        <w:tc>
          <w:tcPr>
            <w:tcW w:w="800" w:type="dxa"/>
            <w:tcBorders>
              <w:top w:val="nil"/>
              <w:left w:val="nil"/>
              <w:bottom w:val="nil"/>
              <w:right w:val="nil"/>
            </w:tcBorders>
            <w:tcMar>
              <w:top w:w="20" w:type="dxa"/>
              <w:left w:w="40" w:type="dxa"/>
              <w:bottom w:w="20" w:type="dxa"/>
              <w:right w:w="40" w:type="dxa"/>
            </w:tcMar>
            <w:vAlign w:val="center"/>
          </w:tcPr>
          <w:p w14:paraId="1EAD688E">
            <w:pPr>
              <w:spacing w:line="240" w:lineRule="auto"/>
              <w:jc w:val="center"/>
            </w:pPr>
            <w:r>
              <w:rPr>
                <w:sz w:val="18"/>
                <w:szCs w:val="18"/>
              </w:rPr>
              <w:t>D4</w:t>
            </w:r>
          </w:p>
        </w:tc>
        <w:tc>
          <w:tcPr>
            <w:tcW w:w="1850" w:type="dxa"/>
            <w:tcBorders>
              <w:top w:val="nil"/>
              <w:left w:val="nil"/>
              <w:bottom w:val="nil"/>
              <w:right w:val="nil"/>
            </w:tcBorders>
            <w:tcMar>
              <w:top w:w="20" w:type="dxa"/>
              <w:left w:w="40" w:type="dxa"/>
              <w:bottom w:w="20" w:type="dxa"/>
              <w:right w:w="40" w:type="dxa"/>
            </w:tcMar>
            <w:vAlign w:val="center"/>
          </w:tcPr>
          <w:p w14:paraId="7D90C9BA">
            <w:pPr>
              <w:spacing w:line="240" w:lineRule="auto"/>
              <w:jc w:val="center"/>
            </w:pPr>
            <w:r>
              <w:rPr>
                <w:sz w:val="18"/>
                <w:szCs w:val="18"/>
              </w:rPr>
              <w:t>人均接待游客（万人次/万人）</w:t>
            </w:r>
          </w:p>
        </w:tc>
        <w:tc>
          <w:tcPr>
            <w:tcW w:w="580" w:type="dxa"/>
            <w:tcBorders>
              <w:top w:val="nil"/>
              <w:left w:val="nil"/>
              <w:bottom w:val="nil"/>
              <w:right w:val="nil"/>
            </w:tcBorders>
            <w:tcMar>
              <w:top w:w="20" w:type="dxa"/>
              <w:left w:w="40" w:type="dxa"/>
              <w:bottom w:w="20" w:type="dxa"/>
              <w:right w:w="40" w:type="dxa"/>
            </w:tcMar>
            <w:vAlign w:val="center"/>
          </w:tcPr>
          <w:p w14:paraId="3697E2F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BEB54C7">
            <w:pPr>
              <w:spacing w:line="240" w:lineRule="auto"/>
              <w:jc w:val="center"/>
            </w:pPr>
            <w:r>
              <w:rPr>
                <w:sz w:val="18"/>
                <w:szCs w:val="18"/>
              </w:rPr>
              <w:t>文旅统计资料÷常住人口</w:t>
            </w:r>
          </w:p>
        </w:tc>
        <w:tc>
          <w:tcPr>
            <w:tcW w:w="1570" w:type="dxa"/>
            <w:tcBorders>
              <w:top w:val="nil"/>
              <w:left w:val="nil"/>
              <w:bottom w:val="nil"/>
              <w:right w:val="nil"/>
            </w:tcBorders>
            <w:tcMar>
              <w:top w:w="20" w:type="dxa"/>
              <w:left w:w="40" w:type="dxa"/>
              <w:bottom w:w="20" w:type="dxa"/>
              <w:right w:w="40" w:type="dxa"/>
            </w:tcMar>
            <w:vAlign w:val="center"/>
          </w:tcPr>
          <w:p w14:paraId="0E204CD5">
            <w:pPr>
              <w:spacing w:line="240" w:lineRule="auto"/>
              <w:jc w:val="center"/>
            </w:pPr>
            <w:r>
              <w:rPr>
                <w:sz w:val="18"/>
                <w:szCs w:val="18"/>
              </w:rPr>
              <w:t>(0, 25)</w:t>
            </w:r>
          </w:p>
        </w:tc>
      </w:tr>
      <w:tr w14:paraId="43F0D1F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3F5F9D6F">
            <w:pPr>
              <w:spacing w:line="240" w:lineRule="auto"/>
              <w:jc w:val="center"/>
            </w:pPr>
            <w:r>
              <w:rPr>
                <w:sz w:val="18"/>
                <w:szCs w:val="18"/>
              </w:rPr>
              <w:t>发展 D</w:t>
            </w:r>
          </w:p>
        </w:tc>
        <w:tc>
          <w:tcPr>
            <w:tcW w:w="1250" w:type="dxa"/>
            <w:tcBorders>
              <w:top w:val="nil"/>
              <w:left w:val="nil"/>
              <w:bottom w:val="nil"/>
              <w:right w:val="nil"/>
            </w:tcBorders>
            <w:tcMar>
              <w:top w:w="20" w:type="dxa"/>
              <w:left w:w="40" w:type="dxa"/>
              <w:bottom w:w="20" w:type="dxa"/>
              <w:right w:w="40" w:type="dxa"/>
            </w:tcMar>
            <w:vAlign w:val="center"/>
          </w:tcPr>
          <w:p w14:paraId="52278DB4">
            <w:pPr>
              <w:spacing w:line="240" w:lineRule="auto"/>
              <w:jc w:val="center"/>
            </w:pPr>
            <w:r>
              <w:rPr>
                <w:sz w:val="18"/>
                <w:szCs w:val="18"/>
              </w:rPr>
              <w:t>清洁能源动能</w:t>
            </w:r>
          </w:p>
        </w:tc>
        <w:tc>
          <w:tcPr>
            <w:tcW w:w="800" w:type="dxa"/>
            <w:tcBorders>
              <w:top w:val="nil"/>
              <w:left w:val="nil"/>
              <w:bottom w:val="nil"/>
              <w:right w:val="nil"/>
            </w:tcBorders>
            <w:tcMar>
              <w:top w:w="20" w:type="dxa"/>
              <w:left w:w="40" w:type="dxa"/>
              <w:bottom w:w="20" w:type="dxa"/>
              <w:right w:w="40" w:type="dxa"/>
            </w:tcMar>
            <w:vAlign w:val="center"/>
          </w:tcPr>
          <w:p w14:paraId="52741F30">
            <w:pPr>
              <w:spacing w:line="240" w:lineRule="auto"/>
              <w:jc w:val="center"/>
            </w:pPr>
            <w:r>
              <w:rPr>
                <w:sz w:val="18"/>
                <w:szCs w:val="18"/>
              </w:rPr>
              <w:t>D5</w:t>
            </w:r>
          </w:p>
        </w:tc>
        <w:tc>
          <w:tcPr>
            <w:tcW w:w="1850" w:type="dxa"/>
            <w:tcBorders>
              <w:top w:val="nil"/>
              <w:left w:val="nil"/>
              <w:bottom w:val="nil"/>
              <w:right w:val="nil"/>
            </w:tcBorders>
            <w:tcMar>
              <w:top w:w="20" w:type="dxa"/>
              <w:left w:w="40" w:type="dxa"/>
              <w:bottom w:w="20" w:type="dxa"/>
              <w:right w:w="40" w:type="dxa"/>
            </w:tcMar>
            <w:vAlign w:val="center"/>
          </w:tcPr>
          <w:p w14:paraId="4BDD4463">
            <w:pPr>
              <w:spacing w:line="240" w:lineRule="auto"/>
              <w:jc w:val="center"/>
            </w:pPr>
            <w:r>
              <w:rPr>
                <w:sz w:val="18"/>
                <w:szCs w:val="18"/>
              </w:rPr>
              <w:t>发电量（亿千瓦时）</w:t>
            </w:r>
          </w:p>
        </w:tc>
        <w:tc>
          <w:tcPr>
            <w:tcW w:w="580" w:type="dxa"/>
            <w:tcBorders>
              <w:top w:val="nil"/>
              <w:left w:val="nil"/>
              <w:bottom w:val="nil"/>
              <w:right w:val="nil"/>
            </w:tcBorders>
            <w:tcMar>
              <w:top w:w="20" w:type="dxa"/>
              <w:left w:w="40" w:type="dxa"/>
              <w:bottom w:w="20" w:type="dxa"/>
              <w:right w:w="40" w:type="dxa"/>
            </w:tcMar>
            <w:vAlign w:val="center"/>
          </w:tcPr>
          <w:p w14:paraId="02955C8A">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370BD40E">
            <w:pPr>
              <w:spacing w:line="240" w:lineRule="auto"/>
              <w:jc w:val="center"/>
            </w:pPr>
            <w:r>
              <w:rPr>
                <w:sz w:val="18"/>
                <w:szCs w:val="18"/>
              </w:rPr>
              <w:t>统计公报（规上工业主要产品产量）</w:t>
            </w:r>
          </w:p>
        </w:tc>
        <w:tc>
          <w:tcPr>
            <w:tcW w:w="1570" w:type="dxa"/>
            <w:tcBorders>
              <w:top w:val="nil"/>
              <w:left w:val="nil"/>
              <w:bottom w:val="nil"/>
              <w:right w:val="nil"/>
            </w:tcBorders>
            <w:tcMar>
              <w:top w:w="20" w:type="dxa"/>
              <w:left w:w="40" w:type="dxa"/>
              <w:bottom w:w="20" w:type="dxa"/>
              <w:right w:w="40" w:type="dxa"/>
            </w:tcMar>
            <w:vAlign w:val="center"/>
          </w:tcPr>
          <w:p w14:paraId="5BD2E039">
            <w:pPr>
              <w:spacing w:line="240" w:lineRule="auto"/>
              <w:jc w:val="center"/>
            </w:pPr>
            <w:r>
              <w:rPr>
                <w:sz w:val="18"/>
                <w:szCs w:val="18"/>
              </w:rPr>
              <w:t>(0, 200)</w:t>
            </w:r>
          </w:p>
        </w:tc>
      </w:tr>
      <w:tr w14:paraId="1FED2E4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08B3896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6AAA4539">
            <w:pPr>
              <w:spacing w:line="240" w:lineRule="auto"/>
              <w:jc w:val="center"/>
            </w:pPr>
            <w:r>
              <w:rPr>
                <w:sz w:val="18"/>
                <w:szCs w:val="18"/>
              </w:rPr>
              <w:t>能源利用效率</w:t>
            </w:r>
          </w:p>
        </w:tc>
        <w:tc>
          <w:tcPr>
            <w:tcW w:w="800" w:type="dxa"/>
            <w:tcBorders>
              <w:top w:val="nil"/>
              <w:left w:val="nil"/>
              <w:bottom w:val="nil"/>
              <w:right w:val="nil"/>
            </w:tcBorders>
            <w:tcMar>
              <w:top w:w="20" w:type="dxa"/>
              <w:left w:w="40" w:type="dxa"/>
              <w:bottom w:w="20" w:type="dxa"/>
              <w:right w:w="40" w:type="dxa"/>
            </w:tcMar>
            <w:vAlign w:val="center"/>
          </w:tcPr>
          <w:p w14:paraId="212E86A2">
            <w:pPr>
              <w:spacing w:line="240" w:lineRule="auto"/>
              <w:jc w:val="center"/>
            </w:pPr>
            <w:r>
              <w:rPr>
                <w:sz w:val="18"/>
                <w:szCs w:val="18"/>
              </w:rPr>
              <w:t>E1</w:t>
            </w:r>
          </w:p>
        </w:tc>
        <w:tc>
          <w:tcPr>
            <w:tcW w:w="1850" w:type="dxa"/>
            <w:tcBorders>
              <w:top w:val="nil"/>
              <w:left w:val="nil"/>
              <w:bottom w:val="nil"/>
              <w:right w:val="nil"/>
            </w:tcBorders>
            <w:tcMar>
              <w:top w:w="20" w:type="dxa"/>
              <w:left w:w="40" w:type="dxa"/>
              <w:bottom w:w="20" w:type="dxa"/>
              <w:right w:w="40" w:type="dxa"/>
            </w:tcMar>
            <w:vAlign w:val="center"/>
          </w:tcPr>
          <w:p w14:paraId="10EFB00C">
            <w:pPr>
              <w:spacing w:line="240" w:lineRule="auto"/>
              <w:jc w:val="center"/>
            </w:pPr>
            <w:r>
              <w:rPr>
                <w:sz w:val="18"/>
                <w:szCs w:val="18"/>
              </w:rPr>
              <w:t>单位GDP能耗指数</w:t>
            </w:r>
          </w:p>
        </w:tc>
        <w:tc>
          <w:tcPr>
            <w:tcW w:w="580" w:type="dxa"/>
            <w:tcBorders>
              <w:top w:val="nil"/>
              <w:left w:val="nil"/>
              <w:bottom w:val="nil"/>
              <w:right w:val="nil"/>
            </w:tcBorders>
            <w:tcMar>
              <w:top w:w="20" w:type="dxa"/>
              <w:left w:w="40" w:type="dxa"/>
              <w:bottom w:w="20" w:type="dxa"/>
              <w:right w:w="40" w:type="dxa"/>
            </w:tcMar>
            <w:vAlign w:val="center"/>
          </w:tcPr>
          <w:p w14:paraId="564182DE">
            <w:pPr>
              <w:spacing w:line="240" w:lineRule="auto"/>
              <w:jc w:val="center"/>
            </w:pPr>
            <w:r>
              <w:rPr>
                <w:sz w:val="18"/>
                <w:szCs w:val="18"/>
              </w:rPr>
              <w:t>逆向</w:t>
            </w:r>
          </w:p>
        </w:tc>
        <w:tc>
          <w:tcPr>
            <w:tcW w:w="1900" w:type="dxa"/>
            <w:tcBorders>
              <w:top w:val="nil"/>
              <w:left w:val="nil"/>
              <w:bottom w:val="nil"/>
              <w:right w:val="nil"/>
            </w:tcBorders>
            <w:tcMar>
              <w:top w:w="20" w:type="dxa"/>
              <w:left w:w="40" w:type="dxa"/>
              <w:bottom w:w="20" w:type="dxa"/>
              <w:right w:w="40" w:type="dxa"/>
            </w:tcMar>
            <w:vAlign w:val="center"/>
          </w:tcPr>
          <w:p w14:paraId="2A465591">
            <w:pPr>
              <w:spacing w:line="240" w:lineRule="auto"/>
              <w:jc w:val="center"/>
            </w:pPr>
            <w:r>
              <w:rPr>
                <w:sz w:val="18"/>
                <w:szCs w:val="18"/>
              </w:rPr>
              <w:t>节能公报反推</w:t>
            </w:r>
          </w:p>
        </w:tc>
        <w:tc>
          <w:tcPr>
            <w:tcW w:w="1570" w:type="dxa"/>
            <w:tcBorders>
              <w:top w:val="nil"/>
              <w:left w:val="nil"/>
              <w:bottom w:val="nil"/>
              <w:right w:val="nil"/>
            </w:tcBorders>
            <w:tcMar>
              <w:top w:w="20" w:type="dxa"/>
              <w:left w:w="40" w:type="dxa"/>
              <w:bottom w:w="20" w:type="dxa"/>
              <w:right w:w="40" w:type="dxa"/>
            </w:tcMar>
            <w:vAlign w:val="center"/>
          </w:tcPr>
          <w:p w14:paraId="674D6A20">
            <w:pPr>
              <w:spacing w:line="240" w:lineRule="auto"/>
              <w:jc w:val="center"/>
            </w:pPr>
            <w:r>
              <w:rPr>
                <w:sz w:val="18"/>
                <w:szCs w:val="18"/>
              </w:rPr>
              <w:t>(60, 100)</w:t>
            </w:r>
          </w:p>
        </w:tc>
      </w:tr>
      <w:tr w14:paraId="6C82853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9156622">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4FC085B">
            <w:pPr>
              <w:spacing w:line="240" w:lineRule="auto"/>
              <w:jc w:val="center"/>
            </w:pPr>
            <w:r>
              <w:rPr>
                <w:sz w:val="18"/>
                <w:szCs w:val="18"/>
              </w:rPr>
              <w:t>生态本底（森林）</w:t>
            </w:r>
          </w:p>
        </w:tc>
        <w:tc>
          <w:tcPr>
            <w:tcW w:w="800" w:type="dxa"/>
            <w:tcBorders>
              <w:top w:val="nil"/>
              <w:left w:val="nil"/>
              <w:bottom w:val="nil"/>
              <w:right w:val="nil"/>
            </w:tcBorders>
            <w:tcMar>
              <w:top w:w="20" w:type="dxa"/>
              <w:left w:w="40" w:type="dxa"/>
              <w:bottom w:w="20" w:type="dxa"/>
              <w:right w:w="40" w:type="dxa"/>
            </w:tcMar>
            <w:vAlign w:val="center"/>
          </w:tcPr>
          <w:p w14:paraId="03D97B61">
            <w:pPr>
              <w:spacing w:line="240" w:lineRule="auto"/>
              <w:jc w:val="center"/>
            </w:pPr>
            <w:r>
              <w:rPr>
                <w:sz w:val="18"/>
                <w:szCs w:val="18"/>
              </w:rPr>
              <w:t>E2</w:t>
            </w:r>
          </w:p>
        </w:tc>
        <w:tc>
          <w:tcPr>
            <w:tcW w:w="1850" w:type="dxa"/>
            <w:tcBorders>
              <w:top w:val="nil"/>
              <w:left w:val="nil"/>
              <w:bottom w:val="nil"/>
              <w:right w:val="nil"/>
            </w:tcBorders>
            <w:tcMar>
              <w:top w:w="20" w:type="dxa"/>
              <w:left w:w="40" w:type="dxa"/>
              <w:bottom w:w="20" w:type="dxa"/>
              <w:right w:w="40" w:type="dxa"/>
            </w:tcMar>
            <w:vAlign w:val="center"/>
          </w:tcPr>
          <w:p w14:paraId="495EF681">
            <w:pPr>
              <w:spacing w:line="240" w:lineRule="auto"/>
              <w:jc w:val="center"/>
            </w:pPr>
            <w:r>
              <w:rPr>
                <w:sz w:val="18"/>
                <w:szCs w:val="18"/>
              </w:rPr>
              <w:t>森林覆盖率（%）</w:t>
            </w:r>
          </w:p>
        </w:tc>
        <w:tc>
          <w:tcPr>
            <w:tcW w:w="580" w:type="dxa"/>
            <w:tcBorders>
              <w:top w:val="nil"/>
              <w:left w:val="nil"/>
              <w:bottom w:val="nil"/>
              <w:right w:val="nil"/>
            </w:tcBorders>
            <w:tcMar>
              <w:top w:w="20" w:type="dxa"/>
              <w:left w:w="40" w:type="dxa"/>
              <w:bottom w:w="20" w:type="dxa"/>
              <w:right w:w="40" w:type="dxa"/>
            </w:tcMar>
            <w:vAlign w:val="center"/>
          </w:tcPr>
          <w:p w14:paraId="5B238A87">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7D864ACF">
            <w:pPr>
              <w:spacing w:line="240" w:lineRule="auto"/>
              <w:jc w:val="center"/>
            </w:pPr>
            <w:r>
              <w:rPr>
                <w:sz w:val="18"/>
                <w:szCs w:val="18"/>
              </w:rPr>
              <w:t>林草、生态公报</w:t>
            </w:r>
          </w:p>
        </w:tc>
        <w:tc>
          <w:tcPr>
            <w:tcW w:w="1570" w:type="dxa"/>
            <w:tcBorders>
              <w:top w:val="nil"/>
              <w:left w:val="nil"/>
              <w:bottom w:val="nil"/>
              <w:right w:val="nil"/>
            </w:tcBorders>
            <w:tcMar>
              <w:top w:w="20" w:type="dxa"/>
              <w:left w:w="40" w:type="dxa"/>
              <w:bottom w:w="20" w:type="dxa"/>
              <w:right w:w="40" w:type="dxa"/>
            </w:tcMar>
            <w:vAlign w:val="center"/>
          </w:tcPr>
          <w:p w14:paraId="23F0EB60">
            <w:pPr>
              <w:spacing w:line="240" w:lineRule="auto"/>
              <w:jc w:val="center"/>
            </w:pPr>
            <w:r>
              <w:rPr>
                <w:sz w:val="18"/>
                <w:szCs w:val="18"/>
              </w:rPr>
              <w:t>(11.98, 12.51)，见说明②</w:t>
            </w:r>
          </w:p>
        </w:tc>
      </w:tr>
      <w:tr w14:paraId="21BDFE37">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nil"/>
              <w:right w:val="nil"/>
            </w:tcBorders>
            <w:tcMar>
              <w:top w:w="20" w:type="dxa"/>
              <w:left w:w="40" w:type="dxa"/>
              <w:bottom w:w="20" w:type="dxa"/>
              <w:right w:w="40" w:type="dxa"/>
            </w:tcMar>
            <w:vAlign w:val="center"/>
          </w:tcPr>
          <w:p w14:paraId="663E33F3">
            <w:pPr>
              <w:spacing w:line="240" w:lineRule="auto"/>
              <w:jc w:val="center"/>
            </w:pPr>
            <w:r>
              <w:rPr>
                <w:sz w:val="18"/>
                <w:szCs w:val="18"/>
              </w:rPr>
              <w:t>生态 E</w:t>
            </w:r>
          </w:p>
        </w:tc>
        <w:tc>
          <w:tcPr>
            <w:tcW w:w="1250" w:type="dxa"/>
            <w:tcBorders>
              <w:top w:val="nil"/>
              <w:left w:val="nil"/>
              <w:bottom w:val="nil"/>
              <w:right w:val="nil"/>
            </w:tcBorders>
            <w:tcMar>
              <w:top w:w="20" w:type="dxa"/>
              <w:left w:w="40" w:type="dxa"/>
              <w:bottom w:w="20" w:type="dxa"/>
              <w:right w:w="40" w:type="dxa"/>
            </w:tcMar>
            <w:vAlign w:val="center"/>
          </w:tcPr>
          <w:p w14:paraId="7B5BD381">
            <w:pPr>
              <w:spacing w:line="240" w:lineRule="auto"/>
              <w:jc w:val="center"/>
            </w:pPr>
            <w:r>
              <w:rPr>
                <w:sz w:val="18"/>
                <w:szCs w:val="18"/>
              </w:rPr>
              <w:t>环境质量</w:t>
            </w:r>
          </w:p>
        </w:tc>
        <w:tc>
          <w:tcPr>
            <w:tcW w:w="800" w:type="dxa"/>
            <w:tcBorders>
              <w:top w:val="nil"/>
              <w:left w:val="nil"/>
              <w:bottom w:val="nil"/>
              <w:right w:val="nil"/>
            </w:tcBorders>
            <w:tcMar>
              <w:top w:w="20" w:type="dxa"/>
              <w:left w:w="40" w:type="dxa"/>
              <w:bottom w:w="20" w:type="dxa"/>
              <w:right w:w="40" w:type="dxa"/>
            </w:tcMar>
            <w:vAlign w:val="center"/>
          </w:tcPr>
          <w:p w14:paraId="0CCE0117">
            <w:pPr>
              <w:spacing w:line="240" w:lineRule="auto"/>
              <w:jc w:val="center"/>
            </w:pPr>
            <w:r>
              <w:rPr>
                <w:sz w:val="18"/>
                <w:szCs w:val="18"/>
              </w:rPr>
              <w:t>E3</w:t>
            </w:r>
          </w:p>
        </w:tc>
        <w:tc>
          <w:tcPr>
            <w:tcW w:w="1850" w:type="dxa"/>
            <w:tcBorders>
              <w:top w:val="nil"/>
              <w:left w:val="nil"/>
              <w:bottom w:val="nil"/>
              <w:right w:val="nil"/>
            </w:tcBorders>
            <w:tcMar>
              <w:top w:w="20" w:type="dxa"/>
              <w:left w:w="40" w:type="dxa"/>
              <w:bottom w:w="20" w:type="dxa"/>
              <w:right w:w="40" w:type="dxa"/>
            </w:tcMar>
            <w:vAlign w:val="center"/>
          </w:tcPr>
          <w:p w14:paraId="560C8155">
            <w:pPr>
              <w:spacing w:line="240" w:lineRule="auto"/>
              <w:jc w:val="center"/>
            </w:pPr>
            <w:r>
              <w:rPr>
                <w:sz w:val="18"/>
                <w:szCs w:val="18"/>
              </w:rPr>
              <w:t>空气质量优良天数比例（%）</w:t>
            </w:r>
          </w:p>
        </w:tc>
        <w:tc>
          <w:tcPr>
            <w:tcW w:w="580" w:type="dxa"/>
            <w:tcBorders>
              <w:top w:val="nil"/>
              <w:left w:val="nil"/>
              <w:bottom w:val="nil"/>
              <w:right w:val="nil"/>
            </w:tcBorders>
            <w:tcMar>
              <w:top w:w="20" w:type="dxa"/>
              <w:left w:w="40" w:type="dxa"/>
              <w:bottom w:w="20" w:type="dxa"/>
              <w:right w:w="40" w:type="dxa"/>
            </w:tcMar>
            <w:vAlign w:val="center"/>
          </w:tcPr>
          <w:p w14:paraId="38CA79A3">
            <w:pPr>
              <w:spacing w:line="240" w:lineRule="auto"/>
              <w:jc w:val="center"/>
            </w:pPr>
            <w:r>
              <w:rPr>
                <w:sz w:val="18"/>
                <w:szCs w:val="18"/>
              </w:rPr>
              <w:t>正向</w:t>
            </w:r>
          </w:p>
        </w:tc>
        <w:tc>
          <w:tcPr>
            <w:tcW w:w="1900" w:type="dxa"/>
            <w:tcBorders>
              <w:top w:val="nil"/>
              <w:left w:val="nil"/>
              <w:bottom w:val="nil"/>
              <w:right w:val="nil"/>
            </w:tcBorders>
            <w:tcMar>
              <w:top w:w="20" w:type="dxa"/>
              <w:left w:w="40" w:type="dxa"/>
              <w:bottom w:w="20" w:type="dxa"/>
              <w:right w:w="40" w:type="dxa"/>
            </w:tcMar>
            <w:vAlign w:val="center"/>
          </w:tcPr>
          <w:p w14:paraId="4AA9414C">
            <w:pPr>
              <w:spacing w:line="240" w:lineRule="auto"/>
              <w:jc w:val="center"/>
            </w:pPr>
            <w:r>
              <w:rPr>
                <w:sz w:val="18"/>
                <w:szCs w:val="18"/>
              </w:rPr>
              <w:t>生态环境状况公报</w:t>
            </w:r>
          </w:p>
        </w:tc>
        <w:tc>
          <w:tcPr>
            <w:tcW w:w="1570" w:type="dxa"/>
            <w:tcBorders>
              <w:top w:val="nil"/>
              <w:left w:val="nil"/>
              <w:bottom w:val="nil"/>
              <w:right w:val="nil"/>
            </w:tcBorders>
            <w:tcMar>
              <w:top w:w="20" w:type="dxa"/>
              <w:left w:w="40" w:type="dxa"/>
              <w:bottom w:w="20" w:type="dxa"/>
              <w:right w:w="40" w:type="dxa"/>
            </w:tcMar>
            <w:vAlign w:val="center"/>
          </w:tcPr>
          <w:p w14:paraId="5A3AEDB4">
            <w:pPr>
              <w:spacing w:line="240" w:lineRule="auto"/>
              <w:jc w:val="center"/>
            </w:pPr>
            <w:r>
              <w:rPr>
                <w:sz w:val="18"/>
                <w:szCs w:val="18"/>
              </w:rPr>
              <w:t>(0, 100)</w:t>
            </w:r>
          </w:p>
        </w:tc>
      </w:tr>
      <w:tr w14:paraId="73FE26F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850" w:type="dxa"/>
            <w:tcBorders>
              <w:top w:val="nil"/>
              <w:left w:val="nil"/>
              <w:bottom w:val="single" w:color="000000" w:sz="12" w:space="0"/>
              <w:right w:val="nil"/>
            </w:tcBorders>
            <w:tcMar>
              <w:top w:w="20" w:type="dxa"/>
              <w:left w:w="40" w:type="dxa"/>
              <w:bottom w:w="20" w:type="dxa"/>
              <w:right w:w="40" w:type="dxa"/>
            </w:tcMar>
            <w:vAlign w:val="center"/>
          </w:tcPr>
          <w:p w14:paraId="10CE4612">
            <w:pPr>
              <w:spacing w:line="240" w:lineRule="auto"/>
              <w:jc w:val="center"/>
            </w:pPr>
            <w:r>
              <w:rPr>
                <w:sz w:val="18"/>
                <w:szCs w:val="18"/>
              </w:rPr>
              <w:t>生态 E</w:t>
            </w:r>
          </w:p>
        </w:tc>
        <w:tc>
          <w:tcPr>
            <w:tcW w:w="1250" w:type="dxa"/>
            <w:tcBorders>
              <w:top w:val="nil"/>
              <w:left w:val="nil"/>
              <w:bottom w:val="single" w:color="000000" w:sz="12" w:space="0"/>
              <w:right w:val="nil"/>
            </w:tcBorders>
            <w:tcMar>
              <w:top w:w="20" w:type="dxa"/>
              <w:left w:w="40" w:type="dxa"/>
              <w:bottom w:w="20" w:type="dxa"/>
              <w:right w:w="40" w:type="dxa"/>
            </w:tcMar>
            <w:vAlign w:val="center"/>
          </w:tcPr>
          <w:p w14:paraId="5462DBF5">
            <w:pPr>
              <w:spacing w:line="240" w:lineRule="auto"/>
              <w:jc w:val="center"/>
            </w:pPr>
            <w:r>
              <w:rPr>
                <w:sz w:val="18"/>
                <w:szCs w:val="18"/>
              </w:rPr>
              <w:t>生态本底（草原）</w:t>
            </w:r>
          </w:p>
        </w:tc>
        <w:tc>
          <w:tcPr>
            <w:tcW w:w="800" w:type="dxa"/>
            <w:tcBorders>
              <w:top w:val="nil"/>
              <w:left w:val="nil"/>
              <w:bottom w:val="single" w:color="000000" w:sz="12" w:space="0"/>
              <w:right w:val="nil"/>
            </w:tcBorders>
            <w:tcMar>
              <w:top w:w="20" w:type="dxa"/>
              <w:left w:w="40" w:type="dxa"/>
              <w:bottom w:w="20" w:type="dxa"/>
              <w:right w:w="40" w:type="dxa"/>
            </w:tcMar>
            <w:vAlign w:val="center"/>
          </w:tcPr>
          <w:p w14:paraId="6F9D216A">
            <w:pPr>
              <w:spacing w:line="240" w:lineRule="auto"/>
              <w:jc w:val="center"/>
            </w:pPr>
            <w:r>
              <w:rPr>
                <w:sz w:val="18"/>
                <w:szCs w:val="18"/>
              </w:rPr>
              <w:t>E4</w:t>
            </w:r>
          </w:p>
        </w:tc>
        <w:tc>
          <w:tcPr>
            <w:tcW w:w="1850" w:type="dxa"/>
            <w:tcBorders>
              <w:top w:val="nil"/>
              <w:left w:val="nil"/>
              <w:bottom w:val="single" w:color="000000" w:sz="12" w:space="0"/>
              <w:right w:val="nil"/>
            </w:tcBorders>
            <w:tcMar>
              <w:top w:w="20" w:type="dxa"/>
              <w:left w:w="40" w:type="dxa"/>
              <w:bottom w:w="20" w:type="dxa"/>
              <w:right w:w="40" w:type="dxa"/>
            </w:tcMar>
            <w:vAlign w:val="center"/>
          </w:tcPr>
          <w:p w14:paraId="7A17D06C">
            <w:pPr>
              <w:spacing w:line="240" w:lineRule="auto"/>
              <w:jc w:val="center"/>
            </w:pPr>
            <w:r>
              <w:rPr>
                <w:sz w:val="18"/>
                <w:szCs w:val="18"/>
              </w:rPr>
              <w:t>草原综合植被盖度（%）</w:t>
            </w:r>
          </w:p>
        </w:tc>
        <w:tc>
          <w:tcPr>
            <w:tcW w:w="580" w:type="dxa"/>
            <w:tcBorders>
              <w:top w:val="nil"/>
              <w:left w:val="nil"/>
              <w:bottom w:val="single" w:color="000000" w:sz="12" w:space="0"/>
              <w:right w:val="nil"/>
            </w:tcBorders>
            <w:tcMar>
              <w:top w:w="20" w:type="dxa"/>
              <w:left w:w="40" w:type="dxa"/>
              <w:bottom w:w="20" w:type="dxa"/>
              <w:right w:w="40" w:type="dxa"/>
            </w:tcMar>
            <w:vAlign w:val="center"/>
          </w:tcPr>
          <w:p w14:paraId="7EA3B53E">
            <w:pPr>
              <w:spacing w:line="240" w:lineRule="auto"/>
              <w:jc w:val="center"/>
            </w:pPr>
            <w:r>
              <w:rPr>
                <w:sz w:val="18"/>
                <w:szCs w:val="18"/>
              </w:rPr>
              <w:t>正向</w:t>
            </w:r>
          </w:p>
        </w:tc>
        <w:tc>
          <w:tcPr>
            <w:tcW w:w="1900" w:type="dxa"/>
            <w:tcBorders>
              <w:top w:val="nil"/>
              <w:left w:val="nil"/>
              <w:bottom w:val="single" w:color="000000" w:sz="12" w:space="0"/>
              <w:right w:val="nil"/>
            </w:tcBorders>
            <w:tcMar>
              <w:top w:w="20" w:type="dxa"/>
              <w:left w:w="40" w:type="dxa"/>
              <w:bottom w:w="20" w:type="dxa"/>
              <w:right w:w="40" w:type="dxa"/>
            </w:tcMar>
            <w:vAlign w:val="center"/>
          </w:tcPr>
          <w:p w14:paraId="696D0F05">
            <w:pPr>
              <w:spacing w:line="240" w:lineRule="auto"/>
              <w:jc w:val="center"/>
            </w:pPr>
            <w:r>
              <w:rPr>
                <w:sz w:val="18"/>
                <w:szCs w:val="18"/>
              </w:rPr>
              <w:t>林草公报</w:t>
            </w:r>
          </w:p>
        </w:tc>
        <w:tc>
          <w:tcPr>
            <w:tcW w:w="1570" w:type="dxa"/>
            <w:tcBorders>
              <w:top w:val="nil"/>
              <w:left w:val="nil"/>
              <w:bottom w:val="single" w:color="000000" w:sz="12" w:space="0"/>
              <w:right w:val="nil"/>
            </w:tcBorders>
            <w:tcMar>
              <w:top w:w="20" w:type="dxa"/>
              <w:left w:w="40" w:type="dxa"/>
              <w:bottom w:w="20" w:type="dxa"/>
              <w:right w:w="40" w:type="dxa"/>
            </w:tcMar>
            <w:vAlign w:val="center"/>
          </w:tcPr>
          <w:p w14:paraId="17E62AA1">
            <w:pPr>
              <w:spacing w:line="240" w:lineRule="auto"/>
              <w:jc w:val="center"/>
            </w:pPr>
            <w:r>
              <w:rPr>
                <w:sz w:val="18"/>
                <w:szCs w:val="18"/>
              </w:rPr>
              <w:t>(42.3, 50)，见说明②</w:t>
            </w:r>
          </w:p>
        </w:tc>
      </w:tr>
    </w:tbl>
    <w:p w14:paraId="7829F90B">
      <w:pPr>
        <w:spacing w:before="30" w:after="140"/>
        <w:rPr>
          <w:sz w:val="18"/>
          <w:szCs w:val="18"/>
        </w:rPr>
      </w:pPr>
      <w:r>
        <w:rPr>
          <w:sz w:val="18"/>
          <w:szCs w:val="18"/>
        </w:rPr>
        <w:t xml:space="preserve">注：①S1、S3、D3、D4、D5缺乏可对标的外部目标值，上限按“0为下限、样本期观测最大值预留余量并取整”的惯例设定。②E2、E4的基准取自《西藏自治区“十四五”时期生态环境保护规划》：下限取2016年实测值，上限取2025年规划目标（森林覆盖率12.51%、草原综合植被盖度50%）。③D5为统计公报规上工业口径发电量。</w:t>
      </w:r>
    </w:p>
    <w:p w14:paraId="7D440C0F">
      <w:pPr>
        <w:spacing w:before="160" w:after="80"/>
      </w:pPr>
      <w:r>
        <w:rPr>
          <w:rFonts w:eastAsia="黑体"/>
          <w:b/>
          <w:bCs/>
          <w:sz w:val="21"/>
          <w:szCs w:val="21"/>
        </w:rPr>
        <w:t>（二）数据来源与处理</w:t>
      </w:r>
    </w:p>
    <w:p w14:paraId="368F9F66">
      <w:pPr>
        <w:ind w:firstLine="420"/>
        <w:jc w:val="both"/>
        <w:rPr>
          <w:sz w:val="21"/>
          <w:szCs w:val="21"/>
        </w:rPr>
      </w:pPr>
      <w:r>
        <w:rPr>
          <w:sz w:val="21"/>
          <w:szCs w:val="21"/>
        </w:rPr>
        <w:t xml:space="preserve">研究期为2016—2025年。数据主要来源于历年《西藏自治区国民经济和社会发展统计公报》</w:t>
      </w:r>
      <w:r>
        <w:rPr>
          <w:sz w:val="21"/>
          <w:szCs w:val="21"/>
          <w:vertAlign w:val="superscript"/>
        </w:rPr>
        <w:t xml:space="preserve">[37]</w:t>
      </w:r>
      <w:r>
        <w:rPr>
          <w:sz w:val="21"/>
          <w:szCs w:val="21"/>
        </w:rPr>
        <w:t xml:space="preserve">、《西藏统计年鉴》</w:t>
      </w:r>
      <w:r>
        <w:rPr>
          <w:sz w:val="21"/>
          <w:szCs w:val="21"/>
          <w:vertAlign w:val="superscript"/>
        </w:rPr>
        <w:t xml:space="preserve">[38]</w:t>
      </w:r>
      <w:r>
        <w:rPr>
          <w:sz w:val="21"/>
          <w:szCs w:val="21"/>
        </w:rPr>
        <w:t xml:space="preserve">、《中国统计年鉴》</w:t>
      </w:r>
      <w:r>
        <w:rPr>
          <w:sz w:val="21"/>
          <w:szCs w:val="21"/>
          <w:vertAlign w:val="superscript"/>
        </w:rPr>
        <w:t xml:space="preserve">[39]</w:t>
      </w:r>
      <w:r>
        <w:rPr>
          <w:sz w:val="21"/>
          <w:szCs w:val="21"/>
        </w:rPr>
        <w:t xml:space="preserve">和《西藏自治区生态环境状况公报》</w:t>
      </w:r>
      <w:r>
        <w:rPr>
          <w:sz w:val="21"/>
          <w:szCs w:val="21"/>
          <w:vertAlign w:val="superscript"/>
        </w:rPr>
        <w:t xml:space="preserve">[40]</w:t>
      </w:r>
      <w:r>
        <w:rPr>
          <w:sz w:val="21"/>
          <w:szCs w:val="21"/>
        </w:rPr>
        <w:t xml:space="preserve">，以及财政、能源、文旅等部门公开资料；2025年西藏数据取自当年统计公报，全国数据取自《中国统计摘要2026》。人均化所用常住人口取自历年统计公报，全国城乡居民人均可支配收入取自国家统计局发布数据；地区生产总值采用含第五次全国经济普查修订的最新核算口径。</w:t>
      </w:r>
    </w:p>
    <w:p w14:paraId="20DC9C67">
      <w:pPr>
        <w:spacing w:before="160" w:after="80"/>
      </w:pPr>
      <w:r>
        <w:rPr>
          <w:rFonts w:eastAsia="黑体"/>
          <w:b/>
          <w:bCs/>
          <w:sz w:val="21"/>
          <w:szCs w:val="21"/>
        </w:rPr>
        <w:t>（三）固定基准标准化</w:t>
      </w:r>
    </w:p>
    <w:p w14:paraId="4A68D1E4">
      <w:pPr>
        <w:ind w:firstLine="420"/>
        <w:jc w:val="both"/>
      </w:pPr>
      <w:r>
        <w:rPr>
          <w:sz w:val="21"/>
          <w:szCs w:val="21"/>
        </w:rPr>
        <w:t xml:space="preserve">为避免极差标准化使端点年份机械地趋近0或1、且历史取值随新数据加入而被改写，本文采用固定基准标准化。</w:t>
      </w:r>
    </w:p>
    <w:p w14:paraId="3248F3B1">
      <w:pPr>
        <w:ind w:firstLine="420"/>
        <w:jc w:val="both"/>
      </w:pPr>
      <w:r>
        <w:rPr>
          <w:sz w:val="21"/>
          <w:szCs w:val="21"/>
        </w:rPr>
        <w:t>该方法采用外生的、不随样本更新而变化的上下限</w:t>
      </w:r>
      <w:r>
        <w:rPr>
          <w:rFonts w:ascii="Cambria Math" w:hAnsi="Cambria Math"/>
          <w:i/>
        </w:rPr>
        <w:t xml:space="preserve"> </w:t>
      </w:r>
      <m:oMath>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oMath>
      <w:r>
        <w:rPr>
          <w:sz w:val="21"/>
          <w:szCs w:val="21"/>
        </w:rPr>
        <w:t>对指标</w:t>
      </w:r>
      <m:oMath>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oMath>
      <w:r>
        <w:rPr>
          <w:sz w:val="21"/>
          <w:szCs w:val="21"/>
        </w:rPr>
        <w:t>作标准化，具体分四种情形。第一，能够对标全国水平的指标，取</w:t>
      </w:r>
      <w:r>
        <w:rPr>
          <w:rFonts w:hint="eastAsia"/>
          <w:sz w:val="21"/>
          <w:szCs w:val="21"/>
        </w:rPr>
        <w:t>“</w:t>
      </w:r>
      <w:r>
        <w:rPr>
          <w:sz w:val="21"/>
          <w:szCs w:val="21"/>
        </w:rPr>
        <w:t>西藏/全国</w:t>
      </w:r>
      <w:r>
        <w:rPr>
          <w:rFonts w:hint="eastAsia"/>
          <w:sz w:val="21"/>
          <w:szCs w:val="21"/>
        </w:rPr>
        <w:t>”</w:t>
      </w:r>
      <w:r>
        <w:rPr>
          <w:sz w:val="21"/>
          <w:szCs w:val="21"/>
        </w:rPr>
        <w:t>的相对值，上下限取比例的定义域。第二，具有官方规划目标的指标，以规划基线和目标值为上下限。第三，具有自然定义域的比例型指标，取其数学定义域。第四，其余名义规模指标先作人均化或相对化处理，再按</w:t>
      </w:r>
      <w:r>
        <w:rPr>
          <w:rFonts w:hint="eastAsia"/>
          <w:sz w:val="21"/>
          <w:szCs w:val="21"/>
        </w:rPr>
        <w:t>“</w:t>
      </w:r>
      <w:r>
        <w:rPr>
          <w:sz w:val="21"/>
          <w:szCs w:val="21"/>
        </w:rPr>
        <w:t>0为下限、留有余量的整数为上限</w:t>
      </w:r>
      <w:r>
        <w:rPr>
          <w:rFonts w:hint="eastAsia"/>
          <w:sz w:val="21"/>
          <w:szCs w:val="21"/>
        </w:rPr>
        <w:t>”</w:t>
      </w:r>
      <w:r>
        <w:rPr>
          <w:sz w:val="21"/>
          <w:szCs w:val="21"/>
        </w:rPr>
        <w:t>的惯例标准化。正向、逆向指标分别按式（1）、式（2）处理，再按式（3）平移并压缩至</w:t>
      </w:r>
      <m:oMath>
        <m:r>
          <m:rPr/>
          <w:rPr>
            <w:rFonts w:ascii="Cambria Math" w:hAnsi="Cambria Math"/>
          </w:rPr>
          <m:t>[0.01,0.99]</m:t>
        </m:r>
      </m:oMath>
      <w:r>
        <w:rPr>
          <w:sz w:val="21"/>
          <w:szCs w:val="21"/>
        </w:rPr>
        <w:t>以避免0值出现：</w:t>
      </w:r>
    </w:p>
    <w:p w14:paraId="33B99B4D">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（1）</w:t>
      </w:r>
    </w:p>
    <w:p w14:paraId="7287B62E">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m:t>
        </m:r>
        <m:f>
          <m:fPr>
            <m:ctrlPr>
              <w:rPr>
                <w:rFonts w:ascii="Cambria Math" w:hAnsi="Cambria Math"/>
              </w:rPr>
            </m:ctrlPr>
          </m:fPr>
          <m:num>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ij</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h</m:t>
                </m:r>
                <m:ctrlPr>
                  <w:rPr>
                    <w:rFonts w:ascii="Cambria Math" w:hAnsi="Cambria Math"/>
                  </w:rPr>
                </m:ctrlPr>
              </m:e>
              <m:sub>
                <m:r>
                  <m:rPr/>
                  <w:rPr>
                    <w:rFonts w:ascii="Cambria Math" w:hAnsi="Cambria Math"/>
                  </w:rPr>
                  <m:t>j</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l</m:t>
                </m:r>
                <m:ctrlPr>
                  <w:rPr>
                    <w:rFonts w:ascii="Cambria Math" w:hAnsi="Cambria Math"/>
                  </w:rPr>
                </m:ctrlPr>
              </m:e>
              <m:sub>
                <m:r>
                  <m:rPr/>
                  <w:rPr>
                    <w:rFonts w:ascii="Cambria Math" w:hAnsi="Cambria Math"/>
                  </w:rPr>
                  <m:t>j</m:t>
                </m:r>
                <m:ctrlPr>
                  <w:rPr>
                    <w:rFonts w:ascii="Cambria Math" w:hAnsi="Cambria Math"/>
                  </w:rPr>
                </m:ctrlPr>
              </m:sub>
            </m:sSub>
            <m:ctrlPr>
              <w:rPr>
                <w:rFonts w:ascii="Cambria Math" w:hAnsi="Cambria Math"/>
              </w:rPr>
            </m:ctrlPr>
          </m:den>
        </m:f>
      </m:oMath>
      <w:r>
        <w:rPr>
          <w:sz w:val="21"/>
          <w:szCs w:val="21"/>
        </w:rPr>
        <w:t>，超出</w:t>
      </w:r>
      <m:oMath>
        <m:r>
          <m:rPr/>
          <w:rPr>
            <w:rFonts w:ascii="Cambria Math" w:hAnsi="Cambria Math"/>
          </w:rPr>
          <m:t>[0,1]</m:t>
        </m:r>
      </m:oMath>
      <w:r>
        <w:rPr>
          <w:sz w:val="21"/>
          <w:szCs w:val="21"/>
        </w:rPr>
        <w:t>的部分截断</w:t>
      </w:r>
      <w:r>
        <w:rPr>
          <w:sz w:val="22"/>
          <w:szCs w:val="22"/>
        </w:rPr>
        <w:tab/>
      </w:r>
      <w:r>
        <w:rPr>
          <w:sz w:val="22"/>
          <w:szCs w:val="22"/>
        </w:rPr>
        <w:t>（2）</w:t>
      </w:r>
    </w:p>
    <w:p w14:paraId="5B65016A">
      <w:pPr>
        <w:tabs>
          <w:tab w:val="center" w:pos="4300"/>
          <w:tab w:val="right" w:pos="8800"/>
        </w:tabs>
        <w:spacing w:before="40" w:after="40"/>
      </w:pPr>
      <w:r>
        <w:tab/>
      </w:r>
      <m:oMath>
        <m:sSub>
          <m:sSubPr>
            <m:ctrlPr>
              <w:rPr>
                <w:rFonts w:ascii="Cambria Math" w:hAnsi="Cambria Math"/>
              </w:rPr>
            </m:ctrlPr>
          </m:sSubPr>
          <m:e>
            <m:sSup>
              <m:sSupPr>
                <m:ctrlPr>
                  <w:rPr>
                    <w:rFonts w:ascii="Cambria Math" w:hAnsi="Cambria Math"/>
                  </w:rPr>
                </m:ctrlPr>
              </m:sSupPr>
              <m:e>
                <m:r>
                  <m:rPr/>
                  <w:rPr>
                    <w:rFonts w:ascii="Cambria Math" w:hAnsi="Cambria Math"/>
                  </w:rPr>
                  <m:t>x</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e>
          <m:sub>
            <m:r>
              <m:rPr/>
              <w:rPr>
                <w:rFonts w:ascii="Cambria Math" w:hAnsi="Cambria Math"/>
              </w:rPr>
              <m:t>ij</m:t>
            </m:r>
            <m:ctrlPr>
              <w:rPr>
                <w:rFonts w:ascii="Cambria Math" w:hAnsi="Cambria Math"/>
              </w:rPr>
            </m:ctrlPr>
          </m:sub>
        </m:sSub>
        <m:r>
          <m:rPr/>
          <w:rPr>
            <w:rFonts w:ascii="Cambria Math" w:hAnsi="Cambria Math"/>
          </w:rPr>
          <m:t>=0.98</m:t>
        </m:r>
        <m:sSub>
          <m:sSubPr>
            <m:ctrlPr>
              <w:rPr>
                <w:rFonts w:ascii="Cambria Math" w:hAnsi="Cambria Math"/>
              </w:rPr>
            </m:ctrlPr>
          </m:sSubPr>
          <m:e>
            <m:r>
              <m:rPr/>
              <w:rPr>
                <w:rFonts w:ascii="Cambria Math" w:hAnsi="Cambria Math"/>
              </w:rPr>
              <m:t>x</m:t>
            </m:r>
            <m:ctrlPr>
              <w:rPr>
                <w:rFonts w:ascii="Cambria Math" w:hAnsi="Cambria Math"/>
              </w:rPr>
            </m:ctrlPr>
          </m:e>
          <m:sub>
            <m:sSup>
              <m:sSupPr>
                <m:ctrlPr>
                  <w:rPr>
                    <w:rFonts w:ascii="Cambria Math" w:hAnsi="Cambria Math"/>
                  </w:rPr>
                </m:ctrlPr>
              </m:sSupPr>
              <m:e>
                <m:r>
                  <m:rPr/>
                  <w:rPr>
                    <w:rFonts w:ascii="Cambria Math" w:hAnsi="Cambria Math"/>
                  </w:rPr>
                  <m:t>ij</m:t>
                </m:r>
                <m:ctrlPr>
                  <w:rPr>
                    <w:rFonts w:ascii="Cambria Math" w:hAnsi="Cambria Math"/>
                  </w:rPr>
                </m:ctrlPr>
              </m:e>
              <m:sup>
                <m:r>
                  <m:rPr/>
                  <w:rPr>
                    <w:rFonts w:ascii="Cambria Math" w:hAnsi="Cambria Math"/>
                  </w:rPr>
                  <m:t>∗</m:t>
                </m:r>
                <m:ctrlPr>
                  <w:rPr>
                    <w:rFonts w:ascii="Cambria Math" w:hAnsi="Cambria Math"/>
                  </w:rPr>
                </m:ctrlPr>
              </m:sup>
            </m:sSup>
            <m:ctrlPr>
              <w:rPr>
                <w:rFonts w:ascii="Cambria Math" w:hAnsi="Cambria Math"/>
              </w:rPr>
            </m:ctrlPr>
          </m:sub>
        </m:sSub>
        <m:r>
          <m:rPr/>
          <w:rPr>
            <w:rFonts w:ascii="Cambria Math" w:hAnsi="Cambria Math"/>
          </w:rPr>
          <m:t>+0.01</m:t>
        </m:r>
      </m:oMath>
      <w:r>
        <w:rPr>
          <w:sz w:val="22"/>
          <w:szCs w:val="22"/>
        </w:rPr>
        <w:tab/>
      </w:r>
      <w:r>
        <w:rPr>
          <w:sz w:val="22"/>
          <w:szCs w:val="22"/>
        </w:rPr>
        <w:t>（3）</w:t>
      </w:r>
    </w:p>
    <w:p w14:paraId="4C6332A8">
      <w:pPr>
        <w:spacing w:before="160" w:after="80"/>
      </w:pPr>
      <w:r>
        <w:rPr>
          <w:rFonts w:eastAsia="黑体"/>
          <w:b/>
          <w:bCs/>
          <w:sz w:val="21"/>
          <w:szCs w:val="21"/>
        </w:rPr>
        <w:t>（四）子系统合成与权重设定</w:t>
      </w:r>
    </w:p>
    <w:p w14:paraId="149B4002">
      <w:pPr>
        <w:ind w:firstLine="420"/>
        <w:jc w:val="both"/>
      </w:pPr>
      <w:r>
        <w:rPr>
          <w:sz w:val="21"/>
          <w:szCs w:val="21"/>
        </w:rPr>
        <w:t xml:space="preserve">子系统内部指标以等权合成。理由有三：三元结构具有规范性，子系统内部指标是同一构念的不同侧面，等权更透明；样本仅有10个年度观测，CRITIC法与熵值法容易把权重集中到少数波动较大的指标，低估年际波动小的安全类指标；弱补偿性只适用于三个战略功能之间，构念内部的指标允许相互补偿。CRITIC—熵值组合权重仅用于稳健性对照与结构性贡献缺口诊断。</w:t>
      </w:r>
    </w:p>
    <w:p w14:paraId="6BB31CE0">
      <w:pPr>
        <w:spacing w:before="160" w:after="80"/>
      </w:pPr>
      <w:r>
        <w:rPr>
          <w:rFonts w:eastAsia="黑体"/>
          <w:b/>
          <w:bCs/>
          <w:sz w:val="21"/>
          <w:szCs w:val="21"/>
        </w:rPr>
        <w:t>（五）失衡惩罚型协调指数模型</w:t>
      </w:r>
    </w:p>
    <w:p w14:paraId="5167B0EA">
      <w:pPr>
        <w:ind w:firstLine="420"/>
        <w:jc w:val="both"/>
      </w:pPr>
      <w:r>
        <w:rPr>
          <w:sz w:val="21"/>
          <w:szCs w:val="21"/>
        </w:rPr>
        <w:t>传统耦合度</w:t>
      </w:r>
      <m:oMath>
        <m:r>
          <m:rPr/>
          <w:rPr>
            <w:rFonts w:ascii="Cambria Math" w:hAnsi="Cambria Math"/>
            <w:sz w:val="21"/>
            <w:szCs w:val="21"/>
          </w:rPr>
          <m:t>C</m:t>
        </m:r>
      </m:oMath>
      <w:r>
        <w:rPr>
          <w:sz w:val="21"/>
          <w:szCs w:val="21"/>
        </w:rPr>
        <w:t>在子系统差距较大时容易出现</w:t>
      </w:r>
      <w:r>
        <w:rPr>
          <w:rFonts w:hint="eastAsia"/>
          <w:sz w:val="21"/>
          <w:szCs w:val="21"/>
        </w:rPr>
        <w:t>“</w:t>
      </w:r>
      <w:r>
        <w:rPr>
          <w:sz w:val="21"/>
          <w:szCs w:val="21"/>
        </w:rPr>
        <w:t>虚高</w:t>
      </w:r>
      <w:r>
        <w:rPr>
          <w:rFonts w:hint="eastAsia"/>
          <w:sz w:val="21"/>
          <w:szCs w:val="21"/>
        </w:rPr>
        <w:t>”</w:t>
      </w:r>
      <w:r>
        <w:rPr>
          <w:sz w:val="21"/>
          <w:szCs w:val="21"/>
          <w:vertAlign w:val="superscript"/>
        </w:rPr>
        <w:t>[27]</w:t>
      </w:r>
      <w:r>
        <w:rPr>
          <w:sz w:val="21"/>
          <w:szCs w:val="21"/>
        </w:rPr>
        <w:t>，原因在于耦合度主要反映子系统之间的关联程度，难以充分体现各子系统的发展水平及其差距。为降低这一过度补偿效应，本文采用基于Mazziotta-Pareto罚分思想的失衡惩罚指数，简称MPI协调指数</w:t>
      </w:r>
      <w:r>
        <w:rPr>
          <w:sz w:val="21"/>
          <w:szCs w:val="21"/>
          <w:vertAlign w:val="superscript"/>
        </w:rPr>
        <w:t>[41]</w:t>
      </w:r>
      <w:r>
        <w:rPr>
          <w:sz w:val="21"/>
          <w:szCs w:val="21"/>
        </w:rPr>
        <w:t>，与非补偿性聚合、失衡调整等方法同属削弱维度间补偿的思路</w:t>
      </w:r>
      <w:r>
        <w:rPr>
          <w:sz w:val="21"/>
          <w:szCs w:val="21"/>
          <w:vertAlign w:val="superscript"/>
        </w:rPr>
        <w:t>[32,33]</w:t>
      </w:r>
      <w:r>
        <w:rPr>
          <w:sz w:val="21"/>
          <w:szCs w:val="21"/>
        </w:rPr>
        <w:t>。经典的多指标MPI先把原始指标标准化为Z分数再行聚合；本文已在子系统层面完成指标聚合，因此直接把均值</w:t>
      </w:r>
      <w:r>
        <w:rPr>
          <w:rFonts w:hint="eastAsia"/>
          <w:sz w:val="21"/>
          <w:szCs w:val="21"/>
        </w:rPr>
        <w:t>—</w:t>
      </w:r>
      <w:r>
        <w:rPr>
          <w:sz w:val="21"/>
          <w:szCs w:val="21"/>
        </w:rPr>
        <w:t>标准差罚分原理作用于三子系统综合指数</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m:nor/>
            <m:sty m:val="p"/>
          </m:rPr>
          <w:rPr>
            <w:b w:val="0"/>
            <w:i w:val="0"/>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，保留其以标准差惩罚失衡的核心机制。式（4）中，均值项保留整体水平，标准差罚项随失衡程度连续增大，不存在阈值跳变。设某年三子系统指数的均值为</w:t>
      </w:r>
      <m:oMath>
        <m:r>
          <m:rPr/>
          <w:rPr>
            <w:rFonts w:ascii="Cambria Math" w:hAnsi="Cambria Math"/>
            <w:sz w:val="21"/>
            <w:szCs w:val="21"/>
          </w:rPr>
          <m:t>M=</m:t>
        </m:r>
        <m:d>
          <m:dPr>
            <m:ctrlPr>
              <w:rPr>
                <w:rFonts w:ascii="Cambria Math" w:hAnsi="Cambria Math"/>
                <w:sz w:val="21"/>
                <w:szCs w:val="21"/>
              </w:rPr>
            </m:ctrlPr>
          </m:dPr>
          <m:e>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ctrlPr>
              <w:rPr>
                <w:rFonts w:ascii="Cambria Math" w:hAnsi="Cambria Math"/>
                <w:sz w:val="21"/>
                <w:szCs w:val="21"/>
              </w:rPr>
            </m:ctrlPr>
          </m:e>
        </m:d>
        <m:r>
          <m:rPr/>
          <w:rPr>
            <w:rFonts w:ascii="Cambria Math" w:hAnsi="Cambria Math"/>
            <w:sz w:val="21"/>
            <w:szCs w:val="21"/>
          </w:rPr>
          <m:t>/3</m:t>
        </m:r>
      </m:oMath>
      <w:r>
        <w:rPr>
          <w:sz w:val="21"/>
          <w:szCs w:val="21"/>
        </w:rPr>
        <w:t>，总体标准差为</w:t>
      </w:r>
      <m:oMath>
        <m:r>
          <m:rPr/>
          <w:rPr>
            <w:rFonts w:ascii="Cambria Math" w:hAnsi="Cambria Math"/>
            <w:sz w:val="21"/>
            <w:szCs w:val="21"/>
          </w:rPr>
          <m:t>S</m:t>
        </m:r>
      </m:oMath>
      <w:r>
        <w:rPr>
          <w:sz w:val="21"/>
          <w:szCs w:val="21"/>
        </w:rPr>
        <w:t>，MPI定义为</w:t>
      </w:r>
    </w:p>
    <w:p w14:paraId="11FADE72">
      <w:pPr>
        <w:tabs>
          <w:tab w:val="center" w:pos="4300"/>
          <w:tab w:val="right" w:pos="8800"/>
        </w:tabs>
        <w:spacing w:before="40" w:after="40"/>
      </w:pPr>
      <w:r>
        <w:tab/>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=M−S·CV=M−</m:t>
        </m:r>
        <m:f>
          <m:fPr>
            <m:ctrlPr>
              <w:rPr>
                <w:rFonts w:ascii="Cambria Math" w:hAnsi="Cambria Math"/>
              </w:rPr>
            </m:ctrlPr>
          </m:fPr>
          <m:num>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num>
          <m:den>
            <m:r>
              <m:rPr/>
              <w:rPr>
                <w:rFonts w:ascii="Cambria Math" w:hAnsi="Cambria Math"/>
              </w:rPr>
              <m:t>M</m:t>
            </m:r>
            <m:ctrlPr>
              <w:rPr>
                <w:rFonts w:ascii="Cambria Math" w:hAnsi="Cambria Math"/>
              </w:rPr>
            </m:ctrlPr>
          </m:den>
        </m:f>
      </m:oMath>
      <w:r>
        <w:rPr>
          <w:sz w:val="22"/>
          <w:szCs w:val="22"/>
        </w:rPr>
        <w:tab/>
      </w:r>
      <w:r>
        <w:rPr>
          <w:sz w:val="22"/>
          <w:szCs w:val="22"/>
        </w:rPr>
        <w:t>（4）</w:t>
      </w:r>
    </w:p>
    <w:p w14:paraId="6034824B">
      <w:pPr>
        <w:ind w:firstLine="420"/>
        <w:jc w:val="both"/>
      </w:pPr>
      <w:r>
        <w:rPr>
          <w:sz w:val="21"/>
          <w:szCs w:val="21"/>
        </w:rPr>
        <w:t>其中，</w:t>
      </w:r>
      <m:oMath>
        <m:r>
          <m:rPr/>
          <w:rPr>
            <w:rFonts w:ascii="Cambria Math" w:hAnsi="Cambria Math"/>
            <w:sz w:val="21"/>
            <w:szCs w:val="21"/>
          </w:rPr>
          <m:t>CV=S/M</m:t>
        </m:r>
      </m:oMath>
      <w:r>
        <w:rPr>
          <w:sz w:val="21"/>
          <w:szCs w:val="21"/>
        </w:rPr>
        <w:t>为三子系统综合指数的离散系数。MPI具有三项与理论要求直接对应的数学性质。第一，</w:t>
      </w:r>
      <m:oMath>
        <m:sSub>
          <m:sSubPr>
            <m:ctrlPr>
              <w:rPr>
                <w:rFonts w:ascii="Cambria Math" w:hAnsi="Cambria Math"/>
                <w:sz w:val="21"/>
                <w:szCs w:val="21"/>
              </w:rPr>
            </m:ctrlPr>
          </m:sSubPr>
          <m:e>
            <m:r>
              <m:rPr/>
              <w:rPr>
                <w:rFonts w:ascii="Cambria Math" w:hAnsi="Cambria Math"/>
                <w:sz w:val="21"/>
                <w:szCs w:val="21"/>
              </w:rPr>
              <m:t>D</m:t>
            </m:r>
            <m:ctrlPr>
              <w:rPr>
                <w:rFonts w:ascii="Cambria Math" w:hAnsi="Cambria Math"/>
                <w:sz w:val="21"/>
                <w:szCs w:val="21"/>
              </w:rPr>
            </m:ctrlPr>
          </m:e>
          <m:sub>
            <m:r>
              <m:rPr/>
              <w:rPr>
                <w:rFonts w:ascii="Cambria Math" w:hAnsi="Cambria Math"/>
                <w:sz w:val="21"/>
                <w:szCs w:val="21"/>
              </w:rPr>
              <m:t>MPI</m:t>
            </m:r>
            <m:ctrlPr>
              <w:rPr>
                <w:rFonts w:ascii="Cambria Math" w:hAnsi="Cambria Math"/>
                <w:sz w:val="21"/>
                <w:szCs w:val="21"/>
              </w:rPr>
            </m:ctrlPr>
          </m:sub>
        </m:sSub>
        <m:r>
          <m:rPr/>
          <w:rPr>
            <w:rFonts w:ascii="Cambria Math" w:hAnsi="Cambria Math"/>
            <w:sz w:val="21"/>
            <w:szCs w:val="21"/>
          </w:rPr>
          <m:t>≤M</m:t>
        </m:r>
      </m:oMath>
      <w:r>
        <w:rPr>
          <w:sz w:val="21"/>
          <w:szCs w:val="21"/>
        </w:rPr>
        <w:t>恒成立，且仅当三子系统完全均衡即</w:t>
      </w:r>
      <m:oMath>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S</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D</m:t>
            </m:r>
            <m:ctrlPr>
              <w:rPr>
                <w:rFonts w:ascii="Cambria Math" w:hAnsi="Cambria Math"/>
                <w:sz w:val="21"/>
                <w:szCs w:val="21"/>
              </w:rPr>
            </m:ctrlPr>
          </m:sub>
        </m:sSub>
        <m:r>
          <m:rPr/>
          <w:rPr>
            <w:rFonts w:ascii="Cambria Math" w:hAnsi="Cambria Math"/>
            <w:sz w:val="21"/>
            <w:szCs w:val="21"/>
          </w:rPr>
          <m:t>=</m:t>
        </m:r>
        <m:sSub>
          <m:sSubPr>
            <m:ctrlPr>
              <w:rPr>
                <w:rFonts w:ascii="Cambria Math" w:hAnsi="Cambria Math"/>
                <w:sz w:val="21"/>
                <w:szCs w:val="21"/>
              </w:rPr>
            </m:ctrlPr>
          </m:sSubPr>
          <m:e>
            <m:r>
              <m:rPr/>
              <w:rPr>
                <w:rFonts w:ascii="Cambria Math" w:hAnsi="Cambria Math"/>
                <w:sz w:val="21"/>
                <w:szCs w:val="21"/>
              </w:rPr>
              <m:t>U</m:t>
            </m:r>
            <m:ctrlPr>
              <w:rPr>
                <w:rFonts w:ascii="Cambria Math" w:hAnsi="Cambria Math"/>
                <w:sz w:val="21"/>
                <w:szCs w:val="21"/>
              </w:rPr>
            </m:ctrlPr>
          </m:e>
          <m:sub>
            <m:r>
              <m:rPr/>
              <w:rPr>
                <w:rFonts w:ascii="Cambria Math" w:hAnsi="Cambria Math"/>
                <w:sz w:val="21"/>
                <w:szCs w:val="21"/>
              </w:rPr>
              <m:t>E</m:t>
            </m:r>
            <m:ctrlPr>
              <w:rPr>
                <w:rFonts w:ascii="Cambria Math" w:hAnsi="Cambria Math"/>
                <w:sz w:val="21"/>
                <w:szCs w:val="21"/>
              </w:rPr>
            </m:ctrlPr>
          </m:sub>
        </m:sSub>
      </m:oMath>
      <w:r>
        <w:rPr>
          <w:sz w:val="21"/>
          <w:szCs w:val="21"/>
        </w:rPr>
        <w:t>时取等号，表明三子系统之间的失衡程度越大，相对于简单均值的惩罚越强；惩罚项</w:t>
      </w:r>
      <m:oMath>
        <m:sSup>
          <m:sSupPr>
            <m:ctrlPr>
              <w:rPr>
                <w:rFonts w:ascii="Cambria Math" w:hAnsi="Cambria Math"/>
                <w:sz w:val="21"/>
                <w:szCs w:val="21"/>
              </w:rPr>
            </m:ctrlPr>
          </m:sSupPr>
          <m:e>
            <m:r>
              <m:rPr/>
              <w:rPr>
                <w:rFonts w:ascii="Cambria Math" w:hAnsi="Cambria Math"/>
                <w:sz w:val="21"/>
                <w:szCs w:val="21"/>
              </w:rPr>
              <m:t>S</m:t>
            </m:r>
            <m:ctrlPr>
              <w:rPr>
                <w:rFonts w:ascii="Cambria Math" w:hAnsi="Cambria Math"/>
                <w:sz w:val="21"/>
                <w:szCs w:val="21"/>
              </w:rPr>
            </m:ctrlPr>
          </m:e>
          <m:sup>
            <m:r>
              <m:rPr/>
              <w:rPr>
                <w:rFonts w:ascii="Cambria Math" w:hAnsi="Cambria Math"/>
                <w:sz w:val="21"/>
                <w:szCs w:val="21"/>
              </w:rPr>
              <m:t>2</m:t>
            </m:r>
            <m:ctrlPr>
              <w:rPr>
                <w:rFonts w:ascii="Cambria Math" w:hAnsi="Cambria Math"/>
                <w:sz w:val="21"/>
                <w:szCs w:val="21"/>
              </w:rPr>
            </m:ctrlPr>
          </m:sup>
        </m:sSup>
        <m:r>
          <m:rPr/>
          <w:rPr>
            <w:rFonts w:ascii="Cambria Math" w:hAnsi="Cambria Math"/>
            <w:sz w:val="21"/>
            <w:szCs w:val="21"/>
          </w:rPr>
          <m:t>/M</m:t>
        </m:r>
      </m:oMath>
      <w:r>
        <w:rPr>
          <w:sz w:val="21"/>
          <w:szCs w:val="21"/>
        </w:rPr>
        <w:t>随离散程度连续变化。第二，当某一子系统明显滞后时，MPI会低于简单均值，但仍保留整体水平信息，避免综合指数机械归零。第三，MPI对不同子系统改善的边际响应存在结构差异：滞后子系统的改善同时提高整体水平并缩小差距，领先子系统的改善则在提高水平的同时扩大差距、加重惩罚项，边际响应因而减弱。这一性质是下文局部敏感性分析的依据。</w:t>
      </w:r>
    </w:p>
    <w:p w14:paraId="59777101">
      <w:pPr>
        <w:ind w:firstLine="420"/>
        <w:jc w:val="both"/>
      </w:pPr>
      <w:r>
        <w:rPr>
          <w:sz w:val="21"/>
          <w:szCs w:val="21"/>
        </w:rPr>
        <w:t xml:space="preserve">表2给出典型情形下MPI与传统耦合度的对照。</w:t>
      </w:r>
    </w:p>
    <w:p w14:paraId="56371392">
      <w:pPr>
        <w:keepNext/>
        <w:spacing w:before="140" w:after="40"/>
        <w:jc w:val="center"/>
      </w:pPr>
      <w:r>
        <w:rPr>
          <w:rFonts w:eastAsia="黑体"/>
          <w:b/>
          <w:bCs/>
          <w:sz w:val="21"/>
          <w:szCs w:val="21"/>
        </w:rPr>
        <w:t>表2　MPI与传统耦合度在典型情形下的数值对照</w:t>
      </w:r>
    </w:p>
    <w:tbl>
      <w:tblPr>
        <w:tblStyle w:val="15"/>
        <w:tblW w:w="66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00"/>
        <w:gridCol w:w="2200"/>
        <w:gridCol w:w="2200"/>
      </w:tblGrid>
      <w:tr w14:paraId="7D7D8483">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tblHeader/>
          <w:jc w:val="center"/>
        </w:trPr>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19F6AA93">
            <w:pPr>
              <w:spacing w:line="240" w:lineRule="auto"/>
              <w:jc w:val="center"/>
            </w:pPr>
            <w:r>
              <w:rPr>
                <w:b/>
                <w:bCs/>
                <w:sz w:val="18"/>
                <w:szCs w:val="18"/>
              </w:rPr>
              <w:t>(U</w:t>
            </w:r>
            <w:r>
              <w:rPr>
                <w:b/>
                <w:bCs/>
                <w:sz w:val="18"/>
                <w:szCs w:val="18"/>
                <w:vertAlign w:val="subscript"/>
              </w:rPr>
              <w:t>S</w:t>
            </w:r>
            <w:r>
              <w:rPr>
                <w:b/>
                <w:bCs/>
                <w:sz w:val="18"/>
                <w:szCs w:val="18"/>
              </w:rPr>
              <w:t>, U</w:t>
            </w:r>
            <w:r>
              <w:rPr>
                <w:b/>
                <w:bCs/>
                <w:sz w:val="18"/>
                <w:szCs w:val="18"/>
                <w:vertAlign w:val="subscript"/>
              </w:rPr>
              <w:t>D</w:t>
            </w:r>
            <w:r>
              <w:rPr>
                <w:b/>
                <w:bCs/>
                <w:sz w:val="18"/>
                <w:szCs w:val="18"/>
              </w:rPr>
              <w:t>, U</w:t>
            </w:r>
            <w:r>
              <w:rPr>
                <w:b/>
                <w:bCs/>
                <w:sz w:val="18"/>
                <w:szCs w:val="18"/>
                <w:vertAlign w:val="subscript"/>
              </w:rPr>
              <w:t>E</w:t>
            </w:r>
            <w:r>
              <w:rPr>
                <w:b/>
                <w:bCs/>
                <w:sz w:val="18"/>
                <w:szCs w:val="18"/>
              </w:rPr>
              <w:t>)</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6FA7769">
            <w:pPr>
              <w:spacing w:line="240" w:lineRule="auto"/>
              <w:jc w:val="center"/>
            </w:pPr>
            <w:r>
              <w:rPr>
                <w:b/>
                <w:bCs/>
                <w:sz w:val="18"/>
                <w:szCs w:val="18"/>
              </w:rPr>
              <w:t>MPI（本文模型）</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71C3BED9">
            <w:pPr>
              <w:spacing w:line="240" w:lineRule="auto"/>
              <w:jc w:val="center"/>
            </w:pPr>
            <w:r>
              <w:rPr>
                <w:b/>
                <w:bCs/>
                <w:sz w:val="18"/>
                <w:szCs w:val="18"/>
              </w:rPr>
              <w:t>传统C（耦合度）</w:t>
            </w:r>
          </w:p>
        </w:tc>
      </w:tr>
      <w:tr w14:paraId="0200A8FD">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53519531">
            <w:pPr>
              <w:spacing w:line="240" w:lineRule="auto"/>
              <w:jc w:val="center"/>
            </w:pPr>
            <w:r>
              <w:rPr>
                <w:sz w:val="18"/>
                <w:szCs w:val="18"/>
              </w:rPr>
              <w:t>(0.9, 0.9, 0.2)</w:t>
            </w:r>
          </w:p>
        </w:tc>
        <w:tc>
          <w:tcPr>
            <w:tcW w:w="2200" w:type="dxa"/>
            <w:tcBorders>
              <w:top w:val="nil"/>
              <w:left w:val="nil"/>
              <w:bottom w:val="nil"/>
              <w:right w:val="nil"/>
            </w:tcBorders>
            <w:tcMar>
              <w:top w:w="20" w:type="dxa"/>
              <w:left w:w="40" w:type="dxa"/>
              <w:bottom w:w="20" w:type="dxa"/>
              <w:right w:w="40" w:type="dxa"/>
            </w:tcMar>
            <w:vAlign w:val="center"/>
          </w:tcPr>
          <w:p w14:paraId="7BD55F86">
            <w:pPr>
              <w:spacing w:line="240" w:lineRule="auto"/>
              <w:jc w:val="center"/>
            </w:pPr>
            <w:r>
              <w:rPr>
                <w:sz w:val="18"/>
                <w:szCs w:val="18"/>
              </w:rPr>
              <w:t>0.503</w:t>
            </w:r>
          </w:p>
        </w:tc>
        <w:tc>
          <w:tcPr>
            <w:tcW w:w="2200" w:type="dxa"/>
            <w:tcBorders>
              <w:top w:val="nil"/>
              <w:left w:val="nil"/>
              <w:bottom w:val="nil"/>
              <w:right w:val="nil"/>
            </w:tcBorders>
            <w:tcMar>
              <w:top w:w="20" w:type="dxa"/>
              <w:left w:w="40" w:type="dxa"/>
              <w:bottom w:w="20" w:type="dxa"/>
              <w:right w:w="40" w:type="dxa"/>
            </w:tcMar>
            <w:vAlign w:val="center"/>
          </w:tcPr>
          <w:p w14:paraId="43BE9902">
            <w:pPr>
              <w:spacing w:line="240" w:lineRule="auto"/>
              <w:jc w:val="center"/>
            </w:pPr>
            <w:r>
              <w:rPr>
                <w:sz w:val="18"/>
                <w:szCs w:val="18"/>
              </w:rPr>
              <w:t>0.818</w:t>
            </w:r>
          </w:p>
        </w:tc>
      </w:tr>
      <w:tr w14:paraId="78A69BD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6E5F9B6B">
            <w:pPr>
              <w:spacing w:line="240" w:lineRule="auto"/>
              <w:jc w:val="center"/>
            </w:pPr>
            <w:r>
              <w:rPr>
                <w:sz w:val="18"/>
                <w:szCs w:val="18"/>
              </w:rPr>
              <w:t>(0.7, 0.7, 0.7)</w:t>
            </w:r>
          </w:p>
        </w:tc>
        <w:tc>
          <w:tcPr>
            <w:tcW w:w="2200" w:type="dxa"/>
            <w:tcBorders>
              <w:top w:val="nil"/>
              <w:left w:val="nil"/>
              <w:bottom w:val="nil"/>
              <w:right w:val="nil"/>
            </w:tcBorders>
            <w:tcMar>
              <w:top w:w="20" w:type="dxa"/>
              <w:left w:w="40" w:type="dxa"/>
              <w:bottom w:w="20" w:type="dxa"/>
              <w:right w:w="40" w:type="dxa"/>
            </w:tcMar>
            <w:vAlign w:val="center"/>
          </w:tcPr>
          <w:p w14:paraId="64DA49D6">
            <w:pPr>
              <w:spacing w:line="240" w:lineRule="auto"/>
              <w:jc w:val="center"/>
            </w:pPr>
            <w:r>
              <w:rPr>
                <w:sz w:val="18"/>
                <w:szCs w:val="18"/>
              </w:rPr>
              <w:t>0.700</w:t>
            </w:r>
          </w:p>
        </w:tc>
        <w:tc>
          <w:tcPr>
            <w:tcW w:w="2200" w:type="dxa"/>
            <w:tcBorders>
              <w:top w:val="nil"/>
              <w:left w:val="nil"/>
              <w:bottom w:val="nil"/>
              <w:right w:val="nil"/>
            </w:tcBorders>
            <w:tcMar>
              <w:top w:w="20" w:type="dxa"/>
              <w:left w:w="40" w:type="dxa"/>
              <w:bottom w:w="20" w:type="dxa"/>
              <w:right w:w="40" w:type="dxa"/>
            </w:tcMar>
            <w:vAlign w:val="center"/>
          </w:tcPr>
          <w:p w14:paraId="254F9227">
            <w:pPr>
              <w:spacing w:line="240" w:lineRule="auto"/>
              <w:jc w:val="center"/>
            </w:pPr>
            <w:r>
              <w:rPr>
                <w:sz w:val="18"/>
                <w:szCs w:val="18"/>
              </w:rPr>
              <w:t>1.000</w:t>
            </w:r>
          </w:p>
        </w:tc>
      </w:tr>
      <w:tr w14:paraId="3A161AEC">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2AB641E1">
            <w:pPr>
              <w:spacing w:line="240" w:lineRule="auto"/>
              <w:jc w:val="center"/>
            </w:pPr>
            <w:r>
              <w:rPr>
                <w:sz w:val="18"/>
                <w:szCs w:val="18"/>
              </w:rPr>
              <w:t>(1.0, 1.0, 0.0)</w:t>
            </w:r>
          </w:p>
        </w:tc>
        <w:tc>
          <w:tcPr>
            <w:tcW w:w="2200" w:type="dxa"/>
            <w:tcBorders>
              <w:top w:val="nil"/>
              <w:left w:val="nil"/>
              <w:bottom w:val="nil"/>
              <w:right w:val="nil"/>
            </w:tcBorders>
            <w:tcMar>
              <w:top w:w="20" w:type="dxa"/>
              <w:left w:w="40" w:type="dxa"/>
              <w:bottom w:w="20" w:type="dxa"/>
              <w:right w:w="40" w:type="dxa"/>
            </w:tcMar>
            <w:vAlign w:val="center"/>
          </w:tcPr>
          <w:p w14:paraId="2D0A316D">
            <w:pPr>
              <w:spacing w:line="240" w:lineRule="auto"/>
              <w:jc w:val="center"/>
            </w:pPr>
            <w:r>
              <w:rPr>
                <w:sz w:val="18"/>
                <w:szCs w:val="18"/>
              </w:rPr>
              <w:t>0.333</w:t>
            </w:r>
          </w:p>
        </w:tc>
        <w:tc>
          <w:tcPr>
            <w:tcW w:w="2200" w:type="dxa"/>
            <w:tcBorders>
              <w:top w:val="nil"/>
              <w:left w:val="nil"/>
              <w:bottom w:val="nil"/>
              <w:right w:val="nil"/>
            </w:tcBorders>
            <w:tcMar>
              <w:top w:w="20" w:type="dxa"/>
              <w:left w:w="40" w:type="dxa"/>
              <w:bottom w:w="20" w:type="dxa"/>
              <w:right w:w="40" w:type="dxa"/>
            </w:tcMar>
            <w:vAlign w:val="center"/>
          </w:tcPr>
          <w:p w14:paraId="7B16F085">
            <w:pPr>
              <w:spacing w:line="240" w:lineRule="auto"/>
              <w:jc w:val="center"/>
            </w:pPr>
            <w:r>
              <w:rPr>
                <w:sz w:val="18"/>
                <w:szCs w:val="18"/>
              </w:rPr>
              <w:t>0.000</w:t>
            </w:r>
          </w:p>
        </w:tc>
      </w:tr>
      <w:tr w14:paraId="42F46A9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nil"/>
              <w:right w:val="nil"/>
            </w:tcBorders>
            <w:tcMar>
              <w:top w:w="20" w:type="dxa"/>
              <w:left w:w="40" w:type="dxa"/>
              <w:bottom w:w="20" w:type="dxa"/>
              <w:right w:w="40" w:type="dxa"/>
            </w:tcMar>
            <w:vAlign w:val="center"/>
          </w:tcPr>
          <w:p w14:paraId="7D13AC44">
            <w:pPr>
              <w:spacing w:line="240" w:lineRule="auto"/>
              <w:jc w:val="center"/>
            </w:pPr>
            <w:r>
              <w:rPr>
                <w:sz w:val="18"/>
                <w:szCs w:val="18"/>
              </w:rPr>
              <w:t>(0.5, 0.5, 0.5)</w:t>
            </w:r>
          </w:p>
        </w:tc>
        <w:tc>
          <w:tcPr>
            <w:tcW w:w="2200" w:type="dxa"/>
            <w:tcBorders>
              <w:top w:val="nil"/>
              <w:left w:val="nil"/>
              <w:bottom w:val="nil"/>
              <w:right w:val="nil"/>
            </w:tcBorders>
            <w:tcMar>
              <w:top w:w="20" w:type="dxa"/>
              <w:left w:w="40" w:type="dxa"/>
              <w:bottom w:w="20" w:type="dxa"/>
              <w:right w:w="40" w:type="dxa"/>
            </w:tcMar>
            <w:vAlign w:val="center"/>
          </w:tcPr>
          <w:p w14:paraId="76C4B96A">
            <w:pPr>
              <w:spacing w:line="240" w:lineRule="auto"/>
              <w:jc w:val="center"/>
            </w:pPr>
            <w:r>
              <w:rPr>
                <w:sz w:val="18"/>
                <w:szCs w:val="18"/>
              </w:rPr>
              <w:t>0.500</w:t>
            </w:r>
          </w:p>
        </w:tc>
        <w:tc>
          <w:tcPr>
            <w:tcW w:w="2200" w:type="dxa"/>
            <w:tcBorders>
              <w:top w:val="nil"/>
              <w:left w:val="nil"/>
              <w:bottom w:val="nil"/>
              <w:right w:val="nil"/>
            </w:tcBorders>
            <w:tcMar>
              <w:top w:w="20" w:type="dxa"/>
              <w:left w:w="40" w:type="dxa"/>
              <w:bottom w:w="20" w:type="dxa"/>
              <w:right w:w="40" w:type="dxa"/>
            </w:tcMar>
            <w:vAlign w:val="center"/>
          </w:tcPr>
          <w:p w14:paraId="740A1C81">
            <w:pPr>
              <w:spacing w:line="240" w:lineRule="auto"/>
              <w:jc w:val="center"/>
            </w:pPr>
            <w:r>
              <w:rPr>
                <w:sz w:val="18"/>
                <w:szCs w:val="18"/>
              </w:rPr>
              <w:t>1.000</w:t>
            </w:r>
          </w:p>
        </w:tc>
      </w:tr>
      <w:tr w14:paraId="2B4F7215">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cantSplit/>
          <w:jc w:val="center"/>
        </w:trPr>
        <w:tc>
          <w:tcPr>
            <w:tcW w:w="2200" w:type="dxa"/>
            <w:tcBorders>
              <w:top w:val="nil"/>
              <w:left w:val="nil"/>
              <w:bottom w:val="single" w:color="000000" w:sz="12" w:space="0"/>
              <w:right w:val="nil"/>
            </w:tcBorders>
            <w:tcMar>
              <w:top w:w="20" w:type="dxa"/>
              <w:left w:w="40" w:type="dxa"/>
              <w:bottom w:w="20" w:type="dxa"/>
              <w:right w:w="40" w:type="dxa"/>
            </w:tcMar>
            <w:vAlign w:val="center"/>
          </w:tcPr>
          <w:p w14:paraId="35A9E1B9">
            <w:pPr>
              <w:spacing w:line="240" w:lineRule="auto"/>
              <w:jc w:val="center"/>
            </w:pPr>
            <w:r>
              <w:rPr>
                <w:sz w:val="18"/>
                <w:szCs w:val="18"/>
              </w:rPr>
              <w:t>(0.9, 0.1, 0.9)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514538E4">
            <w:pPr>
              <w:spacing w:line="240" w:lineRule="auto"/>
              <w:jc w:val="center"/>
            </w:pPr>
            <w:r>
              <w:rPr>
                <w:sz w:val="18"/>
                <w:szCs w:val="18"/>
              </w:rPr>
              <w:t>0.409</w:t>
            </w:r>
          </w:p>
        </w:tc>
        <w:tc>
          <w:tcPr>
            <w:tcW w:w="2200" w:type="dxa"/>
            <w:tcBorders>
              <w:top w:val="nil"/>
              <w:left w:val="nil"/>
              <w:bottom w:val="single" w:color="000000" w:sz="12" w:space="0"/>
              <w:right w:val="nil"/>
            </w:tcBorders>
            <w:tcMar>
              <w:top w:w="20" w:type="dxa"/>
              <w:left w:w="40" w:type="dxa"/>
              <w:bottom w:w="20" w:type="dxa"/>
              <w:right w:w="40" w:type="dxa"/>
            </w:tcMar>
            <w:vAlign w:val="center"/>
          </w:tcPr>
          <w:p w14:paraId="67A475FE">
            <w:pPr>
              <w:spacing w:line="240" w:lineRule="auto"/>
              <w:jc w:val="center"/>
            </w:pPr>
            <w:r>
              <w:rPr>
                <w:sz w:val="18"/>
                <w:szCs w:val="18"/>
              </w:rPr>
              <w:t>0.683</w:t>
            </w:r>
          </w:p>
        </w:tc>
      </w:tr>
    </w:tbl>
    <w:p w14:paraId="21D85D2F">
      <w:pPr>
        <w:spacing w:before="30" w:after="140"/>
      </w:pPr>
      <w:r>
        <w:rPr>
          <w:sz w:val="18"/>
          <w:szCs w:val="18"/>
        </w:rPr>
        <w:t>注：U</w:t>
      </w:r>
      <w:r>
        <w:rPr>
          <w:sz w:val="18"/>
          <w:szCs w:val="18"/>
          <w:vertAlign w:val="subscript"/>
        </w:rPr>
        <w:t>S</w:t>
      </w:r>
      <w:r>
        <w:rPr>
          <w:sz w:val="18"/>
          <w:szCs w:val="18"/>
        </w:rPr>
        <w:t>、U</w:t>
      </w:r>
      <w:r>
        <w:rPr>
          <w:sz w:val="18"/>
          <w:szCs w:val="18"/>
          <w:vertAlign w:val="subscript"/>
        </w:rPr>
        <w:t>D</w:t>
      </w:r>
      <w:r>
        <w:rPr>
          <w:sz w:val="18"/>
          <w:szCs w:val="18"/>
        </w:rPr>
        <w:t>、U</w:t>
      </w:r>
      <w:r>
        <w:rPr>
          <w:sz w:val="18"/>
          <w:szCs w:val="18"/>
          <w:vertAlign w:val="subscript"/>
        </w:rPr>
        <w:t>E</w:t>
      </w:r>
      <w:r>
        <w:rPr>
          <w:sz w:val="18"/>
          <w:szCs w:val="18"/>
        </w:rPr>
        <w:t>为三子系统综合指数；C为传统耦合度。</w:t>
      </w:r>
    </w:p>
    <w:p w14:paraId="047B877B">
      <w:pPr>
        <w:ind w:firstLine="420"/>
        <w:jc w:val="both"/>
      </w:pPr>
      <w:r>
        <w:rPr>
          <w:sz w:val="21"/>
          <w:szCs w:val="21"/>
        </w:rPr>
        <w:t xml:space="preserve">在“两高一低”情形(0.9, 0.9, 0.2)下，传统耦合度仍达0.818，MPI仅为0.503，说明耦合度容易掩盖子系统差距；在(1.0, 1.0, 0.0)下耦合度为0，MPI仍为0.333，保留了整体水平信息。同时，(0.9, 0.9, 0.2)与均衡的(0.5, 0.5, 0.5)仅差0.003，说明MPI实现的是“有限替代”意义上的弱补偿，而非严格的非补偿。</w:t>
      </w:r>
    </w:p>
    <w:p w14:paraId="12091E07">
      <w:pPr>
        <w:spacing w:before="160" w:after="80"/>
      </w:pPr>
      <w:r>
        <w:rPr>
          <w:rFonts w:eastAsia="黑体"/>
          <w:b/>
          <w:bCs/>
          <w:sz w:val="21"/>
          <w:szCs w:val="21"/>
        </w:rPr>
        <w:t>（六）诊断与检验方法</w:t>
      </w:r>
    </w:p>
    <w:p w14:paraId="02D1A9B2">
      <w:pPr>
        <w:ind w:firstLine="420"/>
        <w:jc w:val="both"/>
      </w:pPr>
      <w:r>
        <w:rPr>
          <w:sz w:val="21"/>
          <w:szCs w:val="21"/>
        </w:rPr>
        <w:t xml:space="preserve">在协调指数之上设置三类诊断：一是结构性贡献缺口，以各指标组合权重与偏离度之积占全部指标之和的比重，识别总体缺口的主要来源；二是局部敏感性，以子系统指数±1%相对扰动下MPI变动的百分比（双侧平均）逐年计算，反映边际改善最敏感的方向；三是稳健性检验，包括逐一剔除指标的留一法（LOO）与截断样本的滚动端点稳定性检验。</w:t>
      </w:r>
    </w:p>
    <w:p w14:paraId="4AA48D28">
      <w:pPr>
        <w:spacing w:before="260" w:after="120"/>
      </w:pPr>
      <w:r>
        <w:rPr>
          <w:rFonts w:eastAsia="黑体"/>
          <w:b/>
          <w:bCs/>
          <w:sz w:val="28"/>
          <w:szCs w:val="28"/>
        </w:rPr>
        <w:t>四、结果与分析</w:t>
      </w:r>
    </w:p>
    <w:p w14:paraId="25C81E7C">
      <w:pPr>
        <w:spacing w:before="160" w:after="80"/>
      </w:pPr>
      <w:r>
        <w:rPr>
          <w:rFonts w:eastAsia="黑体"/>
          <w:b/>
          <w:bCs/>
          <w:sz w:val="21"/>
          <w:szCs w:val="21"/>
        </w:rPr>
        <w:t>（一）三子系统综合指数的阶段性演进</w:t>
      </w:r>
    </w:p>
    <w:p w14:paraId="0946448E">
      <w:pPr>
        <w:ind w:firstLine="420"/>
        <w:jc w:val="both"/>
      </w:pPr>
      <w:r>
        <w:rPr>
          <w:sz w:val="21"/>
          <w:szCs w:val="21"/>
        </w:rPr>
        <w:t xml:space="preserve">测算结果见表3与图3。样本期内MPI由2016年的0.393持续上升至2025年的0.754，未出现回落年份；三子系统的相对位置则呈现三个阶段。</w:t>
      </w:r>
    </w:p>
    <w:p w14:paraId="67C0B654">
      <w:pPr>
        <w:ind w:firstLine="420"/>
        <w:jc w:val="both"/>
      </w:pPr>
      <w:r>
        <w:rPr>
          <w:sz w:val="21"/>
          <w:szCs w:val="21"/>
        </w:rPr>
        <w:t xml:space="preserve">第一阶段（2016—2017年）生态相对最弱。生态指数由0.267起步，明显低于安全（0.537）与发展（0.467）。由于生态以2016年实测值为下限、规划目标为上限，这里的“最弱”是相对于后续规划目标的达成进度，而非对当时生态状况的评价。</w:t>
      </w:r>
    </w:p>
    <w:p w14:paraId="671F9DF0">
      <w:pPr>
        <w:ind w:firstLine="420"/>
        <w:jc w:val="both"/>
      </w:pPr>
      <w:r>
        <w:rPr>
          <w:sz w:val="21"/>
          <w:szCs w:val="21"/>
        </w:rPr>
        <w:t xml:space="preserve">第二阶段（2018—2022年）发展转为最弱。生态指数由0.499升至0.686，发展则在0.484—0.539区间波动。这一阶段与新冠疫情高度重叠，2020年的回落应部分归因于此；但发展在2018年、2019年已分别为0.489、0.519，低于同期安全（0.617、0.615），说明发展相对滞后并非完全由疫情造成。</w:t>
      </w:r>
    </w:p>
    <w:p w14:paraId="42FAEFD5">
      <w:pPr>
        <w:ind w:firstLine="420"/>
        <w:jc w:val="both"/>
      </w:pPr>
      <w:r>
        <w:rPr>
          <w:sz w:val="21"/>
          <w:szCs w:val="21"/>
        </w:rPr>
        <w:t xml:space="preserve">第三阶段（2023—2025年）安全转为相对最弱。发展与生态同步快速提升，生态于2025年升至0.843并跃居首位；安全虽持续改善但速度相对趋缓，2025年仅比发展低0.003。</w:t>
      </w:r>
    </w:p>
    <w:p w14:paraId="2FCF8A95">
      <w:pPr>
        <w:spacing w:before="140" w:after="40"/>
        <w:jc w:val="center"/>
      </w:pPr>
      <w:r>
        <w:rPr>
          <w:rFonts w:eastAsia="黑体"/>
          <w:b/>
          <w:bCs/>
          <w:sz w:val="21"/>
          <w:szCs w:val="21"/>
        </w:rPr>
        <w:t>表3　2016</w:t>
      </w:r>
      <w:r>
        <w:rPr>
          <w:rFonts w:hint="eastAsia"/>
          <w:b/>
          <w:bCs/>
          <w:sz w:val="21"/>
          <w:szCs w:val="21"/>
        </w:rPr>
        <w:t>—</w:t>
      </w:r>
      <w:r>
        <w:rPr>
          <w:rFonts w:eastAsia="黑体"/>
          <w:b/>
          <w:bCs/>
          <w:sz w:val="21"/>
          <w:szCs w:val="21"/>
        </w:rPr>
        <w:t>2025年西藏三子系统综合指数与MPI协调指数（等权主设定）</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1760"/>
        <w:gridCol w:w="1760"/>
        <w:gridCol w:w="1760"/>
        <w:gridCol w:w="1760"/>
        <w:gridCol w:w="1760"/>
      </w:tblGrid>
      <w:tr w14:paraId="371DC99B">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804458D">
            <w:pPr>
              <w:spacing w:line="240" w:lineRule="auto"/>
              <w:jc w:val="center"/>
            </w:pPr>
            <w:r>
              <w:rPr>
                <w:b/>
                <w:bCs/>
                <w:sz w:val="18"/>
                <w:szCs w:val="18"/>
              </w:rPr>
              <w:t>年份</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6ED20BD">
            <w:pPr>
              <w:spacing w:line="240" w:lineRule="auto"/>
              <w:jc w:val="center"/>
            </w:pPr>
            <w:r>
              <w:rPr>
                <w:b/>
                <w:bCs/>
                <w:sz w:val="18"/>
                <w:szCs w:val="18"/>
              </w:rPr>
              <w:t>安全 U</w:t>
            </w:r>
            <w:r>
              <w:rPr>
                <w:b/>
                <w:bCs/>
                <w:sz w:val="18"/>
                <w:szCs w:val="18"/>
                <w:vertAlign w:val="subscript"/>
              </w:rPr>
              <w:t>S</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320DEFCB">
            <w:pPr>
              <w:spacing w:line="240" w:lineRule="auto"/>
              <w:jc w:val="center"/>
            </w:pPr>
            <w:r>
              <w:rPr>
                <w:b/>
                <w:bCs/>
                <w:sz w:val="18"/>
                <w:szCs w:val="18"/>
              </w:rPr>
              <w:t>发展 U</w:t>
            </w:r>
            <w:r>
              <w:rPr>
                <w:b/>
                <w:bCs/>
                <w:sz w:val="18"/>
                <w:szCs w:val="18"/>
                <w:vertAlign w:val="subscript"/>
              </w:rPr>
              <w:t>D</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5BB4FF42">
            <w:pPr>
              <w:spacing w:line="240" w:lineRule="auto"/>
              <w:jc w:val="center"/>
            </w:pPr>
            <w:r>
              <w:rPr>
                <w:b/>
                <w:bCs/>
                <w:sz w:val="18"/>
                <w:szCs w:val="18"/>
              </w:rPr>
              <w:t>生态 U</w:t>
            </w:r>
            <w:r>
              <w:rPr>
                <w:b/>
                <w:bCs/>
                <w:sz w:val="18"/>
                <w:szCs w:val="18"/>
                <w:vertAlign w:val="subscript"/>
              </w:rPr>
              <w:t>E</w:t>
            </w:r>
          </w:p>
        </w:tc>
        <w:tc>
          <w:tcPr>
            <w:tcW w:w="176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9B16FE0">
            <w:pPr>
              <w:spacing w:line="240" w:lineRule="auto"/>
              <w:jc w:val="center"/>
            </w:pPr>
            <w:r>
              <w:rPr>
                <w:b/>
                <w:bCs/>
                <w:sz w:val="18"/>
                <w:szCs w:val="18"/>
              </w:rPr>
              <w:t>MPI协调指数 D</w:t>
            </w:r>
          </w:p>
        </w:tc>
      </w:tr>
      <w:tr w14:paraId="732F42F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0CCC0200">
            <w:pPr>
              <w:spacing w:line="240" w:lineRule="auto"/>
              <w:jc w:val="center"/>
            </w:pPr>
            <w:r>
              <w:rPr>
                <w:sz w:val="18"/>
                <w:szCs w:val="18"/>
              </w:rPr>
              <w:t>2016</w:t>
            </w:r>
          </w:p>
        </w:tc>
        <w:tc>
          <w:tcPr>
            <w:tcW w:w="1760" w:type="dxa"/>
            <w:tcBorders>
              <w:top w:val="nil"/>
              <w:left w:val="nil"/>
              <w:bottom w:val="nil"/>
              <w:right w:val="nil"/>
            </w:tcBorders>
            <w:tcMar>
              <w:top w:w="20" w:type="dxa"/>
              <w:left w:w="40" w:type="dxa"/>
              <w:bottom w:w="20" w:type="dxa"/>
              <w:right w:w="40" w:type="dxa"/>
            </w:tcMar>
            <w:vAlign w:val="center"/>
          </w:tcPr>
          <w:p w14:paraId="09756071">
            <w:pPr>
              <w:spacing w:line="240" w:lineRule="auto"/>
              <w:jc w:val="center"/>
            </w:pPr>
            <w:r>
              <w:rPr>
                <w:sz w:val="18"/>
                <w:szCs w:val="18"/>
              </w:rPr>
              <w:t>0.537</w:t>
            </w:r>
          </w:p>
        </w:tc>
        <w:tc>
          <w:tcPr>
            <w:tcW w:w="1760" w:type="dxa"/>
            <w:tcBorders>
              <w:top w:val="nil"/>
              <w:left w:val="nil"/>
              <w:bottom w:val="nil"/>
              <w:right w:val="nil"/>
            </w:tcBorders>
            <w:tcMar>
              <w:top w:w="20" w:type="dxa"/>
              <w:left w:w="40" w:type="dxa"/>
              <w:bottom w:w="20" w:type="dxa"/>
              <w:right w:w="40" w:type="dxa"/>
            </w:tcMar>
            <w:vAlign w:val="center"/>
          </w:tcPr>
          <w:p w14:paraId="7701897E">
            <w:pPr>
              <w:spacing w:line="240" w:lineRule="auto"/>
              <w:jc w:val="center"/>
            </w:pPr>
            <w:r>
              <w:rPr>
                <w:sz w:val="18"/>
                <w:szCs w:val="18"/>
              </w:rPr>
              <w:t>0.467</w:t>
            </w:r>
          </w:p>
        </w:tc>
        <w:tc>
          <w:tcPr>
            <w:tcW w:w="1760" w:type="dxa"/>
            <w:tcBorders>
              <w:top w:val="nil"/>
              <w:left w:val="nil"/>
              <w:bottom w:val="nil"/>
              <w:right w:val="nil"/>
            </w:tcBorders>
            <w:tcMar>
              <w:top w:w="20" w:type="dxa"/>
              <w:left w:w="40" w:type="dxa"/>
              <w:bottom w:w="20" w:type="dxa"/>
              <w:right w:w="40" w:type="dxa"/>
            </w:tcMar>
            <w:vAlign w:val="center"/>
          </w:tcPr>
          <w:p w14:paraId="11049AB1">
            <w:pPr>
              <w:spacing w:line="240" w:lineRule="auto"/>
              <w:jc w:val="center"/>
            </w:pPr>
            <w:r>
              <w:rPr>
                <w:sz w:val="18"/>
                <w:szCs w:val="18"/>
              </w:rPr>
              <w:t>0.267</w:t>
            </w:r>
          </w:p>
        </w:tc>
        <w:tc>
          <w:tcPr>
            <w:tcW w:w="1760" w:type="dxa"/>
            <w:tcBorders>
              <w:top w:val="nil"/>
              <w:left w:val="nil"/>
              <w:bottom w:val="nil"/>
              <w:right w:val="nil"/>
            </w:tcBorders>
            <w:tcMar>
              <w:top w:w="20" w:type="dxa"/>
              <w:left w:w="40" w:type="dxa"/>
              <w:bottom w:w="20" w:type="dxa"/>
              <w:right w:w="40" w:type="dxa"/>
            </w:tcMar>
            <w:vAlign w:val="center"/>
          </w:tcPr>
          <w:p w14:paraId="78AF2BC6">
            <w:pPr>
              <w:spacing w:line="240" w:lineRule="auto"/>
              <w:jc w:val="center"/>
            </w:pPr>
            <w:r>
              <w:rPr>
                <w:sz w:val="18"/>
                <w:szCs w:val="18"/>
              </w:rPr>
              <w:t>0.393</w:t>
            </w:r>
          </w:p>
        </w:tc>
      </w:tr>
      <w:tr w14:paraId="1A515C1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728D744">
            <w:pPr>
              <w:spacing w:line="240" w:lineRule="auto"/>
              <w:jc w:val="center"/>
            </w:pPr>
            <w:r>
              <w:rPr>
                <w:sz w:val="18"/>
                <w:szCs w:val="18"/>
              </w:rPr>
              <w:t>2017</w:t>
            </w:r>
          </w:p>
        </w:tc>
        <w:tc>
          <w:tcPr>
            <w:tcW w:w="1760" w:type="dxa"/>
            <w:tcBorders>
              <w:top w:val="nil"/>
              <w:left w:val="nil"/>
              <w:bottom w:val="nil"/>
              <w:right w:val="nil"/>
            </w:tcBorders>
            <w:tcMar>
              <w:top w:w="20" w:type="dxa"/>
              <w:left w:w="40" w:type="dxa"/>
              <w:bottom w:w="20" w:type="dxa"/>
              <w:right w:w="40" w:type="dxa"/>
            </w:tcMar>
            <w:vAlign w:val="center"/>
          </w:tcPr>
          <w:p w14:paraId="74D74E4D">
            <w:pPr>
              <w:spacing w:line="240" w:lineRule="auto"/>
              <w:jc w:val="center"/>
            </w:pPr>
            <w:r>
              <w:rPr>
                <w:sz w:val="18"/>
                <w:szCs w:val="18"/>
              </w:rPr>
              <w:t>0.575</w:t>
            </w:r>
          </w:p>
        </w:tc>
        <w:tc>
          <w:tcPr>
            <w:tcW w:w="1760" w:type="dxa"/>
            <w:tcBorders>
              <w:top w:val="nil"/>
              <w:left w:val="nil"/>
              <w:bottom w:val="nil"/>
              <w:right w:val="nil"/>
            </w:tcBorders>
            <w:tcMar>
              <w:top w:w="20" w:type="dxa"/>
              <w:left w:w="40" w:type="dxa"/>
              <w:bottom w:w="20" w:type="dxa"/>
              <w:right w:w="40" w:type="dxa"/>
            </w:tcMar>
            <w:vAlign w:val="center"/>
          </w:tcPr>
          <w:p w14:paraId="02E3D0E5">
            <w:pPr>
              <w:spacing w:line="240" w:lineRule="auto"/>
              <w:jc w:val="center"/>
            </w:pPr>
            <w:r>
              <w:rPr>
                <w:sz w:val="18"/>
                <w:szCs w:val="18"/>
              </w:rPr>
              <w:t>0.483</w:t>
            </w:r>
          </w:p>
        </w:tc>
        <w:tc>
          <w:tcPr>
            <w:tcW w:w="1760" w:type="dxa"/>
            <w:tcBorders>
              <w:top w:val="nil"/>
              <w:left w:val="nil"/>
              <w:bottom w:val="nil"/>
              <w:right w:val="nil"/>
            </w:tcBorders>
            <w:tcMar>
              <w:top w:w="20" w:type="dxa"/>
              <w:left w:w="40" w:type="dxa"/>
              <w:bottom w:w="20" w:type="dxa"/>
              <w:right w:w="40" w:type="dxa"/>
            </w:tcMar>
            <w:vAlign w:val="center"/>
          </w:tcPr>
          <w:p w14:paraId="78D18A79">
            <w:pPr>
              <w:spacing w:line="240" w:lineRule="auto"/>
              <w:jc w:val="center"/>
            </w:pPr>
            <w:r>
              <w:rPr>
                <w:sz w:val="18"/>
                <w:szCs w:val="18"/>
              </w:rPr>
              <w:t>0.423</w:t>
            </w:r>
          </w:p>
        </w:tc>
        <w:tc>
          <w:tcPr>
            <w:tcW w:w="1760" w:type="dxa"/>
            <w:tcBorders>
              <w:top w:val="nil"/>
              <w:left w:val="nil"/>
              <w:bottom w:val="nil"/>
              <w:right w:val="nil"/>
            </w:tcBorders>
            <w:tcMar>
              <w:top w:w="20" w:type="dxa"/>
              <w:left w:w="40" w:type="dxa"/>
              <w:bottom w:w="20" w:type="dxa"/>
              <w:right w:w="40" w:type="dxa"/>
            </w:tcMar>
            <w:vAlign w:val="center"/>
          </w:tcPr>
          <w:p w14:paraId="19BA4763">
            <w:pPr>
              <w:spacing w:line="240" w:lineRule="auto"/>
              <w:jc w:val="center"/>
            </w:pPr>
            <w:r>
              <w:rPr>
                <w:sz w:val="18"/>
                <w:szCs w:val="18"/>
              </w:rPr>
              <w:t>0.486</w:t>
            </w:r>
          </w:p>
        </w:tc>
      </w:tr>
      <w:tr w14:paraId="4759A709">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3E467788">
            <w:pPr>
              <w:spacing w:line="240" w:lineRule="auto"/>
              <w:jc w:val="center"/>
            </w:pPr>
            <w:r>
              <w:rPr>
                <w:sz w:val="18"/>
                <w:szCs w:val="18"/>
              </w:rPr>
              <w:t>2018</w:t>
            </w:r>
          </w:p>
        </w:tc>
        <w:tc>
          <w:tcPr>
            <w:tcW w:w="1760" w:type="dxa"/>
            <w:tcBorders>
              <w:top w:val="nil"/>
              <w:left w:val="nil"/>
              <w:bottom w:val="nil"/>
              <w:right w:val="nil"/>
            </w:tcBorders>
            <w:tcMar>
              <w:top w:w="20" w:type="dxa"/>
              <w:left w:w="40" w:type="dxa"/>
              <w:bottom w:w="20" w:type="dxa"/>
              <w:right w:w="40" w:type="dxa"/>
            </w:tcMar>
            <w:vAlign w:val="center"/>
          </w:tcPr>
          <w:p w14:paraId="30647772">
            <w:pPr>
              <w:spacing w:line="240" w:lineRule="auto"/>
              <w:jc w:val="center"/>
            </w:pPr>
            <w:r>
              <w:rPr>
                <w:sz w:val="18"/>
                <w:szCs w:val="18"/>
              </w:rPr>
              <w:t>0.617</w:t>
            </w:r>
          </w:p>
        </w:tc>
        <w:tc>
          <w:tcPr>
            <w:tcW w:w="1760" w:type="dxa"/>
            <w:tcBorders>
              <w:top w:val="nil"/>
              <w:left w:val="nil"/>
              <w:bottom w:val="nil"/>
              <w:right w:val="nil"/>
            </w:tcBorders>
            <w:tcMar>
              <w:top w:w="20" w:type="dxa"/>
              <w:left w:w="40" w:type="dxa"/>
              <w:bottom w:w="20" w:type="dxa"/>
              <w:right w:w="40" w:type="dxa"/>
            </w:tcMar>
            <w:vAlign w:val="center"/>
          </w:tcPr>
          <w:p w14:paraId="19471E7E">
            <w:pPr>
              <w:spacing w:line="240" w:lineRule="auto"/>
              <w:jc w:val="center"/>
            </w:pPr>
            <w:r>
              <w:rPr>
                <w:sz w:val="18"/>
                <w:szCs w:val="18"/>
              </w:rPr>
              <w:t>0.489</w:t>
            </w:r>
          </w:p>
        </w:tc>
        <w:tc>
          <w:tcPr>
            <w:tcW w:w="1760" w:type="dxa"/>
            <w:tcBorders>
              <w:top w:val="nil"/>
              <w:left w:val="nil"/>
              <w:bottom w:val="nil"/>
              <w:right w:val="nil"/>
            </w:tcBorders>
            <w:tcMar>
              <w:top w:w="20" w:type="dxa"/>
              <w:left w:w="40" w:type="dxa"/>
              <w:bottom w:w="20" w:type="dxa"/>
              <w:right w:w="40" w:type="dxa"/>
            </w:tcMar>
            <w:vAlign w:val="center"/>
          </w:tcPr>
          <w:p w14:paraId="58698597">
            <w:pPr>
              <w:spacing w:line="240" w:lineRule="auto"/>
              <w:jc w:val="center"/>
            </w:pPr>
            <w:r>
              <w:rPr>
                <w:sz w:val="18"/>
                <w:szCs w:val="18"/>
              </w:rPr>
              <w:t>0.499</w:t>
            </w:r>
          </w:p>
        </w:tc>
        <w:tc>
          <w:tcPr>
            <w:tcW w:w="1760" w:type="dxa"/>
            <w:tcBorders>
              <w:top w:val="nil"/>
              <w:left w:val="nil"/>
              <w:bottom w:val="nil"/>
              <w:right w:val="nil"/>
            </w:tcBorders>
            <w:tcMar>
              <w:top w:w="20" w:type="dxa"/>
              <w:left w:w="40" w:type="dxa"/>
              <w:bottom w:w="20" w:type="dxa"/>
              <w:right w:w="40" w:type="dxa"/>
            </w:tcMar>
            <w:vAlign w:val="center"/>
          </w:tcPr>
          <w:p w14:paraId="6336C613">
            <w:pPr>
              <w:spacing w:line="240" w:lineRule="auto"/>
              <w:jc w:val="center"/>
            </w:pPr>
            <w:r>
              <w:rPr>
                <w:sz w:val="18"/>
                <w:szCs w:val="18"/>
              </w:rPr>
              <w:t>0.528</w:t>
            </w:r>
          </w:p>
        </w:tc>
      </w:tr>
      <w:tr w14:paraId="43B327C6">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5569DFD5">
            <w:pPr>
              <w:spacing w:line="240" w:lineRule="auto"/>
              <w:jc w:val="center"/>
            </w:pPr>
            <w:r>
              <w:rPr>
                <w:sz w:val="18"/>
                <w:szCs w:val="18"/>
              </w:rPr>
              <w:t>2019</w:t>
            </w:r>
          </w:p>
        </w:tc>
        <w:tc>
          <w:tcPr>
            <w:tcW w:w="1760" w:type="dxa"/>
            <w:tcBorders>
              <w:top w:val="nil"/>
              <w:left w:val="nil"/>
              <w:bottom w:val="nil"/>
              <w:right w:val="nil"/>
            </w:tcBorders>
            <w:tcMar>
              <w:top w:w="20" w:type="dxa"/>
              <w:left w:w="40" w:type="dxa"/>
              <w:bottom w:w="20" w:type="dxa"/>
              <w:right w:w="40" w:type="dxa"/>
            </w:tcMar>
            <w:vAlign w:val="center"/>
          </w:tcPr>
          <w:p w14:paraId="59BCC6DE">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3A262058">
            <w:pPr>
              <w:spacing w:line="240" w:lineRule="auto"/>
              <w:jc w:val="center"/>
            </w:pPr>
            <w:r>
              <w:rPr>
                <w:sz w:val="18"/>
                <w:szCs w:val="18"/>
              </w:rPr>
              <w:t>0.519</w:t>
            </w:r>
          </w:p>
        </w:tc>
        <w:tc>
          <w:tcPr>
            <w:tcW w:w="1760" w:type="dxa"/>
            <w:tcBorders>
              <w:top w:val="nil"/>
              <w:left w:val="nil"/>
              <w:bottom w:val="nil"/>
              <w:right w:val="nil"/>
            </w:tcBorders>
            <w:tcMar>
              <w:top w:w="20" w:type="dxa"/>
              <w:left w:w="40" w:type="dxa"/>
              <w:bottom w:w="20" w:type="dxa"/>
              <w:right w:w="40" w:type="dxa"/>
            </w:tcMar>
            <w:vAlign w:val="center"/>
          </w:tcPr>
          <w:p w14:paraId="63B3A6CF">
            <w:pPr>
              <w:spacing w:line="240" w:lineRule="auto"/>
              <w:jc w:val="center"/>
            </w:pPr>
            <w:r>
              <w:rPr>
                <w:sz w:val="18"/>
                <w:szCs w:val="18"/>
              </w:rPr>
              <w:t>0.542</w:t>
            </w:r>
          </w:p>
        </w:tc>
        <w:tc>
          <w:tcPr>
            <w:tcW w:w="1760" w:type="dxa"/>
            <w:tcBorders>
              <w:top w:val="nil"/>
              <w:left w:val="nil"/>
              <w:bottom w:val="nil"/>
              <w:right w:val="nil"/>
            </w:tcBorders>
            <w:tcMar>
              <w:top w:w="20" w:type="dxa"/>
              <w:left w:w="40" w:type="dxa"/>
              <w:bottom w:w="20" w:type="dxa"/>
              <w:right w:w="40" w:type="dxa"/>
            </w:tcMar>
            <w:vAlign w:val="center"/>
          </w:tcPr>
          <w:p w14:paraId="7E13410A">
            <w:pPr>
              <w:spacing w:line="240" w:lineRule="auto"/>
              <w:jc w:val="center"/>
            </w:pPr>
            <w:r>
              <w:rPr>
                <w:sz w:val="18"/>
                <w:szCs w:val="18"/>
              </w:rPr>
              <w:t>0.556</w:t>
            </w:r>
          </w:p>
        </w:tc>
      </w:tr>
      <w:tr w14:paraId="4D28929A">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4B09BC9B">
            <w:pPr>
              <w:spacing w:line="240" w:lineRule="auto"/>
              <w:jc w:val="center"/>
            </w:pPr>
            <w:r>
              <w:rPr>
                <w:sz w:val="18"/>
                <w:szCs w:val="18"/>
              </w:rPr>
              <w:t>2020</w:t>
            </w:r>
          </w:p>
        </w:tc>
        <w:tc>
          <w:tcPr>
            <w:tcW w:w="1760" w:type="dxa"/>
            <w:tcBorders>
              <w:top w:val="nil"/>
              <w:left w:val="nil"/>
              <w:bottom w:val="nil"/>
              <w:right w:val="nil"/>
            </w:tcBorders>
            <w:tcMar>
              <w:top w:w="20" w:type="dxa"/>
              <w:left w:w="40" w:type="dxa"/>
              <w:bottom w:w="20" w:type="dxa"/>
              <w:right w:w="40" w:type="dxa"/>
            </w:tcMar>
            <w:vAlign w:val="center"/>
          </w:tcPr>
          <w:p w14:paraId="4F9572CE">
            <w:pPr>
              <w:spacing w:line="240" w:lineRule="auto"/>
              <w:jc w:val="center"/>
            </w:pPr>
            <w:r>
              <w:rPr>
                <w:sz w:val="18"/>
                <w:szCs w:val="18"/>
              </w:rPr>
              <w:t>0.619</w:t>
            </w:r>
          </w:p>
        </w:tc>
        <w:tc>
          <w:tcPr>
            <w:tcW w:w="1760" w:type="dxa"/>
            <w:tcBorders>
              <w:top w:val="nil"/>
              <w:left w:val="nil"/>
              <w:bottom w:val="nil"/>
              <w:right w:val="nil"/>
            </w:tcBorders>
            <w:tcMar>
              <w:top w:w="20" w:type="dxa"/>
              <w:left w:w="40" w:type="dxa"/>
              <w:bottom w:w="20" w:type="dxa"/>
              <w:right w:w="40" w:type="dxa"/>
            </w:tcMar>
            <w:vAlign w:val="center"/>
          </w:tcPr>
          <w:p w14:paraId="33622347">
            <w:pPr>
              <w:spacing w:line="240" w:lineRule="auto"/>
              <w:jc w:val="center"/>
            </w:pPr>
            <w:r>
              <w:rPr>
                <w:sz w:val="18"/>
                <w:szCs w:val="18"/>
              </w:rPr>
              <w:t>0.484</w:t>
            </w:r>
          </w:p>
        </w:tc>
        <w:tc>
          <w:tcPr>
            <w:tcW w:w="1760" w:type="dxa"/>
            <w:tcBorders>
              <w:top w:val="nil"/>
              <w:left w:val="nil"/>
              <w:bottom w:val="nil"/>
              <w:right w:val="nil"/>
            </w:tcBorders>
            <w:tcMar>
              <w:top w:w="20" w:type="dxa"/>
              <w:left w:w="40" w:type="dxa"/>
              <w:bottom w:w="20" w:type="dxa"/>
              <w:right w:w="40" w:type="dxa"/>
            </w:tcMar>
            <w:vAlign w:val="center"/>
          </w:tcPr>
          <w:p w14:paraId="56F0177C">
            <w:pPr>
              <w:spacing w:line="240" w:lineRule="auto"/>
              <w:jc w:val="center"/>
            </w:pPr>
            <w:r>
              <w:rPr>
                <w:sz w:val="18"/>
                <w:szCs w:val="18"/>
              </w:rPr>
              <w:t>0.634</w:t>
            </w:r>
          </w:p>
        </w:tc>
        <w:tc>
          <w:tcPr>
            <w:tcW w:w="1760" w:type="dxa"/>
            <w:tcBorders>
              <w:top w:val="nil"/>
              <w:left w:val="nil"/>
              <w:bottom w:val="nil"/>
              <w:right w:val="nil"/>
            </w:tcBorders>
            <w:tcMar>
              <w:top w:w="20" w:type="dxa"/>
              <w:left w:w="40" w:type="dxa"/>
              <w:bottom w:w="20" w:type="dxa"/>
              <w:right w:w="40" w:type="dxa"/>
            </w:tcMar>
            <w:vAlign w:val="center"/>
          </w:tcPr>
          <w:p w14:paraId="53C1CED5">
            <w:pPr>
              <w:spacing w:line="240" w:lineRule="auto"/>
              <w:jc w:val="center"/>
            </w:pPr>
            <w:r>
              <w:rPr>
                <w:sz w:val="18"/>
                <w:szCs w:val="18"/>
              </w:rPr>
              <w:t>0.571</w:t>
            </w:r>
          </w:p>
        </w:tc>
      </w:tr>
      <w:tr w14:paraId="2CAD5EF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288CF3E4">
            <w:pPr>
              <w:spacing w:line="240" w:lineRule="auto"/>
              <w:jc w:val="center"/>
            </w:pPr>
            <w:r>
              <w:rPr>
                <w:sz w:val="18"/>
                <w:szCs w:val="18"/>
              </w:rPr>
              <w:t>2021</w:t>
            </w:r>
          </w:p>
        </w:tc>
        <w:tc>
          <w:tcPr>
            <w:tcW w:w="1760" w:type="dxa"/>
            <w:tcBorders>
              <w:top w:val="nil"/>
              <w:left w:val="nil"/>
              <w:bottom w:val="nil"/>
              <w:right w:val="nil"/>
            </w:tcBorders>
            <w:tcMar>
              <w:top w:w="20" w:type="dxa"/>
              <w:left w:w="40" w:type="dxa"/>
              <w:bottom w:w="20" w:type="dxa"/>
              <w:right w:w="40" w:type="dxa"/>
            </w:tcMar>
            <w:vAlign w:val="center"/>
          </w:tcPr>
          <w:p w14:paraId="4275326B">
            <w:pPr>
              <w:spacing w:line="240" w:lineRule="auto"/>
              <w:jc w:val="center"/>
            </w:pPr>
            <w:r>
              <w:rPr>
                <w:sz w:val="18"/>
                <w:szCs w:val="18"/>
              </w:rPr>
              <w:t>0.626</w:t>
            </w:r>
          </w:p>
        </w:tc>
        <w:tc>
          <w:tcPr>
            <w:tcW w:w="1760" w:type="dxa"/>
            <w:tcBorders>
              <w:top w:val="nil"/>
              <w:left w:val="nil"/>
              <w:bottom w:val="nil"/>
              <w:right w:val="nil"/>
            </w:tcBorders>
            <w:tcMar>
              <w:top w:w="20" w:type="dxa"/>
              <w:left w:w="40" w:type="dxa"/>
              <w:bottom w:w="20" w:type="dxa"/>
              <w:right w:w="40" w:type="dxa"/>
            </w:tcMar>
            <w:vAlign w:val="center"/>
          </w:tcPr>
          <w:p w14:paraId="251BFC61">
            <w:pPr>
              <w:spacing w:line="240" w:lineRule="auto"/>
              <w:jc w:val="center"/>
            </w:pPr>
            <w:r>
              <w:rPr>
                <w:sz w:val="18"/>
                <w:szCs w:val="18"/>
              </w:rPr>
              <w:t>0.528</w:t>
            </w:r>
          </w:p>
        </w:tc>
        <w:tc>
          <w:tcPr>
            <w:tcW w:w="1760" w:type="dxa"/>
            <w:tcBorders>
              <w:top w:val="nil"/>
              <w:left w:val="nil"/>
              <w:bottom w:val="nil"/>
              <w:right w:val="nil"/>
            </w:tcBorders>
            <w:tcMar>
              <w:top w:w="20" w:type="dxa"/>
              <w:left w:w="40" w:type="dxa"/>
              <w:bottom w:w="20" w:type="dxa"/>
              <w:right w:w="40" w:type="dxa"/>
            </w:tcMar>
            <w:vAlign w:val="center"/>
          </w:tcPr>
          <w:p w14:paraId="3DADCFFC">
            <w:pPr>
              <w:spacing w:line="240" w:lineRule="auto"/>
              <w:jc w:val="center"/>
            </w:pPr>
            <w:r>
              <w:rPr>
                <w:sz w:val="18"/>
                <w:szCs w:val="18"/>
              </w:rPr>
              <w:t>0.657</w:t>
            </w:r>
          </w:p>
        </w:tc>
        <w:tc>
          <w:tcPr>
            <w:tcW w:w="1760" w:type="dxa"/>
            <w:tcBorders>
              <w:top w:val="nil"/>
              <w:left w:val="nil"/>
              <w:bottom w:val="nil"/>
              <w:right w:val="nil"/>
            </w:tcBorders>
            <w:tcMar>
              <w:top w:w="20" w:type="dxa"/>
              <w:left w:w="40" w:type="dxa"/>
              <w:bottom w:w="20" w:type="dxa"/>
              <w:right w:w="40" w:type="dxa"/>
            </w:tcMar>
            <w:vAlign w:val="center"/>
          </w:tcPr>
          <w:p w14:paraId="5010B99B">
            <w:pPr>
              <w:spacing w:line="240" w:lineRule="auto"/>
              <w:jc w:val="center"/>
            </w:pPr>
            <w:r>
              <w:rPr>
                <w:sz w:val="18"/>
                <w:szCs w:val="18"/>
              </w:rPr>
              <w:t>0.598</w:t>
            </w:r>
          </w:p>
        </w:tc>
      </w:tr>
      <w:tr w14:paraId="058279E8">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22082D9">
            <w:pPr>
              <w:spacing w:line="240" w:lineRule="auto"/>
              <w:jc w:val="center"/>
            </w:pPr>
            <w:r>
              <w:rPr>
                <w:sz w:val="18"/>
                <w:szCs w:val="18"/>
              </w:rPr>
              <w:t>2022</w:t>
            </w:r>
          </w:p>
        </w:tc>
        <w:tc>
          <w:tcPr>
            <w:tcW w:w="1760" w:type="dxa"/>
            <w:tcBorders>
              <w:top w:val="nil"/>
              <w:left w:val="nil"/>
              <w:bottom w:val="nil"/>
              <w:right w:val="nil"/>
            </w:tcBorders>
            <w:tcMar>
              <w:top w:w="20" w:type="dxa"/>
              <w:left w:w="40" w:type="dxa"/>
              <w:bottom w:w="20" w:type="dxa"/>
              <w:right w:w="40" w:type="dxa"/>
            </w:tcMar>
            <w:vAlign w:val="center"/>
          </w:tcPr>
          <w:p w14:paraId="044867E6">
            <w:pPr>
              <w:spacing w:line="240" w:lineRule="auto"/>
              <w:jc w:val="center"/>
            </w:pPr>
            <w:r>
              <w:rPr>
                <w:sz w:val="18"/>
                <w:szCs w:val="18"/>
              </w:rPr>
              <w:t>0.615</w:t>
            </w:r>
          </w:p>
        </w:tc>
        <w:tc>
          <w:tcPr>
            <w:tcW w:w="1760" w:type="dxa"/>
            <w:tcBorders>
              <w:top w:val="nil"/>
              <w:left w:val="nil"/>
              <w:bottom w:val="nil"/>
              <w:right w:val="nil"/>
            </w:tcBorders>
            <w:tcMar>
              <w:top w:w="20" w:type="dxa"/>
              <w:left w:w="40" w:type="dxa"/>
              <w:bottom w:w="20" w:type="dxa"/>
              <w:right w:w="40" w:type="dxa"/>
            </w:tcMar>
            <w:vAlign w:val="center"/>
          </w:tcPr>
          <w:p w14:paraId="68C68458">
            <w:pPr>
              <w:spacing w:line="240" w:lineRule="auto"/>
              <w:jc w:val="center"/>
            </w:pPr>
            <w:r>
              <w:rPr>
                <w:sz w:val="18"/>
                <w:szCs w:val="18"/>
              </w:rPr>
              <w:t>0.539</w:t>
            </w:r>
          </w:p>
        </w:tc>
        <w:tc>
          <w:tcPr>
            <w:tcW w:w="1760" w:type="dxa"/>
            <w:tcBorders>
              <w:top w:val="nil"/>
              <w:left w:val="nil"/>
              <w:bottom w:val="nil"/>
              <w:right w:val="nil"/>
            </w:tcBorders>
            <w:tcMar>
              <w:top w:w="20" w:type="dxa"/>
              <w:left w:w="40" w:type="dxa"/>
              <w:bottom w:w="20" w:type="dxa"/>
              <w:right w:w="40" w:type="dxa"/>
            </w:tcMar>
            <w:vAlign w:val="center"/>
          </w:tcPr>
          <w:p w14:paraId="22D0211A">
            <w:pPr>
              <w:spacing w:line="240" w:lineRule="auto"/>
              <w:jc w:val="center"/>
            </w:pPr>
            <w:r>
              <w:rPr>
                <w:sz w:val="18"/>
                <w:szCs w:val="18"/>
              </w:rPr>
              <w:t>0.686</w:t>
            </w:r>
          </w:p>
        </w:tc>
        <w:tc>
          <w:tcPr>
            <w:tcW w:w="1760" w:type="dxa"/>
            <w:tcBorders>
              <w:top w:val="nil"/>
              <w:left w:val="nil"/>
              <w:bottom w:val="nil"/>
              <w:right w:val="nil"/>
            </w:tcBorders>
            <w:tcMar>
              <w:top w:w="20" w:type="dxa"/>
              <w:left w:w="40" w:type="dxa"/>
              <w:bottom w:w="20" w:type="dxa"/>
              <w:right w:w="40" w:type="dxa"/>
            </w:tcMar>
            <w:vAlign w:val="center"/>
          </w:tcPr>
          <w:p w14:paraId="2592A2F6">
            <w:pPr>
              <w:spacing w:line="240" w:lineRule="auto"/>
              <w:jc w:val="center"/>
            </w:pPr>
            <w:r>
              <w:rPr>
                <w:sz w:val="18"/>
                <w:szCs w:val="18"/>
              </w:rPr>
              <w:t>0.607</w:t>
            </w:r>
          </w:p>
        </w:tc>
      </w:tr>
      <w:tr w14:paraId="66C0E0AE">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798B7825">
            <w:pPr>
              <w:spacing w:line="240" w:lineRule="auto"/>
              <w:jc w:val="center"/>
            </w:pPr>
            <w:r>
              <w:rPr>
                <w:sz w:val="18"/>
                <w:szCs w:val="18"/>
              </w:rPr>
              <w:t>2023</w:t>
            </w:r>
          </w:p>
        </w:tc>
        <w:tc>
          <w:tcPr>
            <w:tcW w:w="1760" w:type="dxa"/>
            <w:tcBorders>
              <w:top w:val="nil"/>
              <w:left w:val="nil"/>
              <w:bottom w:val="nil"/>
              <w:right w:val="nil"/>
            </w:tcBorders>
            <w:tcMar>
              <w:top w:w="20" w:type="dxa"/>
              <w:left w:w="40" w:type="dxa"/>
              <w:bottom w:w="20" w:type="dxa"/>
              <w:right w:w="40" w:type="dxa"/>
            </w:tcMar>
            <w:vAlign w:val="center"/>
          </w:tcPr>
          <w:p w14:paraId="768D0C7D">
            <w:pPr>
              <w:spacing w:line="240" w:lineRule="auto"/>
              <w:jc w:val="center"/>
            </w:pPr>
            <w:r>
              <w:rPr>
                <w:sz w:val="18"/>
                <w:szCs w:val="18"/>
              </w:rPr>
              <w:t>0.661</w:t>
            </w:r>
          </w:p>
        </w:tc>
        <w:tc>
          <w:tcPr>
            <w:tcW w:w="1760" w:type="dxa"/>
            <w:tcBorders>
              <w:top w:val="nil"/>
              <w:left w:val="nil"/>
              <w:bottom w:val="nil"/>
              <w:right w:val="nil"/>
            </w:tcBorders>
            <w:tcMar>
              <w:top w:w="20" w:type="dxa"/>
              <w:left w:w="40" w:type="dxa"/>
              <w:bottom w:w="20" w:type="dxa"/>
              <w:right w:w="40" w:type="dxa"/>
            </w:tcMar>
            <w:vAlign w:val="center"/>
          </w:tcPr>
          <w:p w14:paraId="1C250ABA">
            <w:pPr>
              <w:spacing w:line="240" w:lineRule="auto"/>
              <w:jc w:val="center"/>
            </w:pPr>
            <w:r>
              <w:rPr>
                <w:sz w:val="18"/>
                <w:szCs w:val="18"/>
              </w:rPr>
              <w:t>0.672</w:t>
            </w:r>
          </w:p>
        </w:tc>
        <w:tc>
          <w:tcPr>
            <w:tcW w:w="1760" w:type="dxa"/>
            <w:tcBorders>
              <w:top w:val="nil"/>
              <w:left w:val="nil"/>
              <w:bottom w:val="nil"/>
              <w:right w:val="nil"/>
            </w:tcBorders>
            <w:tcMar>
              <w:top w:w="20" w:type="dxa"/>
              <w:left w:w="40" w:type="dxa"/>
              <w:bottom w:w="20" w:type="dxa"/>
              <w:right w:w="40" w:type="dxa"/>
            </w:tcMar>
            <w:vAlign w:val="center"/>
          </w:tcPr>
          <w:p w14:paraId="54194A06">
            <w:pPr>
              <w:spacing w:line="240" w:lineRule="auto"/>
              <w:jc w:val="center"/>
            </w:pPr>
            <w:r>
              <w:rPr>
                <w:sz w:val="18"/>
                <w:szCs w:val="18"/>
              </w:rPr>
              <w:t>0.710</w:t>
            </w:r>
          </w:p>
        </w:tc>
        <w:tc>
          <w:tcPr>
            <w:tcW w:w="1760" w:type="dxa"/>
            <w:tcBorders>
              <w:top w:val="nil"/>
              <w:left w:val="nil"/>
              <w:bottom w:val="nil"/>
              <w:right w:val="nil"/>
            </w:tcBorders>
            <w:tcMar>
              <w:top w:w="20" w:type="dxa"/>
              <w:left w:w="40" w:type="dxa"/>
              <w:bottom w:w="20" w:type="dxa"/>
              <w:right w:w="40" w:type="dxa"/>
            </w:tcMar>
            <w:vAlign w:val="center"/>
          </w:tcPr>
          <w:p w14:paraId="6939BAD1">
            <w:pPr>
              <w:spacing w:line="240" w:lineRule="auto"/>
              <w:jc w:val="center"/>
            </w:pPr>
            <w:r>
              <w:rPr>
                <w:sz w:val="18"/>
                <w:szCs w:val="18"/>
              </w:rPr>
              <w:t>0.680</w:t>
            </w:r>
          </w:p>
        </w:tc>
      </w:tr>
      <w:tr w14:paraId="7DFB6C24">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nil"/>
              <w:right w:val="nil"/>
            </w:tcBorders>
            <w:tcMar>
              <w:top w:w="20" w:type="dxa"/>
              <w:left w:w="40" w:type="dxa"/>
              <w:bottom w:w="20" w:type="dxa"/>
              <w:right w:w="40" w:type="dxa"/>
            </w:tcMar>
            <w:vAlign w:val="center"/>
          </w:tcPr>
          <w:p w14:paraId="10785D9D">
            <w:pPr>
              <w:spacing w:line="240" w:lineRule="auto"/>
              <w:jc w:val="center"/>
            </w:pPr>
            <w:r>
              <w:rPr>
                <w:sz w:val="18"/>
                <w:szCs w:val="18"/>
              </w:rPr>
              <w:t>2024</w:t>
            </w:r>
          </w:p>
        </w:tc>
        <w:tc>
          <w:tcPr>
            <w:tcW w:w="1760" w:type="dxa"/>
            <w:tcBorders>
              <w:top w:val="nil"/>
              <w:left w:val="nil"/>
              <w:bottom w:val="nil"/>
              <w:right w:val="nil"/>
            </w:tcBorders>
            <w:tcMar>
              <w:top w:w="20" w:type="dxa"/>
              <w:left w:w="40" w:type="dxa"/>
              <w:bottom w:w="20" w:type="dxa"/>
              <w:right w:w="40" w:type="dxa"/>
            </w:tcMar>
            <w:vAlign w:val="center"/>
          </w:tcPr>
          <w:p w14:paraId="74AC00D0">
            <w:pPr>
              <w:spacing w:line="240" w:lineRule="auto"/>
              <w:jc w:val="center"/>
            </w:pPr>
            <w:r>
              <w:rPr>
                <w:sz w:val="18"/>
                <w:szCs w:val="18"/>
              </w:rPr>
              <w:t>0.688</w:t>
            </w:r>
          </w:p>
        </w:tc>
        <w:tc>
          <w:tcPr>
            <w:tcW w:w="1760" w:type="dxa"/>
            <w:tcBorders>
              <w:top w:val="nil"/>
              <w:left w:val="nil"/>
              <w:bottom w:val="nil"/>
              <w:right w:val="nil"/>
            </w:tcBorders>
            <w:tcMar>
              <w:top w:w="20" w:type="dxa"/>
              <w:left w:w="40" w:type="dxa"/>
              <w:bottom w:w="20" w:type="dxa"/>
              <w:right w:w="40" w:type="dxa"/>
            </w:tcMar>
            <w:vAlign w:val="center"/>
          </w:tcPr>
          <w:p w14:paraId="05A80EEC">
            <w:pPr>
              <w:spacing w:line="240" w:lineRule="auto"/>
              <w:jc w:val="center"/>
            </w:pPr>
            <w:r>
              <w:rPr>
                <w:sz w:val="18"/>
                <w:szCs w:val="18"/>
              </w:rPr>
              <w:t>0.713</w:t>
            </w:r>
          </w:p>
        </w:tc>
        <w:tc>
          <w:tcPr>
            <w:tcW w:w="1760" w:type="dxa"/>
            <w:tcBorders>
              <w:top w:val="nil"/>
              <w:left w:val="nil"/>
              <w:bottom w:val="nil"/>
              <w:right w:val="nil"/>
            </w:tcBorders>
            <w:tcMar>
              <w:top w:w="20" w:type="dxa"/>
              <w:left w:w="40" w:type="dxa"/>
              <w:bottom w:w="20" w:type="dxa"/>
              <w:right w:w="40" w:type="dxa"/>
            </w:tcMar>
            <w:vAlign w:val="center"/>
          </w:tcPr>
          <w:p w14:paraId="1B5121D1">
            <w:pPr>
              <w:spacing w:line="240" w:lineRule="auto"/>
              <w:jc w:val="center"/>
            </w:pPr>
            <w:r>
              <w:rPr>
                <w:sz w:val="18"/>
                <w:szCs w:val="18"/>
              </w:rPr>
              <w:t>0.733</w:t>
            </w:r>
          </w:p>
        </w:tc>
        <w:tc>
          <w:tcPr>
            <w:tcW w:w="1760" w:type="dxa"/>
            <w:tcBorders>
              <w:top w:val="nil"/>
              <w:left w:val="nil"/>
              <w:bottom w:val="nil"/>
              <w:right w:val="nil"/>
            </w:tcBorders>
            <w:tcMar>
              <w:top w:w="20" w:type="dxa"/>
              <w:left w:w="40" w:type="dxa"/>
              <w:bottom w:w="20" w:type="dxa"/>
              <w:right w:w="40" w:type="dxa"/>
            </w:tcMar>
            <w:vAlign w:val="center"/>
          </w:tcPr>
          <w:p w14:paraId="128B1D9B">
            <w:pPr>
              <w:spacing w:line="240" w:lineRule="auto"/>
              <w:jc w:val="center"/>
            </w:pPr>
            <w:r>
              <w:rPr>
                <w:sz w:val="18"/>
                <w:szCs w:val="18"/>
              </w:rPr>
              <w:t>0.711</w:t>
            </w:r>
          </w:p>
        </w:tc>
      </w:tr>
      <w:tr w14:paraId="66CF5BF1">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1760" w:type="dxa"/>
            <w:tcBorders>
              <w:top w:val="nil"/>
              <w:left w:val="nil"/>
              <w:bottom w:val="single" w:color="000000" w:sz="12" w:space="0"/>
              <w:right w:val="nil"/>
            </w:tcBorders>
            <w:tcMar>
              <w:top w:w="20" w:type="dxa"/>
              <w:left w:w="40" w:type="dxa"/>
              <w:bottom w:w="20" w:type="dxa"/>
              <w:right w:w="40" w:type="dxa"/>
            </w:tcMar>
            <w:vAlign w:val="center"/>
          </w:tcPr>
          <w:p w14:paraId="3170A10F">
            <w:pPr>
              <w:spacing w:line="240" w:lineRule="auto"/>
              <w:jc w:val="center"/>
            </w:pPr>
            <w:r>
              <w:rPr>
                <w:sz w:val="18"/>
                <w:szCs w:val="18"/>
              </w:rPr>
              <w:t>2025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8DF7937">
            <w:pPr>
              <w:spacing w:line="240" w:lineRule="auto"/>
              <w:jc w:val="center"/>
            </w:pPr>
            <w:r>
              <w:rPr>
                <w:sz w:val="18"/>
                <w:szCs w:val="18"/>
              </w:rPr>
              <w:t>0.715</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03A18BC">
            <w:pPr>
              <w:spacing w:line="240" w:lineRule="auto"/>
              <w:jc w:val="center"/>
            </w:pPr>
            <w:r>
              <w:rPr>
                <w:sz w:val="18"/>
                <w:szCs w:val="18"/>
              </w:rPr>
              <w:t>0.718</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0FD3B167">
            <w:pPr>
              <w:spacing w:line="240" w:lineRule="auto"/>
              <w:jc w:val="center"/>
            </w:pPr>
            <w:r>
              <w:rPr>
                <w:sz w:val="18"/>
                <w:szCs w:val="18"/>
              </w:rPr>
              <w:t>0.843</w:t>
            </w:r>
          </w:p>
        </w:tc>
        <w:tc>
          <w:tcPr>
            <w:tcW w:w="1760" w:type="dxa"/>
            <w:tcBorders>
              <w:top w:val="nil"/>
              <w:left w:val="nil"/>
              <w:bottom w:val="single" w:color="000000" w:sz="12" w:space="0"/>
              <w:right w:val="nil"/>
            </w:tcBorders>
            <w:tcMar>
              <w:top w:w="20" w:type="dxa"/>
              <w:left w:w="40" w:type="dxa"/>
              <w:bottom w:w="20" w:type="dxa"/>
              <w:right w:w="40" w:type="dxa"/>
            </w:tcMar>
            <w:vAlign w:val="center"/>
          </w:tcPr>
          <w:p w14:paraId="47496C5F">
            <w:pPr>
              <w:spacing w:line="240" w:lineRule="auto"/>
              <w:jc w:val="center"/>
            </w:pPr>
            <w:r>
              <w:rPr>
                <w:sz w:val="18"/>
                <w:szCs w:val="18"/>
              </w:rPr>
              <w:t>0.754</w:t>
            </w:r>
          </w:p>
        </w:tc>
      </w:tr>
    </w:tbl>
    <w:p w14:paraId="3C0707D0">
      <w:pPr>
        <w:spacing w:before="30" w:after="140"/>
      </w:pPr>
      <w:r>
        <w:rPr>
          <w:sz w:val="18"/>
          <w:szCs w:val="18"/>
        </w:rPr>
        <w:t>注：样本期内MPI测算结果均落在0</w:t>
      </w:r>
      <w:r>
        <w:rPr>
          <w:rFonts w:hint="eastAsia"/>
          <w:sz w:val="18"/>
          <w:szCs w:val="18"/>
        </w:rPr>
        <w:t>—</w:t>
      </w:r>
      <w:r>
        <w:rPr>
          <w:sz w:val="18"/>
          <w:szCs w:val="18"/>
        </w:rPr>
        <w:t>1区间，数值越高表示水平与均衡程度的综合表现越好；</w:t>
      </w:r>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MPI</m:t>
            </m:r>
            <m:ctrlPr>
              <w:rPr>
                <w:rFonts w:ascii="Cambria Math" w:hAnsi="Cambria Math"/>
              </w:rPr>
            </m:ctrlPr>
          </m:sub>
        </m:sSub>
        <m:r>
          <m:rPr/>
          <w:rPr>
            <w:rFonts w:ascii="Cambria Math" w:hAnsi="Cambria Math"/>
          </w:rPr>
          <m:t>=M−</m:t>
        </m:r>
        <m:sSup>
          <m:sSupPr>
            <m:ctrlPr>
              <w:rPr>
                <w:rFonts w:ascii="Cambria Math" w:hAnsi="Cambria Math"/>
              </w:rPr>
            </m:ctrlPr>
          </m:sSupPr>
          <m:e>
            <m:r>
              <m:rPr/>
              <w:rPr>
                <w:rFonts w:ascii="Cambria Math" w:hAnsi="Cambria Math"/>
              </w:rPr>
              <m:t>S</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m:t>
        </m:r>
      </m:oMath>
      <w:r>
        <w:rPr>
          <w:sz w:val="18"/>
          <w:szCs w:val="18"/>
        </w:rPr>
        <w:t>在理论上并不恒为非负，当失衡极端严重时可能取负值，本文样本期内未出现这一情形。MPI不设固定的十级等级标准，仅作水平高低的定性描述。</w:t>
      </w:r>
    </w:p>
    <w:p w14:paraId="0EE64151">
      <w:pPr>
        <w:spacing w:before="120" w:after="40"/>
        <w:jc w:val="center"/>
      </w:pPr>
      <w:r>
        <w:drawing>
          <wp:inline distT="0" distB="0" distL="0" distR="0">
            <wp:extent cx="4490085" cy="2004060"/>
            <wp:effectExtent l="0" t="0" r="5715" b="15240"/>
            <wp:docPr id="910" name="Picture 910"/>
            <wp:cNvGraphicFramePr/>
            <a:graphic xmlns:a="http://schemas.openxmlformats.org/drawingml/2006/main">
              <a:graphicData uri="http://schemas.openxmlformats.org/drawingml/2006/picture">
                <pic:pic xmlns:pic="http://schemas.openxmlformats.org/drawingml/2006/picture">
                  <pic:nvPicPr>
                    <pic:cNvPr id="910" name="Picture 910"/>
                    <pic:cNvPicPr/>
                  </pic:nvPicPr>
                  <pic:blipFill>
                    <a:blip r:embed="rId8"/>
                    <a:stretch>
                      <a:fillRect/>
                    </a:stretch>
                  </pic:blipFill>
                  <pic:spPr>
                    <a:xfrm>
                      <a:off x="0" y="0"/>
                      <a:ext cx="4490085" cy="2004060"/>
                    </a:xfrm>
                    <a:prstGeom prst="rect">
                      <a:avLst/>
                    </a:prstGeom>
                  </pic:spPr>
                </pic:pic>
              </a:graphicData>
            </a:graphic>
          </wp:inline>
        </w:drawing>
      </w:r>
    </w:p>
    <w:p w14:paraId="32646F68">
      <w:pPr>
        <w:spacing w:after="140"/>
        <w:jc w:val="center"/>
      </w:pPr>
      <w:r>
        <w:rPr>
          <w:rFonts w:eastAsia="黑体"/>
          <w:b/>
          <w:bCs/>
          <w:sz w:val="21"/>
          <w:szCs w:val="21"/>
        </w:rPr>
        <w:t>图3　2016</w:t>
      </w:r>
      <w:r>
        <w:rPr>
          <w:rFonts w:hint="eastAsia" w:eastAsia="黑体"/>
          <w:b/>
          <w:bCs/>
          <w:sz w:val="21"/>
          <w:szCs w:val="21"/>
        </w:rPr>
        <w:t>—</w:t>
      </w:r>
      <w:r>
        <w:rPr>
          <w:rFonts w:eastAsia="黑体"/>
          <w:b/>
          <w:bCs/>
          <w:sz w:val="21"/>
          <w:szCs w:val="21"/>
        </w:rPr>
        <w:t>2025年西藏安全、发展、生态三子系统综合指数演进</w:t>
      </w:r>
    </w:p>
    <w:p w14:paraId="5212BE59">
      <w:pPr>
        <w:spacing w:after="140"/>
        <w:jc w:val="both"/>
      </w:pPr>
      <w:r>
        <w:rPr>
          <w:sz w:val="18"/>
          <w:szCs w:val="18"/>
        </w:rPr>
        <w:t>注：数据来源于表3。</w:t>
      </w:r>
    </w:p>
    <w:p w14:paraId="62322AF2">
      <w:pPr>
        <w:ind w:firstLine="420"/>
        <w:jc w:val="both"/>
      </w:pPr>
      <w:r>
        <w:rPr>
          <w:sz w:val="21"/>
          <w:szCs w:val="21"/>
        </w:rPr>
        <w:t xml:space="preserve">MPI的改善节奏与上述阶段相对应：年均增幅在2016—2019年约为0.054，主要来自生态追赶；2020—2022年降至约0.017，受发展相对滞后制约；2023—2025年回升至约0.049，三子系统同步改善。</w:t>
      </w:r>
    </w:p>
    <w:p w14:paraId="39A66526">
      <w:pPr>
        <w:spacing w:before="160" w:after="80"/>
      </w:pPr>
      <w:r>
        <w:rPr>
          <w:rFonts w:eastAsia="黑体"/>
          <w:b/>
          <w:bCs/>
          <w:sz w:val="21"/>
          <w:szCs w:val="21"/>
        </w:rPr>
        <w:t xml:space="preserve">（二）短板诊断</w:t>
      </w:r>
    </w:p>
    <w:p w14:paraId="3F833779">
      <w:pPr>
        <w:ind w:firstLine="420"/>
        <w:jc w:val="both"/>
      </w:pPr>
      <w:r>
        <w:rPr>
          <w:sz w:val="21"/>
          <w:szCs w:val="21"/>
        </w:rPr>
        <w:t xml:space="preserve">结构性贡献缺口显示，对样本期总体标准化缺口贡献最大的是外向度（D3，31.1%）、森林覆盖率（E2，25.6%）、草原综合植被盖度（E4，15.8%）与单位GDP能耗指数（E1，11.5%），四项合计约84%，安全类指标贡献普遍很低。由于安全类指标年际波动小、客观赋权低估了其权重，短板识别以等权的子系统水平比较为主，结构性贡献缺口仅作辅助。局部敏感性方面，2017—2022年MPI对发展的敏感性持续处于三者最高或次高水平；自2023年起对安全的敏感性超过对发展的敏感性，2025年分别为0.354与0.353，与安全转为相对短板的观察一致。两项诊断均与H3所述的短板动态转移方向一致。</w:t>
      </w:r>
    </w:p>
    <w:p w14:paraId="48D6109F">
      <w:pPr>
        <w:ind w:firstLine="420"/>
        <w:jc w:val="both"/>
      </w:pPr>
      <w:r>
        <w:rPr>
          <w:sz w:val="21"/>
          <w:szCs w:val="21"/>
        </w:rPr>
        <w:t xml:space="preserve">清洁能源的转化状况同样值得注意。西藏清洁能源发电量占比已超过99%，但自2015年首次实现藏电外送至2024年底，累计外送量仅158.14亿千瓦时</w:t>
      </w:r>
      <w:r>
        <w:rPr>
          <w:sz w:val="21"/>
          <w:szCs w:val="21"/>
          <w:vertAlign w:val="superscript"/>
        </w:rPr>
        <w:t xml:space="preserve">[42]</w:t>
      </w:r>
      <w:r>
        <w:rPr>
          <w:sz w:val="21"/>
          <w:szCs w:val="21"/>
        </w:rPr>
        <w:t xml:space="preserve">，大致相当于2024年一年的发电量，转化通道尚不充分，与H2所述方向一致。</w:t>
      </w:r>
    </w:p>
    <w:p w14:paraId="6EDD1EB1">
      <w:pPr>
        <w:spacing w:before="260" w:after="120"/>
      </w:pPr>
      <w:r>
        <w:rPr>
          <w:rFonts w:eastAsia="黑体"/>
          <w:b/>
          <w:bCs/>
          <w:sz w:val="28"/>
          <w:szCs w:val="28"/>
        </w:rPr>
        <w:t xml:space="preserve">五、稳健性检验</w:t>
      </w:r>
    </w:p>
    <w:p w14:paraId="01C0D272">
      <w:pPr>
        <w:ind w:firstLine="420"/>
        <w:jc w:val="both"/>
      </w:pPr>
      <w:r>
        <w:rPr>
          <w:sz w:val="21"/>
          <w:szCs w:val="21"/>
        </w:rPr>
        <w:t xml:space="preserve">第一，与通用高质量发展指数对照。以同一13项指标按协调、绿色、开放、共享四个维度线性加总构造对照指数，两者走势的相关系数为0.979。原因在于样本期内失衡惩罚项仅为0.000—0.031，三子系统失衡程度有限，惩罚机制未对综合指数构成实质修正。因此，本文的增量主要来自评价维度的功能性分组：对照指数将安全相关指标并入“共享”等维度，难以识别某一阶段是哪个功能构成短板，三元结构则能识别生态、发展相继成为相对短板的阶段性转换。</w:t>
      </w:r>
    </w:p>
    <w:p w14:paraId="4C8BFBB2">
      <w:pPr>
        <w:ind w:firstLine="420"/>
        <w:jc w:val="both"/>
      </w:pPr>
      <w:r>
        <w:rPr>
          <w:sz w:val="21"/>
          <w:szCs w:val="21"/>
        </w:rPr>
        <w:t xml:space="preserve">第二，标准化与权重。以2016—2022年截断样本重算，固定基准法的历史取值与全样本完全一致，改用极差标准化时MPI的最大偏移则达0.229。CRITIC—熵值组合权重高度集中于森林覆盖率、外向度、草原综合植被盖度和单位GDP能耗指数四项（合计约83%），安全类指标权重普遍低于1.2%，支持子系统内采用等权。对五项惯例性上限分别作±25%扰动，MPI逐年单调不减的趋势均不改变，但2023—2025年安全转为相对短板的排序对上限设定较为敏感。此外，E2在2025年的实际值（12.54%）已超出规划目标上限，存在封顶效应。</w:t>
      </w:r>
    </w:p>
    <w:p w14:paraId="3960CD59">
      <w:pPr>
        <w:ind w:firstLine="420"/>
        <w:jc w:val="both"/>
      </w:pPr>
      <w:r>
        <w:rPr>
          <w:sz w:val="21"/>
          <w:szCs w:val="21"/>
        </w:rPr>
        <w:t xml:space="preserve">第三，留一法检验（表4）。逐一剔除13项指标后，发展最弱年数在2—9年之间，13项设定中有11项不少于3年，仅剔除S4或D3时降至2年；剔除标准化上限最依赖惯例设定的D3后，MPI仍逐年上升。据此，2016—2017年生态最弱、2018—2022年发展最弱的判断在多种设定下稳健，2023—2025年的安全信号属初步观察。</w:t>
      </w:r>
    </w:p>
    <w:p w14:paraId="4DF40FF3">
      <w:pPr>
        <w:spacing w:before="140" w:after="40"/>
        <w:jc w:val="center"/>
      </w:pPr>
      <w:r>
        <w:rPr>
          <w:rFonts w:eastAsia="黑体"/>
          <w:b/>
          <w:bCs/>
          <w:sz w:val="21"/>
          <w:szCs w:val="21"/>
        </w:rPr>
        <w:t xml:space="preserve">表4　13项指标留一法（LOO）结果</w:t>
      </w:r>
    </w:p>
    <w:tbl>
      <w:tblPr>
        <w:tblStyle w:val="15"/>
        <w:tblW w:w="8800" w:type="dxa"/>
        <w:jc w:val="center"/>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3000"/>
        <w:gridCol w:w="1800"/>
        <w:gridCol w:w="1800"/>
        <w:gridCol w:w="2200"/>
      </w:tblGrid>
      <w:tr w14:paraId="74C5CBFF">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tblHeader/>
          <w:jc w:val="center"/>
        </w:trPr>
        <w:tc>
          <w:tcPr>
            <w:tcW w:w="30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2714B984">
            <w:pPr>
              <w:spacing w:line="240" w:lineRule="auto"/>
              <w:jc w:val="center"/>
            </w:pPr>
            <w:r>
              <w:rPr>
                <w:b/>
                <w:bCs/>
                <w:sz w:val="18"/>
                <w:szCs w:val="18"/>
              </w:rPr>
              <w:t>剔除指标</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611DC76E">
            <w:pPr>
              <w:spacing w:line="240" w:lineRule="auto"/>
              <w:jc w:val="center"/>
            </w:pPr>
            <w:r>
              <w:rPr>
                <w:b/>
                <w:bCs/>
                <w:sz w:val="18"/>
                <w:szCs w:val="18"/>
              </w:rPr>
              <w:t>D</w:t>
            </w:r>
            <w:r>
              <w:rPr>
                <w:b/>
                <w:bCs/>
                <w:sz w:val="18"/>
                <w:szCs w:val="18"/>
                <w:vertAlign w:val="subscript"/>
              </w:rPr>
              <w:t>MPI</w:t>
            </w:r>
            <w:r>
              <w:rPr>
                <w:b/>
                <w:bCs/>
                <w:sz w:val="18"/>
                <w:szCs w:val="18"/>
              </w:rPr>
              <w:t>(2016)</w:t>
            </w:r>
          </w:p>
        </w:tc>
        <w:tc>
          <w:tcPr>
            <w:tcW w:w="18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4E78B5EE">
            <w:pPr>
              <w:spacing w:line="240" w:lineRule="auto"/>
              <w:jc w:val="center"/>
            </w:pPr>
            <w:r>
              <w:rPr>
                <w:b/>
                <w:bCs/>
                <w:sz w:val="18"/>
                <w:szCs w:val="18"/>
              </w:rPr>
              <w:t>D</w:t>
            </w:r>
            <w:r>
              <w:rPr>
                <w:b/>
                <w:bCs/>
                <w:sz w:val="18"/>
                <w:szCs w:val="18"/>
                <w:vertAlign w:val="subscript"/>
              </w:rPr>
              <w:t>MPI</w:t>
            </w:r>
            <w:r>
              <w:rPr>
                <w:b/>
                <w:bCs/>
                <w:sz w:val="18"/>
                <w:szCs w:val="18"/>
              </w:rPr>
              <w:t>(2025)</w:t>
            </w:r>
          </w:p>
        </w:tc>
        <w:tc>
          <w:tcPr>
            <w:tcW w:w="2200" w:type="dxa"/>
            <w:tcBorders>
              <w:top w:val="single" w:color="000000" w:sz="12" w:space="0"/>
              <w:left w:val="nil"/>
              <w:bottom w:val="single" w:color="000000" w:sz="6" w:space="0"/>
              <w:right w:val="nil"/>
            </w:tcBorders>
            <w:tcMar>
              <w:top w:w="20" w:type="dxa"/>
              <w:left w:w="40" w:type="dxa"/>
              <w:bottom w:w="20" w:type="dxa"/>
              <w:right w:w="40" w:type="dxa"/>
            </w:tcMar>
            <w:vAlign w:val="center"/>
          </w:tcPr>
          <w:p w14:paraId="07E845AE">
            <w:pPr>
              <w:spacing w:line="240" w:lineRule="auto"/>
              <w:jc w:val="center"/>
            </w:pPr>
            <w:r>
              <w:rPr>
                <w:b/>
                <w:bCs/>
                <w:sz w:val="18"/>
                <w:szCs w:val="18"/>
              </w:rPr>
              <w:t>发展最弱年数（共10年）</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S1 人均一般公共预算收入</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S2 城乡居民收入比与全国差距</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0.769</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S3 居民医保人均财政补助标准</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0.402</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0.766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8</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S4 养老参保率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0.370</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0.722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D1 人均GDP相对全国水平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0.745</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7</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D2 农村居民人均收入相对全国水平</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0.371</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0.732</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9</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D3 外向度</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0.395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0.791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2</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D4 人均接待游客</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0.751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D5 发电量</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0.408</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0.746</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4</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E1 单位GDP能耗指数</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0.426</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0.770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6</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E2 森林覆盖率</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0.740</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5</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E3 空气质量优良天数比例</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0.205</w:t>
            </w:r>
          </w:p>
        </w:tc>
        <w:tc>
          <w:tcPr>
            <w:tcW w:w="18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0.741</w:t>
            </w:r>
          </w:p>
        </w:tc>
        <w:tc>
          <w:tcPr>
            <w:tcW w:w="2200" w:type="dxa"/>
            <w:tcBorders>
              <w:top w:val="nil"/>
              <w:left w:val="nil"/>
              <w:bottom w:val="nil"/>
              <w:right w:val="nil"/>
            </w:tcBorders>
            <w:tcMar>
              <w:top w:w="20" w:type="dxa"/>
              <w:left w:w="40" w:type="dxa"/>
              <w:bottom w:w="20" w:type="dxa"/>
              <w:right w:w="40" w:type="dxa"/>
            </w:tcMar>
            <w:vAlign w:val="center"/>
          </w:tcPr>
          <w:p>
            <w:pPr>
              <w:spacing w:line="240" w:lineRule="auto"/>
              <w:jc w:val="center"/>
            </w:pPr>
            <w:r>
              <w:rPr>
                <w:sz w:val="18"/>
                <w:szCs w:val="18"/>
              </w:rPr>
              <w:t>3</w:t>
            </w:r>
          </w:p>
        </w:tc>
      </w:tr>
      <w:tr>
        <w:tblPrEx>
          <w:tblBorders>
            <w:top w:val="single" w:color="000000" w:sz="12" w:space="0"/>
            <w:left w:val="none" w:color="FFFFFF" w:sz="0" w:space="0"/>
            <w:bottom w:val="single" w:color="000000" w:sz="12"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30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E4 草原综合植被盖度</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0.439</w:t>
            </w:r>
          </w:p>
        </w:tc>
        <w:tc>
          <w:tcPr>
            <w:tcW w:w="18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0.762</w:t>
            </w:r>
          </w:p>
        </w:tc>
        <w:tc>
          <w:tcPr>
            <w:tcW w:w="2200" w:type="dxa"/>
            <w:tcBorders>
              <w:top w:val="nil"/>
              <w:left w:val="nil"/>
              <w:bottom w:val="single" w:color="000000" w:sz="12" w:space="0"/>
              <w:right w:val="nil"/>
            </w:tcBorders>
            <w:tcMar>
              <w:top w:w="20" w:type="dxa"/>
              <w:left w:w="40" w:type="dxa"/>
              <w:bottom w:w="20" w:type="dxa"/>
              <w:right w:w="40" w:type="dxa"/>
            </w:tcMar>
            <w:vAlign w:val="center"/>
          </w:tcPr>
          <w:p>
            <w:pPr>
              <w:spacing w:line="240" w:lineRule="auto"/>
              <w:jc w:val="center"/>
            </w:pPr>
            <w:r>
              <w:rPr>
                <w:sz w:val="18"/>
                <w:szCs w:val="18"/>
              </w:rPr>
              <w:t>5</w:t>
            </w:r>
          </w:p>
        </w:tc>
      </w:tr>
    </w:tbl>
    <w:p w14:paraId="07045021">
      <w:pPr>
        <w:spacing w:before="30" w:after="140"/>
      </w:pPr>
      <w:r>
        <w:rPr>
          <w:sz w:val="18"/>
          <w:szCs w:val="18"/>
        </w:rPr>
        <w:t>注：逐一剔除单项指标后按其余设定不变重算。</w:t>
      </w:r>
      <w:r>
        <w:rPr>
          <w:rFonts w:hint="eastAsia"/>
          <w:sz w:val="18"/>
          <w:szCs w:val="18"/>
        </w:rPr>
        <w:t>“</w:t>
      </w:r>
      <w:r>
        <w:rPr>
          <w:sz w:val="18"/>
          <w:szCs w:val="18"/>
        </w:rPr>
        <w:t>发展最弱年数</w:t>
      </w:r>
      <w:r>
        <w:rPr>
          <w:rFonts w:hint="eastAsia"/>
          <w:sz w:val="18"/>
          <w:szCs w:val="18"/>
        </w:rPr>
        <w:t>”</w:t>
      </w:r>
      <w:r>
        <w:rPr>
          <w:sz w:val="18"/>
          <w:szCs w:val="18"/>
        </w:rPr>
        <w:t>指样本期10年中发展子系统指数在三者中最低的年数。</w:t>
      </w:r>
    </w:p>
    <w:p w14:paraId="707370EA">
      <w:pPr>
        <w:spacing w:before="260" w:after="120"/>
      </w:pPr>
      <w:r>
        <w:rPr>
          <w:rFonts w:eastAsia="黑体"/>
          <w:b/>
          <w:bCs/>
          <w:sz w:val="28"/>
          <w:szCs w:val="28"/>
        </w:rPr>
        <w:t xml:space="preserve">六、结论与政策启示</w:t>
      </w:r>
    </w:p>
    <w:p w14:paraId="17BFAF3B">
      <w:pPr>
        <w:spacing w:before="160" w:after="80"/>
      </w:pPr>
      <w:r>
        <w:rPr>
          <w:rFonts w:eastAsia="黑体"/>
          <w:b/>
          <w:bCs/>
          <w:sz w:val="21"/>
          <w:szCs w:val="21"/>
        </w:rPr>
        <w:t>（一）主要结论</w:t>
      </w:r>
    </w:p>
    <w:p w14:paraId="6051B862">
      <w:pPr>
        <w:ind w:firstLine="420"/>
        <w:jc w:val="both"/>
        <w:rPr>
          <w:sz w:val="21"/>
          <w:szCs w:val="21"/>
        </w:rPr>
      </w:pPr>
      <w:r>
        <w:rPr>
          <w:rFonts w:hint="eastAsia"/>
          <w:sz w:val="21"/>
          <w:szCs w:val="21"/>
        </w:rPr>
        <w:t xml:space="preserve">（1）2016—2025年西藏三子系统总体改善，MPI由0.393升至0.754，三项功能同步改善，未出现以一项功能换取另一项功能的情形，说明统筹推进稳定、发展、生态、强边的总体方向是有效的。</w:t>
      </w:r>
    </w:p>
    <w:p w14:paraId="3A1B6AE2">
      <w:pPr>
        <w:ind w:firstLine="420"/>
        <w:jc w:val="both"/>
        <w:rPr>
          <w:sz w:val="21"/>
          <w:szCs w:val="21"/>
        </w:rPr>
      </w:pPr>
      <w:r>
        <w:rPr>
          <w:rFonts w:hint="eastAsia"/>
          <w:sz w:val="21"/>
          <w:szCs w:val="21"/>
        </w:rPr>
        <w:t xml:space="preserve">（2）相对短板呈阶段性转移：2016—2017年为生态，2018—2022年为发展，这两段判断稳健；2023—2025年安全改善相对趋缓，呈现潜在的短板转移信号。政策资源配置因而不宜固定投向某一子系统，而应随当期短板适时调整。</w:t>
      </w:r>
    </w:p>
    <w:p w14:paraId="48E02D6D">
      <w:pPr>
        <w:ind w:firstLine="420"/>
        <w:jc w:val="both"/>
        <w:rPr>
          <w:sz w:val="21"/>
          <w:szCs w:val="21"/>
        </w:rPr>
      </w:pPr>
      <w:r>
        <w:rPr>
          <w:rFonts w:hint="eastAsia"/>
          <w:sz w:val="21"/>
          <w:szCs w:val="21"/>
        </w:rPr>
        <w:t xml:space="preserve">（3）三元指数与通用线性加总指数宏观趋势高度一致，三元框架的增量在于按战略功能识别阶段性短板。对西藏的考核评价宜把安全屏障与生态屏障功能单列考察，而不宜仅以经济增长或线性加总指数衡量。</w:t>
      </w:r>
    </w:p>
    <w:p w14:paraId="5B3B99D2">
      <w:pPr>
        <w:ind w:firstLine="420"/>
        <w:jc w:val="both"/>
        <w:rPr>
          <w:sz w:val="21"/>
          <w:szCs w:val="21"/>
        </w:rPr>
      </w:pPr>
      <w:r>
        <w:rPr>
          <w:rFonts w:hint="eastAsia"/>
          <w:sz w:val="21"/>
          <w:szCs w:val="21"/>
        </w:rPr>
        <w:t xml:space="preserve">（4）发展的阶段性滞后与双重屏障功能的性质相符。安全与生态功能主要以财政投入维系，不直接产生市场回报：2024年除拉萨市（36.19%）外，其余六个地市（区）财政自给率均低于11%，可用于市场性投入的空间相应受到压缩。通用口径下西藏发展的相对滞后，部分反映了承担战略功能所对应的资源配置结构差异；但这一解释未能与疫情冲击分离，只具有方向性。</w:t>
      </w:r>
    </w:p>
    <w:p w14:paraId="56AD5372">
      <w:pPr>
        <w:spacing w:before="160" w:after="80"/>
      </w:pPr>
      <w:r>
        <w:rPr>
          <w:rFonts w:eastAsia="黑体"/>
          <w:b/>
          <w:bCs/>
          <w:sz w:val="21"/>
          <w:szCs w:val="21"/>
        </w:rPr>
        <w:t>（二）政策建议</w:t>
      </w:r>
      <w:bookmarkStart w:id="0" w:name="_GoBack"/>
      <w:bookmarkEnd w:id="0"/>
    </w:p>
    <w:p w14:paraId="526714D4">
      <w:pPr>
        <w:ind w:firstLine="420"/>
        <w:jc w:val="both"/>
        <w:rPr>
          <w:sz w:val="21"/>
          <w:szCs w:val="21"/>
        </w:rPr>
      </w:pPr>
      <w:r>
        <w:rPr>
          <w:sz w:val="21"/>
          <w:szCs w:val="21"/>
        </w:rPr>
        <w:t xml:space="preserve">据此提出四条建议，服务于“着力创建高原经济高质量发展先行区”这一战略任务</w:t>
      </w:r>
      <w:r>
        <w:rPr>
          <w:sz w:val="21"/>
          <w:szCs w:val="21"/>
          <w:vertAlign w:val="superscript"/>
        </w:rPr>
        <w:t xml:space="preserve">[15]</w:t>
      </w:r>
      <w:r>
        <w:rPr>
          <w:sz w:val="21"/>
          <w:szCs w:val="21"/>
        </w:rPr>
        <w:t xml:space="preserve">；其中第三条依据样本末期的初步观察。</w:t>
      </w:r>
    </w:p>
    <w:p w14:paraId="5796EFBE">
      <w:pPr>
        <w:ind w:firstLine="420"/>
        <w:jc w:val="both"/>
      </w:pPr>
      <w:r>
        <w:rPr>
          <w:sz w:val="21"/>
          <w:szCs w:val="21"/>
        </w:rPr>
        <w:t xml:space="preserve">第一，优化服务业结构。2024年西藏第三产业比重为54.3%</w:t>
      </w:r>
      <w:r>
        <w:rPr>
          <w:sz w:val="21"/>
          <w:szCs w:val="21"/>
          <w:vertAlign w:val="superscript"/>
        </w:rPr>
        <w:t xml:space="preserve">[37]</w:t>
      </w:r>
      <w:r>
        <w:rPr>
          <w:sz w:val="21"/>
          <w:szCs w:val="21"/>
        </w:rPr>
        <w:t xml:space="preserve">，低于全国的56.7%</w:t>
      </w:r>
      <w:r>
        <w:rPr>
          <w:sz w:val="21"/>
          <w:szCs w:val="21"/>
          <w:vertAlign w:val="superscript"/>
        </w:rPr>
        <w:t xml:space="preserve">[39]</w:t>
      </w:r>
      <w:r>
        <w:rPr>
          <w:sz w:val="21"/>
          <w:szCs w:val="21"/>
        </w:rPr>
        <w:t xml:space="preserve">，服务业动能不足是发展相对滞后的结构性来源之一。应推动服务业向高端文旅、康养研学与生产性服务业转型，完善口岸、物流通道与边贸产业链。</w:t>
      </w:r>
    </w:p>
    <w:p w14:paraId="547826FC">
      <w:pPr>
        <w:ind w:firstLine="420"/>
        <w:jc w:val="both"/>
      </w:pPr>
      <w:r>
        <w:rPr>
          <w:sz w:val="21"/>
          <w:szCs w:val="21"/>
        </w:rPr>
        <w:t xml:space="preserve">第二，畅通生态价值转化通道。依托清洁能源基地、“西电东送”、生态文旅、碳汇交易与绿色农牧产品品牌建设，探索面向受端市场的绿电跨省消纳补偿机制，把生态本底的改善转化为发展动能。</w:t>
      </w:r>
    </w:p>
    <w:p w14:paraId="207C7F05">
      <w:pPr>
        <w:ind w:firstLine="420"/>
        <w:jc w:val="both"/>
      </w:pPr>
      <w:r>
        <w:rPr>
          <w:sz w:val="21"/>
          <w:szCs w:val="21"/>
        </w:rPr>
        <w:t xml:space="preserve">第三，稳固民生保障投入。安全子系统近期改善趋缓、局部敏感性上升，应保持地方财力、医保补助与养老参保等投入强度，避免其改善速度落后于发展与生态。</w:t>
      </w:r>
    </w:p>
    <w:p w14:paraId="6321A4C0">
      <w:pPr>
        <w:ind w:firstLine="420"/>
        <w:jc w:val="both"/>
      </w:pPr>
      <w:r>
        <w:rPr>
          <w:sz w:val="21"/>
          <w:szCs w:val="21"/>
        </w:rPr>
        <w:t xml:space="preserve">第四，建立短板动态监测机制。以协调指数、结构性贡献缺口与局部敏感性作为年度监测工具，逐年识别当期短板，避免政策资源固化投向已不再是短板的子系统。</w:t>
      </w:r>
    </w:p>
    <w:p w14:paraId="1CBA53F6">
      <w:pPr>
        <w:spacing w:before="160" w:after="80"/>
      </w:pPr>
      <w:r>
        <w:rPr>
          <w:rFonts w:eastAsia="黑体"/>
          <w:b/>
          <w:bCs/>
          <w:sz w:val="21"/>
          <w:szCs w:val="21"/>
        </w:rPr>
        <w:t>（三）研究局限与展望</w:t>
      </w:r>
    </w:p>
    <w:p w14:paraId="3333C1A9">
      <w:pPr>
        <w:ind w:firstLine="420"/>
        <w:jc w:val="both"/>
      </w:pPr>
      <w:r>
        <w:rPr>
          <w:sz w:val="21"/>
          <w:szCs w:val="21"/>
        </w:rPr>
        <w:t xml:space="preserve">本文的局限主要有三点。一是安全与生态子系统均以可得统计指标间接代理战略功能，边境管理、社会治安、湿地与冰川冻土等更直接的变量暂未纳入；三个子系统的标准化基准类型也不完全相同，跨子系统的水平比较在一定程度上取决于基准选择。二是数据为单一地区10个年度观测、无对照组，且覆盖疫情时期，H1、H2只作为分析命题，相关判断只在方向上成立。三是生态指数的十年涨幅（0.576）明显高于安全（0.178）与发展（0.251），这在一定程度上源于以规划目标标定基准，应理解为相对于规划目标的达成进度。后续可借助面板数据，并拓展至四省涉藏州县等承担相近战略功能的地区加以检验。</w:t>
      </w:r>
    </w:p>
    <w:p w14:paraId="085A8D26">
      <w:pPr>
        <w:spacing w:before="260" w:after="120"/>
      </w:pPr>
      <w:r>
        <w:rPr>
          <w:rFonts w:eastAsia="黑体"/>
          <w:b/>
          <w:bCs/>
          <w:sz w:val="28"/>
          <w:szCs w:val="28"/>
        </w:rPr>
        <w:t>参考文献</w:t>
      </w:r>
    </w:p>
    <w:p w14:paraId="14E59D62">
      <w:pPr>
        <w:spacing w:after="20" w:line="300" w:lineRule="auto"/>
        <w:ind w:left="360" w:hanging="360"/>
      </w:pPr>
      <w:r>
        <w:rPr>
          <w:sz w:val="20"/>
          <w:szCs w:val="20"/>
        </w:rPr>
        <w:t>[1] 中国社会科学院财经战略研究院课题组,尹振涛,谭洪波,等.</w:t>
      </w:r>
      <w:r>
        <w:rPr>
          <w:rFonts w:hint="eastAsia"/>
          <w:sz w:val="20"/>
          <w:szCs w:val="20"/>
        </w:rPr>
        <w:t>“</w:t>
      </w:r>
      <w:r>
        <w:rPr>
          <w:sz w:val="20"/>
          <w:szCs w:val="20"/>
        </w:rPr>
        <w:t>十五五</w:t>
      </w:r>
      <w:r>
        <w:rPr>
          <w:rFonts w:hint="eastAsia"/>
          <w:sz w:val="20"/>
          <w:szCs w:val="20"/>
        </w:rPr>
        <w:t>”</w:t>
      </w:r>
      <w:r>
        <w:rPr>
          <w:sz w:val="20"/>
          <w:szCs w:val="20"/>
        </w:rPr>
        <w:t>时期经济高质量发展的若干问题研究[J].财贸经济,2025(12):5-24.</w:t>
      </w:r>
    </w:p>
    <w:p w14:paraId="47D38361">
      <w:pPr>
        <w:spacing w:after="20" w:line="300" w:lineRule="auto"/>
        <w:ind w:left="360" w:hanging="360"/>
      </w:pPr>
      <w:r>
        <w:rPr>
          <w:sz w:val="20"/>
          <w:szCs w:val="20"/>
        </w:rPr>
        <w:t>[2] 樊杰.</w:t>
      </w:r>
      <w:r>
        <w:rPr>
          <w:rFonts w:hint="eastAsia"/>
          <w:sz w:val="20"/>
          <w:szCs w:val="20"/>
        </w:rPr>
        <w:t>“</w:t>
      </w:r>
      <w:r>
        <w:rPr>
          <w:sz w:val="20"/>
          <w:szCs w:val="20"/>
        </w:rPr>
        <w:t>十五五</w:t>
      </w:r>
      <w:r>
        <w:rPr>
          <w:rFonts w:hint="eastAsia"/>
          <w:sz w:val="20"/>
          <w:szCs w:val="20"/>
        </w:rPr>
        <w:t>”</w:t>
      </w:r>
      <w:r>
        <w:rPr>
          <w:sz w:val="20"/>
          <w:szCs w:val="20"/>
        </w:rPr>
        <w:t>时期中国区域协调发展的理论探索、战略创新与路径选择[J].中国科学院院刊,2024(4):605-619.</w:t>
      </w:r>
    </w:p>
    <w:p w14:paraId="186404B8">
      <w:pPr>
        <w:spacing w:after="20" w:line="300" w:lineRule="auto"/>
        <w:ind w:left="360" w:hanging="360"/>
      </w:pPr>
      <w:r>
        <w:rPr>
          <w:sz w:val="20"/>
          <w:szCs w:val="20"/>
        </w:rPr>
        <w:t>[3] 楼俊超,余郑霁.西藏现代化发展的现实基础、主要挑战与路径选择[J].西藏大学学报(社会科学版),2024(4):143-148.</w:t>
      </w:r>
    </w:p>
    <w:p w14:paraId="5015D093">
      <w:pPr>
        <w:spacing w:after="20" w:line="300" w:lineRule="auto"/>
        <w:ind w:left="360" w:hanging="360"/>
      </w:pPr>
      <w:r>
        <w:rPr>
          <w:sz w:val="20"/>
          <w:szCs w:val="20"/>
        </w:rPr>
        <w:t>[4] 陈宗荣.深刻理解新时代党的治藏方略的世界观和方法论意蕴[J].中国藏学,2023(1):1-8,210.</w:t>
      </w:r>
    </w:p>
    <w:p w14:paraId="6FEF670C">
      <w:pPr>
        <w:spacing w:after="20" w:line="300" w:lineRule="auto"/>
        <w:ind w:left="360" w:hanging="360"/>
      </w:pPr>
      <w:r>
        <w:rPr>
          <w:sz w:val="20"/>
          <w:szCs w:val="20"/>
        </w:rPr>
        <w:t>[5] 周亦峰.西藏筑牢国家生态安全屏障的法治逻辑</w:t>
      </w:r>
      <w:r>
        <w:rPr>
          <w:rFonts w:hint="eastAsia"/>
          <w:sz w:val="20"/>
          <w:szCs w:val="20"/>
        </w:rPr>
        <w:t>——</w:t>
      </w:r>
      <w:r>
        <w:rPr>
          <w:sz w:val="20"/>
          <w:szCs w:val="20"/>
        </w:rPr>
        <w:t>以习近平生态文明思想为视域[J].中国藏学,2021(4):29-35.</w:t>
      </w:r>
    </w:p>
    <w:p w14:paraId="4E513AC8">
      <w:pPr>
        <w:spacing w:after="20" w:line="300" w:lineRule="auto"/>
        <w:ind w:left="360" w:hanging="360"/>
      </w:pPr>
      <w:r>
        <w:rPr>
          <w:sz w:val="20"/>
          <w:szCs w:val="20"/>
        </w:rPr>
        <w:t>[6] 郑堆.用文化自信凝人心聚合力　以中国式现代化生动实践推动西藏长治久安和高质量发展[J].中国藏学,2023(1):9-15,210.</w:t>
      </w:r>
    </w:p>
    <w:p w14:paraId="1D48FB93">
      <w:pPr>
        <w:spacing w:after="20" w:line="300" w:lineRule="auto"/>
        <w:ind w:left="360" w:hanging="360"/>
      </w:pPr>
      <w:r>
        <w:rPr>
          <w:sz w:val="20"/>
          <w:szCs w:val="20"/>
        </w:rPr>
        <w:t>[7] 师博,任保平.中国省际经济高质量发展的测度与分析[J].经济问题,2018(4):1-6.</w:t>
      </w:r>
    </w:p>
    <w:p w14:paraId="13E805FB">
      <w:pPr>
        <w:spacing w:after="20" w:line="300" w:lineRule="auto"/>
        <w:ind w:left="360" w:hanging="360"/>
      </w:pPr>
      <w:r>
        <w:rPr>
          <w:sz w:val="20"/>
          <w:szCs w:val="20"/>
        </w:rPr>
        <w:t>[8] 李金昌,史龙梅,徐蔼婷.高质量发展评价指标体系探讨[J].统计研究,2019(1):4-14.</w:t>
      </w:r>
    </w:p>
    <w:p w14:paraId="473A1DEA">
      <w:pPr>
        <w:spacing w:after="20" w:line="300" w:lineRule="auto"/>
        <w:ind w:left="360" w:hanging="360"/>
      </w:pPr>
      <w:r>
        <w:rPr>
          <w:sz w:val="20"/>
          <w:szCs w:val="20"/>
        </w:rPr>
        <w:t>[9] 杨永芳,王秦.新时代中国区域经济高质量发展评价指标体系构建研究[J].中国软科学,2024(S1):182-190.</w:t>
      </w:r>
    </w:p>
    <w:p w14:paraId="1B9A6889">
      <w:pPr>
        <w:spacing w:after="20" w:line="300" w:lineRule="auto"/>
        <w:ind w:left="360" w:hanging="360"/>
      </w:pPr>
      <w:r>
        <w:rPr>
          <w:sz w:val="20"/>
          <w:szCs w:val="20"/>
        </w:rPr>
        <w:t>[10] 张伟丽,王伊斌,魏瑞博.城市群内城市高质量发展趋同俱乐部时空演进及机理[J].地理学报,2023(12):3109-3128.</w:t>
      </w:r>
    </w:p>
    <w:p w14:paraId="0DA91109">
      <w:pPr>
        <w:spacing w:after="20" w:line="300" w:lineRule="auto"/>
        <w:ind w:left="360" w:hanging="360"/>
      </w:pPr>
      <w:r>
        <w:rPr>
          <w:sz w:val="20"/>
          <w:szCs w:val="20"/>
        </w:rPr>
        <w:t>[11] 张国俊,王运喆,陈宇,周春山.中国城市群高质量发展的时空特征及分异机理[J].地理研究,2022(8):2109-2124.</w:t>
      </w:r>
    </w:p>
    <w:p w14:paraId="29FF41C4">
      <w:pPr>
        <w:spacing w:after="20" w:line="300" w:lineRule="auto"/>
        <w:ind w:left="360" w:hanging="360"/>
      </w:pPr>
      <w:r>
        <w:rPr>
          <w:sz w:val="20"/>
          <w:szCs w:val="20"/>
        </w:rPr>
        <w:t>[12] DEARING J A, WANG R, ZHANG K, et al. Safe and just operating spaces for regional social-ecological systems[J].Global Environmental Change,2014,28:227-238.</w:t>
      </w:r>
    </w:p>
    <w:p w14:paraId="408AB839">
      <w:pPr>
        <w:spacing w:after="20" w:line="300" w:lineRule="auto"/>
        <w:ind w:left="360" w:hanging="360"/>
      </w:pPr>
      <w:r>
        <w:rPr>
          <w:sz w:val="20"/>
          <w:szCs w:val="20"/>
        </w:rPr>
        <w:t>[13] RAWORTH K. Doughnut Economics: Seven Ways to Think Like a 21st-Century Economist[M].London:Random House Business Books,2017.</w:t>
      </w:r>
    </w:p>
    <w:p w14:paraId="7A991A06">
      <w:pPr>
        <w:spacing w:after="20" w:line="300" w:lineRule="auto"/>
        <w:ind w:left="360" w:hanging="360"/>
      </w:pPr>
      <w:r>
        <w:rPr>
          <w:sz w:val="20"/>
          <w:szCs w:val="20"/>
        </w:rPr>
        <w:t>[14] 卜洁文.统筹发展和安全视域下西藏高质量融入</w:t>
      </w:r>
      <w:r>
        <w:rPr>
          <w:rFonts w:hint="eastAsia"/>
          <w:sz w:val="20"/>
          <w:szCs w:val="20"/>
        </w:rPr>
        <w:t>“</w:t>
      </w:r>
      <w:r>
        <w:rPr>
          <w:sz w:val="20"/>
          <w:szCs w:val="20"/>
        </w:rPr>
        <w:t>一带一路</w:t>
      </w:r>
      <w:r>
        <w:rPr>
          <w:rFonts w:hint="eastAsia"/>
          <w:sz w:val="20"/>
          <w:szCs w:val="20"/>
        </w:rPr>
        <w:t>”</w:t>
      </w:r>
      <w:r>
        <w:rPr>
          <w:sz w:val="20"/>
          <w:szCs w:val="20"/>
        </w:rPr>
        <w:t>建设研究[J].西藏大学学报(社会科学版),2024(2):186-191.</w:t>
      </w:r>
    </w:p>
    <w:p w14:paraId="5E88511D">
      <w:pPr>
        <w:spacing w:after="20" w:line="300" w:lineRule="auto"/>
        <w:ind w:left="360" w:hanging="360"/>
      </w:pPr>
      <w:r>
        <w:rPr>
          <w:sz w:val="20"/>
          <w:szCs w:val="20"/>
        </w:rPr>
        <w:t>[15] 徐伍达,久毛措.西藏推动高原经济高质量发展研究[J].西藏研究,2023(6):114-127,156.</w:t>
      </w:r>
    </w:p>
    <w:p w14:paraId="24CA2924">
      <w:pPr>
        <w:spacing w:after="20" w:line="300" w:lineRule="auto"/>
        <w:ind w:left="360" w:hanging="360"/>
      </w:pPr>
      <w:r>
        <w:rPr>
          <w:sz w:val="20"/>
          <w:szCs w:val="20"/>
        </w:rPr>
        <w:t>[16] 冯娜娜,韦雄生,龙堂展.边疆民族地区新质生产力发展水平测度及障碍因子分析</w:t>
      </w:r>
      <w:r>
        <w:rPr>
          <w:rFonts w:hint="eastAsia"/>
          <w:sz w:val="20"/>
          <w:szCs w:val="20"/>
        </w:rPr>
        <w:t>——</w:t>
      </w:r>
      <w:r>
        <w:rPr>
          <w:sz w:val="20"/>
          <w:szCs w:val="20"/>
        </w:rPr>
        <w:t>以西藏、广西和云南为例[J].南宁师范大学学报(自然科学版),2025(2):13-22.</w:t>
      </w:r>
    </w:p>
    <w:p w14:paraId="2E9CA5F8">
      <w:pPr>
        <w:spacing w:after="20" w:line="300" w:lineRule="auto"/>
        <w:ind w:left="360" w:hanging="360"/>
      </w:pPr>
      <w:r>
        <w:rPr>
          <w:sz w:val="20"/>
          <w:szCs w:val="20"/>
        </w:rPr>
        <w:t>[17] 鲁万波,贾光宁.西藏经济高质量发展指标体系构建与测度[J].西藏大学学报(社会科学版),2022(3):172-181.</w:t>
      </w:r>
    </w:p>
    <w:p w14:paraId="4A97EC2A">
      <w:pPr>
        <w:spacing w:after="20" w:line="300" w:lineRule="auto"/>
        <w:ind w:left="360" w:hanging="360"/>
      </w:pPr>
      <w:r>
        <w:rPr>
          <w:sz w:val="20"/>
          <w:szCs w:val="20"/>
        </w:rPr>
        <w:t>[18] 席蒙蒙.西藏经济高质量发展水平测度研究[J].青海民族研究,2023(3):107-115.</w:t>
      </w:r>
    </w:p>
    <w:p w14:paraId="414BF5A1">
      <w:pPr>
        <w:spacing w:after="20" w:line="300" w:lineRule="auto"/>
        <w:ind w:left="360" w:hanging="360"/>
      </w:pPr>
      <w:r>
        <w:rPr>
          <w:sz w:val="20"/>
          <w:szCs w:val="20"/>
        </w:rPr>
        <w:t>[19] 冯思童.西藏高质量发展评估指标的耦合效应及灰色关联分析[J].商业经济研究,2025(8):184-188.</w:t>
      </w:r>
    </w:p>
    <w:p w14:paraId="1A1AEA52">
      <w:pPr>
        <w:spacing w:after="20" w:line="300" w:lineRule="auto"/>
        <w:ind w:left="360" w:hanging="360"/>
      </w:pPr>
      <w:r>
        <w:rPr>
          <w:sz w:val="20"/>
          <w:szCs w:val="20"/>
        </w:rPr>
        <w:t>[20] 陈朴,杨亚波.西藏创建高原经济高质量发展先行区评价指标体系构建研究[J].西藏研究,2023(1):1-12,155.</w:t>
      </w:r>
    </w:p>
    <w:p w14:paraId="159C148C">
      <w:pPr>
        <w:spacing w:after="20" w:line="300" w:lineRule="auto"/>
        <w:ind w:left="360" w:hanging="360"/>
      </w:pPr>
      <w:r>
        <w:rPr>
          <w:sz w:val="20"/>
          <w:szCs w:val="20"/>
        </w:rPr>
        <w:t>[21] 严茂超,ODUM H T.西藏生态经济系统的能值分析与可持续发展研究[J].自然资源学报,1998(2):117-125.</w:t>
      </w:r>
    </w:p>
    <w:p w14:paraId="1FCD00A6">
      <w:pPr>
        <w:spacing w:after="20" w:line="300" w:lineRule="auto"/>
        <w:ind w:left="360" w:hanging="360"/>
      </w:pPr>
      <w:r>
        <w:rPr>
          <w:sz w:val="20"/>
          <w:szCs w:val="20"/>
        </w:rPr>
        <w:t>[22] 赵晓鸿.西藏经济发展与生态安全的冲突及对策[J].西南民族大学学报(人文社科版),2006(10):34-37.</w:t>
      </w:r>
    </w:p>
    <w:p w14:paraId="169EA637">
      <w:pPr>
        <w:spacing w:after="20" w:line="300" w:lineRule="auto"/>
        <w:ind w:left="360" w:hanging="360"/>
      </w:pPr>
      <w:r>
        <w:rPr>
          <w:sz w:val="20"/>
          <w:szCs w:val="20"/>
        </w:rPr>
        <w:t>[23] 郑应友,侯霞.基于Bibliometrix的西藏生态经济领域研究现状、热点探析与趋势展望(1984—2022)[J].西藏研究,2024(2):144-154,160.</w:t>
      </w:r>
    </w:p>
    <w:p w14:paraId="5F5B5183">
      <w:pPr>
        <w:spacing w:after="20" w:line="300" w:lineRule="auto"/>
        <w:ind w:left="360" w:hanging="360"/>
      </w:pPr>
      <w:r>
        <w:rPr>
          <w:sz w:val="20"/>
          <w:szCs w:val="20"/>
        </w:rPr>
        <w:t>[24] 焦乐佳,姚柳杨,宋连久,等.西藏县域生态</w:t>
      </w:r>
      <w:r>
        <w:rPr>
          <w:rFonts w:hint="eastAsia"/>
          <w:sz w:val="20"/>
          <w:szCs w:val="20"/>
        </w:rPr>
        <w:t>—</w:t>
      </w:r>
      <w:r>
        <w:rPr>
          <w:sz w:val="20"/>
          <w:szCs w:val="20"/>
        </w:rPr>
        <w:t>经济</w:t>
      </w:r>
      <w:r>
        <w:rPr>
          <w:rFonts w:hint="eastAsia"/>
          <w:sz w:val="20"/>
          <w:szCs w:val="20"/>
        </w:rPr>
        <w:t>—</w:t>
      </w:r>
      <w:r>
        <w:rPr>
          <w:sz w:val="20"/>
          <w:szCs w:val="20"/>
        </w:rPr>
        <w:t>社会耦合协调发展的时空演变及预测[J].水土保持通报,2026(2):378-388.</w:t>
      </w:r>
    </w:p>
    <w:p w14:paraId="4D52FE02">
      <w:pPr>
        <w:spacing w:after="20" w:line="300" w:lineRule="auto"/>
        <w:ind w:left="360" w:hanging="360"/>
      </w:pPr>
      <w:r>
        <w:rPr>
          <w:sz w:val="20"/>
          <w:szCs w:val="20"/>
        </w:rPr>
        <w:t>[25] 王翔宇,高培超,宋长青,等.区域高质量发展的内涵与评价体系探索</w:t>
      </w:r>
      <w:r>
        <w:rPr>
          <w:rFonts w:hint="eastAsia"/>
          <w:sz w:val="20"/>
          <w:szCs w:val="20"/>
        </w:rPr>
        <w:t>——</w:t>
      </w:r>
      <w:r>
        <w:rPr>
          <w:sz w:val="20"/>
          <w:szCs w:val="20"/>
        </w:rPr>
        <w:t>以青藏高原县域单元为例[J].北京师范大学学报(自然科学版),2022(2):328-336.</w:t>
      </w:r>
    </w:p>
    <w:p w14:paraId="03E77064">
      <w:pPr>
        <w:spacing w:after="20" w:line="300" w:lineRule="auto"/>
        <w:ind w:left="360" w:hanging="360"/>
      </w:pPr>
      <w:r>
        <w:rPr>
          <w:sz w:val="20"/>
          <w:szCs w:val="20"/>
        </w:rPr>
        <w:t>[26] 魏卫,刘娴娴,王晓宇,等.美丽中国系统耦合协调度的空间异质性探索[J].经济地理,2021(6):30-38.</w:t>
      </w:r>
    </w:p>
    <w:p w14:paraId="60CF61C0">
      <w:pPr>
        <w:spacing w:after="20" w:line="300" w:lineRule="auto"/>
        <w:ind w:left="360" w:hanging="360"/>
      </w:pPr>
      <w:r>
        <w:rPr>
          <w:sz w:val="20"/>
          <w:szCs w:val="20"/>
        </w:rPr>
        <w:t>[27] 丛晓男.耦合度模型的形式、性质及在地理学研究中的若干误用[J].经济地理,2019(4):18-25.</w:t>
      </w:r>
    </w:p>
    <w:p w14:paraId="0EE5F026">
      <w:pPr>
        <w:spacing w:after="20" w:line="300" w:lineRule="auto"/>
        <w:ind w:left="360" w:hanging="360"/>
      </w:pPr>
      <w:r>
        <w:rPr>
          <w:sz w:val="20"/>
          <w:szCs w:val="20"/>
        </w:rPr>
        <w:t>[28] DIAKOULAKI D, MAVROTAS G, PAPAYANNAKIS L. Determining objective weights in multiple criteria problems: The CRITIC method[J].Computers &amp; Operations Research,1995,22(7):763-770.</w:t>
      </w:r>
    </w:p>
    <w:p w14:paraId="263A9CC6">
      <w:pPr>
        <w:spacing w:after="20" w:line="300" w:lineRule="auto"/>
        <w:ind w:left="360" w:hanging="360"/>
      </w:pPr>
      <w:r>
        <w:rPr>
          <w:sz w:val="20"/>
          <w:szCs w:val="20"/>
        </w:rPr>
        <w:t>[29] 于婷,于法稳.基于熵权TOPSIS法的农业高质量发展评价及障碍因子诊断[J].云南社会科学,2021(5):76-83.</w:t>
      </w:r>
    </w:p>
    <w:p w14:paraId="319D2FE6">
      <w:pPr>
        <w:spacing w:after="20" w:line="300" w:lineRule="auto"/>
        <w:ind w:left="360" w:hanging="360"/>
      </w:pPr>
      <w:r>
        <w:rPr>
          <w:sz w:val="20"/>
          <w:szCs w:val="20"/>
        </w:rPr>
        <w:t>[30] NARDO M, SAISANA M, SALTELLI A, et al. Handbook on Constructing Composite Indicators: Methodology and User Guide[M].Paris:OECD Publishing,2008.</w:t>
      </w:r>
    </w:p>
    <w:p w14:paraId="76434778">
      <w:pPr>
        <w:spacing w:after="20" w:line="300" w:lineRule="auto"/>
        <w:ind w:left="360" w:hanging="360"/>
      </w:pPr>
      <w:r>
        <w:rPr>
          <w:sz w:val="20"/>
          <w:szCs w:val="20"/>
        </w:rPr>
        <w:t>[31] GRECO S, ISHIZAKA A, TASIOU M, et al. On the methodological framework of composite indices: A review of the issues of weighting, aggregation, and robustness[J].Social Indicators Research,2019,141(1):61-94.</w:t>
      </w:r>
    </w:p>
    <w:p w14:paraId="0E19BA49">
      <w:pPr>
        <w:spacing w:after="20" w:line="300" w:lineRule="auto"/>
        <w:ind w:left="360" w:hanging="360"/>
      </w:pPr>
      <w:r>
        <w:rPr>
          <w:sz w:val="20"/>
          <w:szCs w:val="20"/>
        </w:rPr>
        <w:t>[32] MUNDA G, NARDO M. Noncompensatory/nonlinear composite indicators for ranking countries: A defensible setting[J].Applied Economics,2009,41(12):1513-1523.</w:t>
      </w:r>
    </w:p>
    <w:p w14:paraId="0C0C4762">
      <w:pPr>
        <w:spacing w:after="20" w:line="300" w:lineRule="auto"/>
        <w:ind w:left="360" w:hanging="360"/>
      </w:pPr>
      <w:r>
        <w:rPr>
          <w:sz w:val="20"/>
          <w:szCs w:val="20"/>
        </w:rPr>
        <w:t>[33] TARABUSI E C, GUARINI G. An unbalance adjustment method for development indicators[J].Social Indicators Research,2013,112(1):19-45.</w:t>
      </w:r>
    </w:p>
    <w:p w14:paraId="0EEF30A0">
      <w:pPr>
        <w:spacing w:after="20" w:line="300" w:lineRule="auto"/>
        <w:ind w:left="360" w:hanging="360"/>
      </w:pPr>
      <w:r>
        <w:rPr>
          <w:sz w:val="20"/>
          <w:szCs w:val="20"/>
        </w:rPr>
        <w:t>[34] 陈爱东,李国平,陈泓宇.西藏地理势能优势转化为开发优势的机制设计及路径选择研究[J].西藏发展论坛,2025(6):52-57.</w:t>
      </w:r>
    </w:p>
    <w:p w14:paraId="09292A7E">
      <w:pPr>
        <w:spacing w:after="20" w:line="300" w:lineRule="auto"/>
        <w:ind w:left="360" w:hanging="360"/>
      </w:pPr>
      <w:r>
        <w:rPr>
          <w:sz w:val="20"/>
          <w:szCs w:val="20"/>
        </w:rPr>
        <w:t>[35] 罗绒战堆,艾意欣,胡文政.生态屏障建设与农牧民可持续生计资本积累的互促研究</w:t>
      </w:r>
      <w:r>
        <w:rPr>
          <w:rFonts w:hint="eastAsia"/>
          <w:sz w:val="20"/>
          <w:szCs w:val="20"/>
        </w:rPr>
        <w:t>——</w:t>
      </w:r>
      <w:r>
        <w:rPr>
          <w:sz w:val="20"/>
          <w:szCs w:val="20"/>
        </w:rPr>
        <w:t>以《规划》在西藏农牧社区的实施为例[J].西藏大学学报(社会科学版),2024(1):158-166.</w:t>
      </w:r>
    </w:p>
    <w:p w14:paraId="03592BBA">
      <w:pPr>
        <w:spacing w:after="20" w:line="300" w:lineRule="auto"/>
        <w:ind w:left="360" w:hanging="360"/>
      </w:pPr>
      <w:r>
        <w:rPr>
          <w:sz w:val="20"/>
          <w:szCs w:val="20"/>
        </w:rPr>
        <w:t>[36] 孙勇,杨荣涛,刘星君.中国陆地边疆治理现代化指向中</w:t>
      </w:r>
      <w:r>
        <w:rPr>
          <w:rFonts w:hint="eastAsia"/>
          <w:sz w:val="20"/>
          <w:szCs w:val="20"/>
        </w:rPr>
        <w:t>“</w:t>
      </w:r>
      <w:r>
        <w:rPr>
          <w:sz w:val="20"/>
          <w:szCs w:val="20"/>
        </w:rPr>
        <w:t>健全</w:t>
      </w:r>
      <w:r>
        <w:rPr>
          <w:rFonts w:hint="eastAsia"/>
          <w:sz w:val="20"/>
          <w:szCs w:val="20"/>
        </w:rPr>
        <w:t>”</w:t>
      </w:r>
      <w:r>
        <w:rPr>
          <w:sz w:val="20"/>
          <w:szCs w:val="20"/>
        </w:rPr>
        <w:t>问题探讨</w:t>
      </w:r>
      <w:r>
        <w:rPr>
          <w:rFonts w:hint="eastAsia"/>
          <w:sz w:val="20"/>
          <w:szCs w:val="20"/>
        </w:rPr>
        <w:t>——</w:t>
      </w:r>
      <w:r>
        <w:rPr>
          <w:sz w:val="20"/>
          <w:szCs w:val="20"/>
        </w:rPr>
        <w:t>以国家安全体系制度、能力、建设和塑形的叠合为中心[J].西藏大学学报(社会科学版),2024(1):175-186.</w:t>
      </w:r>
    </w:p>
    <w:p w14:paraId="0B4FD860">
      <w:pPr>
        <w:spacing w:after="20" w:line="300" w:lineRule="auto"/>
        <w:ind w:left="360" w:hanging="360"/>
      </w:pPr>
      <w:r>
        <w:rPr>
          <w:sz w:val="20"/>
          <w:szCs w:val="20"/>
        </w:rPr>
        <w:t>[37] 西藏自治区统计局,国家统计局西藏调查总队.西藏自治区国民经济和社会发展统计公报(2016</w:t>
      </w:r>
      <w:r>
        <w:rPr>
          <w:rFonts w:hint="eastAsia"/>
          <w:sz w:val="20"/>
          <w:szCs w:val="20"/>
        </w:rPr>
        <w:t>—</w:t>
      </w:r>
      <w:r>
        <w:rPr>
          <w:sz w:val="20"/>
          <w:szCs w:val="20"/>
        </w:rPr>
        <w:t>2025)[R].2017</w:t>
      </w:r>
      <w:r>
        <w:rPr>
          <w:rFonts w:hint="eastAsia"/>
          <w:sz w:val="20"/>
          <w:szCs w:val="20"/>
        </w:rPr>
        <w:t>—</w:t>
      </w:r>
      <w:r>
        <w:rPr>
          <w:sz w:val="20"/>
          <w:szCs w:val="20"/>
        </w:rPr>
        <w:t>2026.</w:t>
      </w:r>
    </w:p>
    <w:p w14:paraId="112CA1FC">
      <w:pPr>
        <w:spacing w:after="20" w:line="300" w:lineRule="auto"/>
        <w:ind w:left="360" w:hanging="360"/>
      </w:pPr>
      <w:r>
        <w:rPr>
          <w:sz w:val="20"/>
          <w:szCs w:val="20"/>
        </w:rPr>
        <w:t>[38] 西藏自治区统计局.西藏统计年鉴(2017</w:t>
      </w:r>
      <w:r>
        <w:rPr>
          <w:rFonts w:hint="eastAsia"/>
          <w:sz w:val="20"/>
          <w:szCs w:val="20"/>
        </w:rPr>
        <w:t>—</w:t>
      </w:r>
      <w:r>
        <w:rPr>
          <w:sz w:val="20"/>
          <w:szCs w:val="20"/>
        </w:rPr>
        <w:t>2025)[M].北京:中国统计出版社,2017</w:t>
      </w:r>
      <w:r>
        <w:rPr>
          <w:rFonts w:hint="eastAsia"/>
          <w:sz w:val="20"/>
          <w:szCs w:val="20"/>
        </w:rPr>
        <w:t>—</w:t>
      </w:r>
      <w:r>
        <w:rPr>
          <w:sz w:val="20"/>
          <w:szCs w:val="20"/>
        </w:rPr>
        <w:t>2025.</w:t>
      </w:r>
    </w:p>
    <w:p w14:paraId="784F027B">
      <w:pPr>
        <w:spacing w:after="20" w:line="300" w:lineRule="auto"/>
        <w:ind w:left="360" w:hanging="360"/>
      </w:pPr>
      <w:r>
        <w:rPr>
          <w:sz w:val="20"/>
          <w:szCs w:val="20"/>
        </w:rPr>
        <w:t>[39] 国家统计局.中国统计年鉴(2017</w:t>
      </w:r>
      <w:r>
        <w:rPr>
          <w:rFonts w:hint="eastAsia"/>
          <w:sz w:val="20"/>
          <w:szCs w:val="20"/>
        </w:rPr>
        <w:t>—</w:t>
      </w:r>
      <w:r>
        <w:rPr>
          <w:sz w:val="20"/>
          <w:szCs w:val="20"/>
        </w:rPr>
        <w:t>2025)、中国统计摘要2026[M].北京:中国统计出版社,2017</w:t>
      </w:r>
      <w:r>
        <w:rPr>
          <w:rFonts w:hint="eastAsia"/>
          <w:sz w:val="20"/>
          <w:szCs w:val="20"/>
        </w:rPr>
        <w:t>—</w:t>
      </w:r>
      <w:r>
        <w:rPr>
          <w:sz w:val="20"/>
          <w:szCs w:val="20"/>
        </w:rPr>
        <w:t>2026.</w:t>
      </w:r>
    </w:p>
    <w:p w14:paraId="0A1F22E5">
      <w:pPr>
        <w:spacing w:after="20" w:line="300" w:lineRule="auto"/>
        <w:ind w:left="360" w:hanging="360"/>
      </w:pPr>
      <w:r>
        <w:rPr>
          <w:sz w:val="20"/>
          <w:szCs w:val="20"/>
        </w:rPr>
        <w:t>[40] 西藏自治区生态环境厅.西藏自治区生态环境状况公报(2016</w:t>
      </w:r>
      <w:r>
        <w:rPr>
          <w:rFonts w:hint="eastAsia"/>
          <w:sz w:val="20"/>
          <w:szCs w:val="20"/>
        </w:rPr>
        <w:t>—</w:t>
      </w:r>
      <w:r>
        <w:rPr>
          <w:sz w:val="20"/>
          <w:szCs w:val="20"/>
        </w:rPr>
        <w:t>2025)[R].2017</w:t>
      </w:r>
      <w:r>
        <w:rPr>
          <w:rFonts w:hint="eastAsia"/>
          <w:sz w:val="20"/>
          <w:szCs w:val="20"/>
        </w:rPr>
        <w:t>—</w:t>
      </w:r>
      <w:r>
        <w:rPr>
          <w:sz w:val="20"/>
          <w:szCs w:val="20"/>
        </w:rPr>
        <w:t>2026.</w:t>
      </w:r>
    </w:p>
    <w:p w14:paraId="678A688E">
      <w:pPr>
        <w:spacing w:after="20" w:line="300" w:lineRule="auto"/>
        <w:ind w:left="360" w:hanging="360"/>
      </w:pPr>
      <w:r>
        <w:rPr>
          <w:sz w:val="20"/>
          <w:szCs w:val="20"/>
        </w:rPr>
        <w:t>[41] MAZZIOTTA M, PARETO A. On a generalized non-compensatory composite index for measuring socio-economic phenomena[J].Social Indicators Research,2016,127(3):983-1003.</w:t>
      </w:r>
    </w:p>
    <w:p w14:paraId="43DA06B9">
      <w:pPr>
        <w:spacing w:after="20" w:line="300" w:lineRule="auto"/>
        <w:ind w:left="360" w:hanging="360"/>
      </w:pPr>
      <w:r>
        <w:rPr>
          <w:sz w:val="20"/>
          <w:szCs w:val="20"/>
        </w:rPr>
        <w:t>[42] 西藏用电量增速领跑全国[EB/OL].西藏自治区人民政府网,(2025-02-20)[2026-09-04].http://www.xizang.gov.cn/xwzx_406/bmkx/202502/t20250220_464008.html.</w:t>
      </w:r>
    </w:p>
    <w:p w14:paraId="1E40B9B5">
      <w:pPr>
        <w:spacing w:before="240" w:after="60"/>
        <w:jc w:val="center"/>
      </w:pPr>
      <w:r>
        <w:rPr>
          <w:b/>
          <w:bCs/>
          <w:sz w:val="22"/>
          <w:szCs w:val="22"/>
        </w:rPr>
        <w:t>A Triadic Coordination Evaluation of Xizang's High-Quality Development under National Strategic-Function Constraints—A Measurement Based on Security, Development and Ecology</w:t>
      </w:r>
    </w:p>
    <w:p w14:paraId="72317202">
      <w:pPr>
        <w:spacing w:after="100" w:line="300" w:lineRule="auto"/>
        <w:jc w:val="both"/>
      </w:pPr>
      <w:r>
        <w:rPr>
          <w:b/>
          <w:bCs/>
        </w:rPr>
        <w:t>Abstract:</w:t>
      </w:r>
      <w:r>
        <w:t xml:space="preserve"> Xizang serves as a national ecological-security barrier, a border-security barrier and a pilot zone for high-quality plateau economic development, functions that frameworks centred on economic performance cannot fully capture. Drawing on the "four major tasks" of the Party's strategy for governing Xizang in the new era, this paper builds a 13-indicator security–development–ecology framework and measures coordination over 2016–2025 with fixed-benchmark standardisation and an unbalance-penalty coordination index (MPI). The MPI rises from 0.393 to 0.754. The lagging subsystem shifts from ecology (2016–2017) to development (2018–2022), a finding robust across specifications, while security improves more slowly in 2023–2025. A linear index built from the same indicators tracks the MPI closely (r = 0.979), so the framework adds value by identifying phase-specific weak links by strategic function. The paper recommends upgrading services, converting ecological assets into economic value, sustaining livelihood-security spending and monitoring weak links dynamically.</w:t>
      </w:r>
    </w:p>
    <w:p w14:paraId="6DEFACF6">
      <w:pPr>
        <w:spacing w:after="100"/>
        <w:jc w:val="both"/>
      </w:pPr>
      <w:r>
        <w:rPr>
          <w:b/>
          <w:bCs/>
        </w:rPr>
        <w:t>Keywords:</w:t>
      </w:r>
      <w:r>
        <w:t xml:space="preserve"> Xizang; the Party's Strategy for Governing Xizang; High-quality Development; National Strategic Functions; Triadic Coordination; Unbalance-penalty Aggregation</w:t>
      </w:r>
    </w:p>
    <w:sectPr>
      <w:pgSz w:w="11906" w:h="16838"/>
      <w:pgMar w:top="1134" w:right="1440" w:bottom="1134"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line="276" w:lineRule="auto"/>
      </w:pPr>
      <w:r>
        <w:separator/>
      </w:r>
    </w:p>
  </w:footnote>
  <w:footnote w:type="continuationSeparator" w:id="3">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1"/>
  <w:bordersDoNotSurroundFooter w:val="1"/>
  <w:trackRevisions w:val="1"/>
  <w:documentProtection w:enforcement="0"/>
  <w:defaultTabStop w:val="420"/>
  <w:noPunctuationKerning w:val="1"/>
  <w:characterSpacingControl w:val="doNotCompress"/>
  <w:footnotePr>
    <w:footnote w:id="2"/>
    <w:footnote w:id="3"/>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2D1"/>
    <w:rsid w:val="000136A5"/>
    <w:rsid w:val="00051B1B"/>
    <w:rsid w:val="000E26D8"/>
    <w:rsid w:val="000F00B1"/>
    <w:rsid w:val="0014029E"/>
    <w:rsid w:val="001431B0"/>
    <w:rsid w:val="0017437F"/>
    <w:rsid w:val="00184074"/>
    <w:rsid w:val="00187F2C"/>
    <w:rsid w:val="00190CBC"/>
    <w:rsid w:val="001B01FA"/>
    <w:rsid w:val="001F7056"/>
    <w:rsid w:val="00211B45"/>
    <w:rsid w:val="002124A6"/>
    <w:rsid w:val="002367A0"/>
    <w:rsid w:val="002460C5"/>
    <w:rsid w:val="0026294B"/>
    <w:rsid w:val="002A3EA5"/>
    <w:rsid w:val="002A6352"/>
    <w:rsid w:val="002B2866"/>
    <w:rsid w:val="002B47C8"/>
    <w:rsid w:val="002B5CE3"/>
    <w:rsid w:val="002C2709"/>
    <w:rsid w:val="002D2441"/>
    <w:rsid w:val="002D65F2"/>
    <w:rsid w:val="002F64DE"/>
    <w:rsid w:val="00323315"/>
    <w:rsid w:val="003439F0"/>
    <w:rsid w:val="003632B8"/>
    <w:rsid w:val="003C1078"/>
    <w:rsid w:val="003D35EE"/>
    <w:rsid w:val="003F2199"/>
    <w:rsid w:val="00403BF8"/>
    <w:rsid w:val="00414AF7"/>
    <w:rsid w:val="00425592"/>
    <w:rsid w:val="00445916"/>
    <w:rsid w:val="004474EB"/>
    <w:rsid w:val="00454F62"/>
    <w:rsid w:val="00461ED9"/>
    <w:rsid w:val="00486E30"/>
    <w:rsid w:val="004C3D45"/>
    <w:rsid w:val="004C40AA"/>
    <w:rsid w:val="004D26EB"/>
    <w:rsid w:val="004E7EA7"/>
    <w:rsid w:val="00577084"/>
    <w:rsid w:val="005B2CED"/>
    <w:rsid w:val="00634F2D"/>
    <w:rsid w:val="006509D7"/>
    <w:rsid w:val="00673DCF"/>
    <w:rsid w:val="00681A8E"/>
    <w:rsid w:val="00682C14"/>
    <w:rsid w:val="006B22D1"/>
    <w:rsid w:val="006D1320"/>
    <w:rsid w:val="00706B23"/>
    <w:rsid w:val="00730139"/>
    <w:rsid w:val="007354A8"/>
    <w:rsid w:val="00742420"/>
    <w:rsid w:val="00781B3A"/>
    <w:rsid w:val="00784A9B"/>
    <w:rsid w:val="00794EC7"/>
    <w:rsid w:val="007A58A0"/>
    <w:rsid w:val="007C0ADC"/>
    <w:rsid w:val="007C2E52"/>
    <w:rsid w:val="007C4D1F"/>
    <w:rsid w:val="007C6A22"/>
    <w:rsid w:val="0081554C"/>
    <w:rsid w:val="008233F1"/>
    <w:rsid w:val="00866D28"/>
    <w:rsid w:val="00871D2F"/>
    <w:rsid w:val="008945A1"/>
    <w:rsid w:val="008B511C"/>
    <w:rsid w:val="008C2DF7"/>
    <w:rsid w:val="00905D08"/>
    <w:rsid w:val="009606D0"/>
    <w:rsid w:val="009656D2"/>
    <w:rsid w:val="00977FDA"/>
    <w:rsid w:val="00980188"/>
    <w:rsid w:val="009C1B21"/>
    <w:rsid w:val="009D22AE"/>
    <w:rsid w:val="009D69FA"/>
    <w:rsid w:val="00A3402C"/>
    <w:rsid w:val="00A553C6"/>
    <w:rsid w:val="00A603C9"/>
    <w:rsid w:val="00A76DA5"/>
    <w:rsid w:val="00AA29D1"/>
    <w:rsid w:val="00AC064C"/>
    <w:rsid w:val="00AC687F"/>
    <w:rsid w:val="00AE1D6C"/>
    <w:rsid w:val="00AE2FF8"/>
    <w:rsid w:val="00AF0095"/>
    <w:rsid w:val="00AF389B"/>
    <w:rsid w:val="00B405A1"/>
    <w:rsid w:val="00BC1AF2"/>
    <w:rsid w:val="00BE0F6C"/>
    <w:rsid w:val="00BF2B18"/>
    <w:rsid w:val="00C262BB"/>
    <w:rsid w:val="00C43C1D"/>
    <w:rsid w:val="00C51728"/>
    <w:rsid w:val="00C87655"/>
    <w:rsid w:val="00CA5482"/>
    <w:rsid w:val="00CB4E49"/>
    <w:rsid w:val="00CD44CD"/>
    <w:rsid w:val="00D40F55"/>
    <w:rsid w:val="00D5648E"/>
    <w:rsid w:val="00D5726F"/>
    <w:rsid w:val="00D73E52"/>
    <w:rsid w:val="00D859C2"/>
    <w:rsid w:val="00D96D77"/>
    <w:rsid w:val="00D9775C"/>
    <w:rsid w:val="00DB59BB"/>
    <w:rsid w:val="00E101A9"/>
    <w:rsid w:val="00E24121"/>
    <w:rsid w:val="00E7777E"/>
    <w:rsid w:val="00E779F1"/>
    <w:rsid w:val="00EC2A89"/>
    <w:rsid w:val="00EC5EB0"/>
    <w:rsid w:val="00EF3C3D"/>
    <w:rsid w:val="00F02BBC"/>
    <w:rsid w:val="00F115AD"/>
    <w:rsid w:val="00F30DE0"/>
    <w:rsid w:val="00F536ED"/>
    <w:rsid w:val="00F53A23"/>
    <w:rsid w:val="00F566F6"/>
    <w:rsid w:val="00F56A81"/>
    <w:rsid w:val="00F90971"/>
    <w:rsid w:val="00FA67B8"/>
    <w:rsid w:val="00FA78EE"/>
    <w:rsid w:val="00FD6243"/>
    <w:rsid w:val="00FE65B5"/>
    <w:rsid w:val="00FF033D"/>
    <w:rsid w:val="00FF07A4"/>
    <w:rsid w:val="010B69E8"/>
    <w:rsid w:val="082F6793"/>
    <w:rsid w:val="16B2725A"/>
    <w:rsid w:val="1F617319"/>
    <w:rsid w:val="29976824"/>
    <w:rsid w:val="3E5E574F"/>
    <w:rsid w:val="43187AEE"/>
    <w:rsid w:val="5D752C36"/>
    <w:rsid w:val="6B58657E"/>
    <w:rsid w:val="740B0165"/>
    <w:rsid w:val="7DE55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76" w:lineRule="auto"/>
    </w:pPr>
    <w:rPr>
      <w:rFonts w:ascii="Times New Roman" w:hAnsi="Times New Roman" w:eastAsia="宋体" w:cs="Times New Roman"/>
      <w:sz w:val="19"/>
      <w:szCs w:val="19"/>
      <w:lang w:val="en-US" w:eastAsia="zh-CN" w:bidi="ar-SA"/>
    </w:rPr>
  </w:style>
  <w:style w:type="paragraph" w:styleId="2">
    <w:name w:val="heading 1"/>
    <w:qFormat/>
    <w:uiPriority w:val="9"/>
    <w:pPr>
      <w:spacing w:line="276" w:lineRule="auto"/>
      <w:outlineLvl w:val="0"/>
    </w:pPr>
    <w:rPr>
      <w:rFonts w:ascii="Times New Roman" w:hAnsi="Times New Roman" w:eastAsia="宋体" w:cs="Times New Roman"/>
      <w:color w:val="2E74B5"/>
      <w:sz w:val="32"/>
      <w:szCs w:val="32"/>
      <w:lang w:val="en-US" w:eastAsia="zh-CN" w:bidi="ar-SA"/>
    </w:rPr>
  </w:style>
  <w:style w:type="paragraph" w:styleId="3">
    <w:name w:val="heading 2"/>
    <w:semiHidden/>
    <w:unhideWhenUsed/>
    <w:qFormat/>
    <w:uiPriority w:val="9"/>
    <w:pPr>
      <w:spacing w:line="276" w:lineRule="auto"/>
      <w:outlineLvl w:val="1"/>
    </w:pPr>
    <w:rPr>
      <w:rFonts w:ascii="Times New Roman" w:hAnsi="Times New Roman" w:eastAsia="宋体" w:cs="Times New Roman"/>
      <w:color w:val="2E74B5"/>
      <w:sz w:val="26"/>
      <w:szCs w:val="26"/>
      <w:lang w:val="en-US" w:eastAsia="zh-CN" w:bidi="ar-SA"/>
    </w:rPr>
  </w:style>
  <w:style w:type="paragraph" w:styleId="4">
    <w:name w:val="heading 3"/>
    <w:semiHidden/>
    <w:unhideWhenUsed/>
    <w:qFormat/>
    <w:uiPriority w:val="9"/>
    <w:pPr>
      <w:spacing w:line="276" w:lineRule="auto"/>
      <w:outlineLvl w:val="2"/>
    </w:pPr>
    <w:rPr>
      <w:rFonts w:ascii="Times New Roman" w:hAnsi="Times New Roman" w:eastAsia="宋体" w:cs="Times New Roman"/>
      <w:color w:val="1F4D78"/>
      <w:sz w:val="24"/>
      <w:szCs w:val="24"/>
      <w:lang w:val="en-US" w:eastAsia="zh-CN" w:bidi="ar-SA"/>
    </w:rPr>
  </w:style>
  <w:style w:type="paragraph" w:styleId="5">
    <w:name w:val="heading 4"/>
    <w:semiHidden/>
    <w:unhideWhenUsed/>
    <w:qFormat/>
    <w:uiPriority w:val="9"/>
    <w:pPr>
      <w:spacing w:line="276" w:lineRule="auto"/>
      <w:outlineLvl w:val="3"/>
    </w:pPr>
    <w:rPr>
      <w:rFonts w:ascii="Times New Roman" w:hAnsi="Times New Roman" w:eastAsia="宋体" w:cs="Times New Roman"/>
      <w:i/>
      <w:iCs/>
      <w:color w:val="2E74B5"/>
      <w:sz w:val="19"/>
      <w:szCs w:val="19"/>
      <w:lang w:val="en-US" w:eastAsia="zh-CN" w:bidi="ar-SA"/>
    </w:rPr>
  </w:style>
  <w:style w:type="paragraph" w:styleId="6">
    <w:name w:val="heading 5"/>
    <w:semiHidden/>
    <w:unhideWhenUsed/>
    <w:qFormat/>
    <w:uiPriority w:val="9"/>
    <w:pPr>
      <w:spacing w:line="276" w:lineRule="auto"/>
      <w:outlineLvl w:val="4"/>
    </w:pPr>
    <w:rPr>
      <w:rFonts w:ascii="Times New Roman" w:hAnsi="Times New Roman" w:eastAsia="宋体" w:cs="Times New Roman"/>
      <w:color w:val="2E74B5"/>
      <w:sz w:val="19"/>
      <w:szCs w:val="19"/>
      <w:lang w:val="en-US" w:eastAsia="zh-CN" w:bidi="ar-SA"/>
    </w:rPr>
  </w:style>
  <w:style w:type="paragraph" w:styleId="7">
    <w:name w:val="heading 6"/>
    <w:semiHidden/>
    <w:unhideWhenUsed/>
    <w:qFormat/>
    <w:uiPriority w:val="9"/>
    <w:pPr>
      <w:spacing w:line="276" w:lineRule="auto"/>
      <w:outlineLvl w:val="5"/>
    </w:pPr>
    <w:rPr>
      <w:rFonts w:ascii="Times New Roman" w:hAnsi="Times New Roman" w:eastAsia="宋体" w:cs="Times New Roman"/>
      <w:color w:val="1F4D78"/>
      <w:sz w:val="19"/>
      <w:szCs w:val="19"/>
      <w:lang w:val="en-US" w:eastAsia="zh-CN" w:bidi="ar-SA"/>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8">
    <w:name w:val="annotation text"/>
    <w:basedOn w:val="1"/>
    <w:semiHidden/>
    <w:unhideWhenUsed/>
    <w:qFormat/>
    <w:uiPriority w:val="99"/>
  </w:style>
  <w:style w:type="paragraph" w:styleId="9">
    <w:name w:val="endnote text"/>
    <w:link w:val="24"/>
    <w:semiHidden/>
    <w:unhideWhenUsed/>
    <w:qFormat/>
    <w:uiPriority w:val="99"/>
    <w:rPr>
      <w:rFonts w:ascii="Times New Roman" w:hAnsi="Times New Roman" w:eastAsia="宋体" w:cs="Times New Roman"/>
      <w:lang w:val="en-US" w:eastAsia="zh-CN" w:bidi="ar-SA"/>
    </w:rPr>
  </w:style>
  <w:style w:type="paragraph" w:styleId="10">
    <w:name w:val="footer"/>
    <w:basedOn w:val="1"/>
    <w:link w:val="26"/>
    <w:unhideWhenUsed/>
    <w:qFormat/>
    <w:uiPriority w:val="99"/>
    <w:pPr>
      <w:tabs>
        <w:tab w:val="center" w:pos="4153"/>
        <w:tab w:val="right" w:pos="8306"/>
      </w:tabs>
      <w:snapToGrid w:val="0"/>
      <w:spacing w:line="240" w:lineRule="auto"/>
    </w:pPr>
    <w:rPr>
      <w:sz w:val="18"/>
      <w:szCs w:val="18"/>
    </w:rPr>
  </w:style>
  <w:style w:type="paragraph" w:styleId="11">
    <w:name w:val="header"/>
    <w:basedOn w:val="1"/>
    <w:link w:val="25"/>
    <w:unhideWhenUsed/>
    <w:qFormat/>
    <w:uiPriority w:val="99"/>
    <w:pPr>
      <w:tabs>
        <w:tab w:val="center" w:pos="4153"/>
        <w:tab w:val="right" w:pos="8306"/>
      </w:tabs>
      <w:snapToGrid w:val="0"/>
      <w:spacing w:line="240" w:lineRule="auto"/>
      <w:jc w:val="center"/>
    </w:pPr>
    <w:rPr>
      <w:sz w:val="18"/>
      <w:szCs w:val="18"/>
    </w:rPr>
  </w:style>
  <w:style w:type="paragraph" w:styleId="12">
    <w:name w:val="footnote text"/>
    <w:link w:val="23"/>
    <w:semiHidden/>
    <w:unhideWhenUsed/>
    <w:qFormat/>
    <w:uiPriority w:val="99"/>
    <w:rPr>
      <w:rFonts w:ascii="Times New Roman" w:hAnsi="Times New Roman" w:eastAsia="宋体" w:cs="Times New Roman"/>
      <w:lang w:val="en-US" w:eastAsia="zh-CN" w:bidi="ar-SA"/>
    </w:rPr>
  </w:style>
  <w:style w:type="paragraph" w:styleId="13">
    <w:name w:val="Normal (Web)"/>
    <w:basedOn w:val="1"/>
    <w:semiHidden/>
    <w:unhideWhenUsed/>
    <w:qFormat/>
    <w:uiPriority w:val="99"/>
    <w:rPr>
      <w:sz w:val="24"/>
      <w:szCs w:val="24"/>
    </w:rPr>
  </w:style>
  <w:style w:type="paragraph" w:styleId="14">
    <w:name w:val="Title"/>
    <w:qFormat/>
    <w:uiPriority w:val="10"/>
    <w:pPr>
      <w:spacing w:line="276" w:lineRule="auto"/>
    </w:pPr>
    <w:rPr>
      <w:rFonts w:ascii="Times New Roman" w:hAnsi="Times New Roman" w:eastAsia="宋体" w:cs="Times New Roman"/>
      <w:sz w:val="56"/>
      <w:szCs w:val="56"/>
      <w:lang w:val="en-US" w:eastAsia="zh-CN" w:bidi="ar-SA"/>
    </w:rPr>
  </w:style>
  <w:style w:type="character" w:styleId="17">
    <w:name w:val="endnote reference"/>
    <w:semiHidden/>
    <w:unhideWhenUsed/>
    <w:qFormat/>
    <w:uiPriority w:val="99"/>
    <w:rPr>
      <w:vertAlign w:val="superscript"/>
    </w:rPr>
  </w:style>
  <w:style w:type="character" w:styleId="18">
    <w:name w:val="Hyperlink"/>
    <w:unhideWhenUsed/>
    <w:qFormat/>
    <w:uiPriority w:val="99"/>
    <w:rPr>
      <w:color w:val="0563C1"/>
      <w:u w:val="single"/>
    </w:rPr>
  </w:style>
  <w:style w:type="character" w:styleId="19">
    <w:name w:val="annotation reference"/>
    <w:basedOn w:val="16"/>
    <w:semiHidden/>
    <w:unhideWhenUsed/>
    <w:qFormat/>
    <w:uiPriority w:val="99"/>
    <w:rPr>
      <w:sz w:val="21"/>
      <w:szCs w:val="21"/>
    </w:rPr>
  </w:style>
  <w:style w:type="character" w:styleId="20">
    <w:name w:val="footnote reference"/>
    <w:semiHidden/>
    <w:unhideWhenUsed/>
    <w:qFormat/>
    <w:uiPriority w:val="99"/>
    <w:rPr>
      <w:vertAlign w:val="superscript"/>
    </w:rPr>
  </w:style>
  <w:style w:type="paragraph" w:customStyle="1" w:styleId="21">
    <w:name w:val="要点1"/>
    <w:qFormat/>
    <w:uiPriority w:val="0"/>
    <w:pPr>
      <w:spacing w:line="276" w:lineRule="auto"/>
    </w:pPr>
    <w:rPr>
      <w:rFonts w:ascii="Times New Roman" w:hAnsi="Times New Roman" w:eastAsia="宋体" w:cs="Times New Roman"/>
      <w:b/>
      <w:bCs/>
      <w:sz w:val="19"/>
      <w:szCs w:val="19"/>
      <w:lang w:val="en-US" w:eastAsia="zh-CN" w:bidi="ar-SA"/>
    </w:rPr>
  </w:style>
  <w:style w:type="paragraph" w:styleId="22">
    <w:name w:val="List Paragraph"/>
    <w:qFormat/>
    <w:uiPriority w:val="0"/>
    <w:pPr>
      <w:spacing w:line="276" w:lineRule="auto"/>
    </w:pPr>
    <w:rPr>
      <w:rFonts w:ascii="Times New Roman" w:hAnsi="Times New Roman" w:eastAsia="宋体" w:cs="Times New Roman"/>
      <w:sz w:val="19"/>
      <w:szCs w:val="19"/>
      <w:lang w:val="en-US" w:eastAsia="zh-CN" w:bidi="ar-SA"/>
    </w:rPr>
  </w:style>
  <w:style w:type="character" w:customStyle="1" w:styleId="23">
    <w:name w:val="脚注文本 字符"/>
    <w:link w:val="12"/>
    <w:semiHidden/>
    <w:unhideWhenUsed/>
    <w:qFormat/>
    <w:uiPriority w:val="99"/>
    <w:rPr>
      <w:sz w:val="20"/>
      <w:szCs w:val="20"/>
    </w:rPr>
  </w:style>
  <w:style w:type="character" w:customStyle="1" w:styleId="24">
    <w:name w:val="尾注文本 字符"/>
    <w:link w:val="9"/>
    <w:semiHidden/>
    <w:unhideWhenUsed/>
    <w:qFormat/>
    <w:uiPriority w:val="99"/>
    <w:rPr>
      <w:sz w:val="20"/>
      <w:szCs w:val="20"/>
    </w:rPr>
  </w:style>
  <w:style w:type="character" w:customStyle="1" w:styleId="25">
    <w:name w:val="页眉 字符"/>
    <w:basedOn w:val="16"/>
    <w:link w:val="11"/>
    <w:qFormat/>
    <w:uiPriority w:val="99"/>
    <w:rPr>
      <w:sz w:val="18"/>
      <w:szCs w:val="18"/>
    </w:rPr>
  </w:style>
  <w:style w:type="character" w:customStyle="1" w:styleId="26">
    <w:name w:val="页脚 字符"/>
    <w:basedOn w:val="16"/>
    <w:link w:val="10"/>
    <w:qFormat/>
    <w:uiPriority w:val="99"/>
    <w:rPr>
      <w:sz w:val="18"/>
      <w:szCs w:val="18"/>
    </w:rPr>
  </w:style>
  <w:style w:type="paragraph" w:customStyle="1" w:styleId="27">
    <w:name w:val="修订1"/>
    <w:hidden/>
    <w:unhideWhenUsed/>
    <w:qFormat/>
    <w:uiPriority w:val="99"/>
    <w:rPr>
      <w:rFonts w:ascii="Times New Roman" w:hAnsi="Times New Roman" w:eastAsia="宋体" w:cs="Times New Roman"/>
      <w:sz w:val="19"/>
      <w:szCs w:val="19"/>
      <w:lang w:val="en-US" w:eastAsia="zh-CN" w:bidi="ar-SA"/>
    </w:rPr>
  </w:style>
  <w:style w:type="paragraph" w:customStyle="1" w:styleId="28">
    <w:name w:val="Revision"/>
    <w:hidden/>
    <w:unhideWhenUsed/>
    <w:qFormat/>
    <w:uiPriority w:val="99"/>
    <w:rPr>
      <w:rFonts w:ascii="Times New Roman" w:hAnsi="Times New Roman" w:eastAsia="宋体" w:cs="Times New Roman"/>
      <w:sz w:val="19"/>
      <w:szCs w:val="19"/>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CDD78-3035-4116-A17A-5D6CE0EE56AC}">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7301</Words>
  <Characters>7502</Characters>
  <Lines>544</Lines>
  <Paragraphs>468</Paragraphs>
  <TotalTime>63</TotalTime>
  <ScaleCrop>false</ScaleCrop>
  <LinksUpToDate>false</LinksUpToDate>
  <CharactersWithSpaces>7509</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2026-09-24T09:52:00Z</dcterms:created>
  <dc:creator/>
  <cp:lastModifiedBy/>
  <dcterms:modified xsi:type="dcterms:W3CDTF">2026-09-29T13:07:42Z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3" name="KSOProductBuildVer">
    <vt:lpwstr>2052-12.1.0.28505</vt:lpwstr>
  </property>
  <property fmtid="{D5CDD505-2E9C-101B-9397-08002B2CF9AE}" pid="4" name="ICV">
    <vt:lpwstr>EE787D102D7E4EA7A8BC8772EDC44548_12</vt:lpwstr>
  </property>
</Properties>
</file>