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Own revenue in Tibet’s counties is far more unequal than spending or output.</w:t>
      </w:r>
    </w:p>
    <w:p>
      <w:pPr>
        <w:numPr>
          <w:ilvl w:val="0"/>
          <w:numId w:val="1001"/>
        </w:numPr>
        <w:pStyle w:val="Compact"/>
      </w:pPr>
      <w:r>
        <w:t xml:space="preserve">Transfers decouple county spending from local output in levels and changes.</w:t>
      </w:r>
    </w:p>
    <w:p>
      <w:pPr>
        <w:numPr>
          <w:ilvl w:val="0"/>
          <w:numId w:val="1001"/>
        </w:numPr>
        <w:pStyle w:val="Compact"/>
      </w:pPr>
      <w:r>
        <w:t xml:space="preserve">Equalisation of spending peaked in 2018–2022 and weakened after the pandemic.</w:t>
      </w:r>
    </w:p>
    <w:p>
      <w:pPr>
        <w:numPr>
          <w:ilvl w:val="0"/>
          <w:numId w:val="1001"/>
        </w:numPr>
        <w:pStyle w:val="Compact"/>
      </w:pPr>
      <w:r>
        <w:t xml:space="preserve">County revenue rises with output growth but does not fall in contractions.</w:t>
      </w:r>
    </w:p>
    <w:p>
      <w:pPr>
        <w:numPr>
          <w:ilvl w:val="0"/>
          <w:numId w:val="1001"/>
        </w:numPr>
        <w:pStyle w:val="Compact"/>
      </w:pPr>
      <w:r>
        <w:t xml:space="preserve">Output per capita shows β-convergence but no σ-convergence over 2016–2024.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360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rFonts w:ascii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2026-10-22T08:55:09Z</dcterms:created>
  <dcterms:modified xsi:type="dcterms:W3CDTF">2026-10-22T08:55:09Z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