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Asymmetric</w:t>
      </w:r>
      <w:r>
        <w:t xml:space="preserve"> </w:t>
      </w:r>
      <w:r>
        <w:t xml:space="preserve">fiscal</w:t>
      </w:r>
      <w:r>
        <w:t xml:space="preserve"> </w:t>
      </w:r>
      <w:r>
        <w:t xml:space="preserve">capacity</w:t>
      </w:r>
      <w:r>
        <w:t xml:space="preserve"> </w:t>
      </w:r>
      <w:r>
        <w:t xml:space="preserve">and</w:t>
      </w:r>
      <w:r>
        <w:t xml:space="preserve"> </w:t>
      </w:r>
      <w:r>
        <w:t xml:space="preserve">insulated</w:t>
      </w:r>
      <w:r>
        <w:t xml:space="preserve"> </w:t>
      </w:r>
      <w:r>
        <w:t xml:space="preserve">spending</w:t>
      </w:r>
      <w:r>
        <w:t xml:space="preserve"> </w:t>
      </w:r>
      <w:r>
        <w:t xml:space="preserve">in</w:t>
      </w:r>
      <w:r>
        <w:t xml:space="preserve"> </w:t>
      </w:r>
      <w:r>
        <w:t xml:space="preserve">a</w:t>
      </w:r>
      <w:r>
        <w:t xml:space="preserve"> </w:t>
      </w:r>
      <w:r>
        <w:t xml:space="preserve">transfer-dependent</w:t>
      </w:r>
      <w:r>
        <w:t xml:space="preserve"> </w:t>
      </w:r>
      <w:r>
        <w:t xml:space="preserve">periphery:</w:t>
      </w:r>
      <w:r>
        <w:t xml:space="preserve"> </w:t>
      </w:r>
      <w:r>
        <w:t xml:space="preserve">County-level</w:t>
      </w:r>
      <w:r>
        <w:t xml:space="preserve"> </w:t>
      </w:r>
      <w:r>
        <w:t xml:space="preserve">evidence</w:t>
      </w:r>
      <w:r>
        <w:t xml:space="preserve"> </w:t>
      </w:r>
      <w:r>
        <w:t xml:space="preserve">from</w:t>
      </w:r>
      <w:r>
        <w:t xml:space="preserve"> </w:t>
      </w:r>
      <w:r>
        <w:t xml:space="preserve">Tibet,</w:t>
      </w:r>
      <w:r>
        <w:t xml:space="preserve"> </w:t>
      </w:r>
      <w:r>
        <w:t xml:space="preserve">2016–2024</w:t>
      </w:r>
    </w:p>
    <w:bookmarkStart w:id="20" w:name="abstract"/>
    <w:p>
      <w:pPr>
        <w:pStyle w:val="Heading1"/>
      </w:pPr>
      <w:r>
        <w:t xml:space="preserve">Abstract</w:t>
      </w:r>
    </w:p>
    <w:p>
      <w:pPr>
        <w:pStyle w:val="FirstParagraph"/>
      </w:pPr>
      <w:r>
        <w:t xml:space="preserve">This paper documents three asymmetries in the public finances and output of a transfer-dependent periphery, using a panel of 73 county-level units in the Tibet Autonomous Region of China over 2016–2024. First, the distribution of fiscal capacity is far more unequal than the distribution of spending: the population-weighted Gini coefficient of own revenue per capita lies between 0.48 and 0.64, against 0.32–0.37 for output and 0.22–0.28 for expenditure. Own revenue finances a median of 3.9–5.1% of county spending, and the elasticity of own revenue with respect to output (1.17) is more than three times that of expenditure (0.35). Second, the strength of equalisation itself was uneven over time: the share of revenue inequality removed by the spending distribution rose from 0.46 in 2016 to 0.60–0.64 in 2018–2022 and fell back to 0.49 by 2024. Third, the cyclical behaviour of the two sides of the budget differs. Own revenue rises with output growth (elasticity 0.38) but does not fall when output contracts; equality of the two responses is rejected (</w:t>
      </w:r>
      <w:r>
        <w:rPr>
          <w:iCs/>
          <w:i/>
        </w:rPr>
        <w:t xml:space="preserve">p</w:t>
      </w:r>
      <w:r>
        <w:t xml:space="preserve"> </w:t>
      </w:r>
      <w:r>
        <w:t xml:space="preserve">= 0.003). Expenditure, in contrast, is insulated from both increases and decreases in local output and revenue. Output per capita shows β-convergence of about 3.4% per year but no σ-convergence. The findings suggest that transfers in such regions act less as an equaliser of growth than as insurance for the level of public spending, while the burden of downturns falls asymmetrically on local revenue collection.</w:t>
      </w:r>
    </w:p>
    <w:p>
      <w:pPr>
        <w:pStyle w:val="BodyText"/>
      </w:pPr>
      <w:r>
        <w:rPr>
          <w:bCs/>
          <w:b/>
        </w:rPr>
        <w:t xml:space="preserve">Keywords:</w:t>
      </w:r>
      <w:r>
        <w:t xml:space="preserve"> </w:t>
      </w:r>
      <w:r>
        <w:t xml:space="preserve">Fiscal asymmetry; Intergovernmental transfers; Fiscal equalisation; Regional inequality; Convergence; Tibet</w:t>
      </w:r>
    </w:p>
    <w:p>
      <w:pPr>
        <w:pStyle w:val="BodyText"/>
      </w:pPr>
      <w:r>
        <w:rPr>
          <w:bCs/>
          <w:b/>
        </w:rPr>
        <w:t xml:space="preserve">JEL classification:</w:t>
      </w:r>
      <w:r>
        <w:t xml:space="preserve"> </w:t>
      </w:r>
      <w:r>
        <w:t xml:space="preserve">H71; H77; R11; O18</w:t>
      </w:r>
    </w:p>
    <w:bookmarkEnd w:id="20"/>
    <w:bookmarkStart w:id="21" w:name="introduction"/>
    <w:p>
      <w:pPr>
        <w:pStyle w:val="Heading1"/>
      </w:pPr>
      <w:r>
        <w:t xml:space="preserve">1. Introduction</w:t>
      </w:r>
    </w:p>
    <w:p>
      <w:pPr>
        <w:pStyle w:val="FirstParagraph"/>
      </w:pPr>
      <w:r>
        <w:t xml:space="preserve">Large federations and unitary states alike sustain peripheral regions whose own fiscal base is a small fraction of what they spend. In these regions the relationship between the local economy and the local public sector is shaped less by local preferences and tax bases than by the rules of the intergovernmental system. The resulting asymmetries are of two kinds. The first is distributional: fiscal capacity is concentrated in a few places, while spending is spread more evenly because transfers fill the gap. The second is dynamic: the two sides of the budget need not respond in the same way when the local economy expands as when it contracts. Both kinds of asymmetry bear on central questions about intergovernmental finance, including whether transfers equalise opportunities or merely spending levels, and who absorbs the cost of local downturns.</w:t>
      </w:r>
    </w:p>
    <w:p>
      <w:pPr>
        <w:pStyle w:val="BodyText"/>
      </w:pPr>
      <w:r>
        <w:t xml:space="preserve">The empirical literature on asymmetric fiscal responses has focused mainly on spending. Gamkhar and Oates (1996) and Stine (1994) asked whether local governments cut spending when grants fall by the same amount as they raise it when grants rise, building on the flypaper puzzle reviewed by Hines and Thaler (1995). For China, a large literature studies the equalising power of intergovernmental transfers across provinces and counties (Tsui, 2005; Huang &amp; Chen, 2012; Yang et al., 2024) and documents the pressure that higher levels of government place on local revenue collection (Lü &amp; Landry, 2014; Chen, 2017). What is less well documented is how these features combine in a region where transfers dominate local budgets, and whether revenue and spending respond symmetrically to positive and negative output shocks.</w:t>
      </w:r>
    </w:p>
    <w:p>
      <w:pPr>
        <w:pStyle w:val="BodyText"/>
      </w:pPr>
      <w:r>
        <w:t xml:space="preserve">This paper studies that combination in the Tibet Autonomous Region (hereafter Tibet), which offers an extreme case. Tibet is large, sparsely populated and high-altitude, and its counties combine very low own-revenue capacity with spending financed overwhelmingly by transfers. Fischer (2014) argues that Tibet’s growth has been driven by external subsidy and investment rather than by its local economy. I use a county-level panel compiled from official statistical sources covering 73 of the region’s 74 county-level units for 2016–2024, with data on gross domestic product (GDP), registered population, local general budget revenue and local general budget expenditure. The period includes the COVID-19 disruption of 2020–2022 and the recovery that followed.</w:t>
      </w:r>
    </w:p>
    <w:p>
      <w:pPr>
        <w:pStyle w:val="BodyText"/>
      </w:pPr>
      <w:r>
        <w:t xml:space="preserve">The analysis proceeds in four steps. I first measure the inequality of output, own revenue and expenditure per capita with population-weighted Gini and Theil indices. I then decompose these indices into between- and within-prefecture components. Second, I estimate cross-sectional and within-county elasticities of revenue and expenditure with respect to output. These elasticities summarise how far the transfer system decouples spending from the local economy. Third, I test for β- and σ-convergence in output per capita. Fourth, I estimate first-difference models in which positive and negative changes in output and own revenue enter separately, and I test whether county revenue and expenditure respond symmetrically.</w:t>
      </w:r>
    </w:p>
    <w:p>
      <w:pPr>
        <w:pStyle w:val="BodyText"/>
      </w:pPr>
      <w:r>
        <w:t xml:space="preserve">The paper makes three contributions. First, it quantifies the gap between the distribution of fiscal capacity and the distribution of public spending at the county level in a transfer-dependent region, and it shows that the degree of equalisation is not constant. Equalisation was stronger during 2018–2022 than either before or after. Second, it shows that the two sides of the county budget behave asymmetrically over the cycle. Spending is insulated from local output in both directions, so there is no evidence of the grant asymmetries reported for US local governments. Own revenue, however, follows output upwards but not downwards. Third, it shows that output per capita in Tibet’s counties exhibits β-convergence without σ-convergence. The fiscal system has therefore stabilised spending without compressing the dispersion of output.</w:t>
      </w:r>
    </w:p>
    <w:p>
      <w:pPr>
        <w:pStyle w:val="BodyText"/>
      </w:pPr>
      <w:r>
        <w:t xml:space="preserve">The remainder of the paper is organised as follows. Section 2 describes the institutional setting and related literature. Section 3 presents the data, the inequality measures and the econometric specifications. Section 4 reports the results and robustness checks. Section 5 discusses interpretation, policy implications and limitations, and Section 6 concludes.</w:t>
      </w:r>
    </w:p>
    <w:bookmarkEnd w:id="21"/>
    <w:bookmarkStart w:id="24" w:name="Xe94071b5786b50c90783b1d675a013dc2c057ba"/>
    <w:p>
      <w:pPr>
        <w:pStyle w:val="Heading1"/>
      </w:pPr>
      <w:r>
        <w:t xml:space="preserve">2. Institutional background and related literature</w:t>
      </w:r>
    </w:p>
    <w:bookmarkStart w:id="22" w:name="county-public-finance-in-tibet"/>
    <w:p>
      <w:pPr>
        <w:pStyle w:val="Heading2"/>
      </w:pPr>
      <w:r>
        <w:t xml:space="preserve">2.1. County public finance in Tibet</w:t>
      </w:r>
    </w:p>
    <w:p>
      <w:pPr>
        <w:pStyle w:val="FirstParagraph"/>
      </w:pPr>
      <w:r>
        <w:t xml:space="preserve">China’s 1994 tax-sharing reform assigned the most buoyant taxes largely to the central government and left subnational governments with spending responsibilities that exceed their own revenue. The gap is closed by a combination of tax rebates, general (equalisation) transfers and earmarked transfers (Shen et al., 2012). Below the provincial level, revenue assignments and transfer rules are set by each province, and counties are the main providers of basic public services. Tsui (2005) shows that the resulting system left large county-level disparities in fiscal capacity. Huang and Chen (2012) find that the equalising effect of transfers across provinces has been limited.</w:t>
      </w:r>
    </w:p>
    <w:p>
      <w:pPr>
        <w:pStyle w:val="BodyText"/>
      </w:pPr>
      <w:r>
        <w:t xml:space="preserve">Tibet is the most transfer-dependent provincial-level unit in China. Its 74 county-level units are grouped into seven prefecture-level units: Lhasa, Shigatse, Chamdo, Nyingchi, Shannan, Nagqu and Ngari. They differ greatly in population density, altitude, access to markets and economic structure. Lhasa and Nyingchi have the largest service and tourism sectors. Nagqu and Ngari are dominated by pastoralism and have very low population density. Because own revenue is small, most of a county’s budget is determined by allocations from higher levels. The distinction that matters for this paper is between</w:t>
      </w:r>
      <w:r>
        <w:t xml:space="preserve"> </w:t>
      </w:r>
      <w:r>
        <w:rPr>
          <w:iCs/>
          <w:i/>
        </w:rPr>
        <w:t xml:space="preserve">own revenue</w:t>
      </w:r>
      <w:r>
        <w:t xml:space="preserve">, which reflects the local tax base and collection effort, and</w:t>
      </w:r>
      <w:r>
        <w:t xml:space="preserve"> </w:t>
      </w:r>
      <w:r>
        <w:rPr>
          <w:iCs/>
          <w:i/>
        </w:rPr>
        <w:t xml:space="preserve">expenditure</w:t>
      </w:r>
      <w:r>
        <w:t xml:space="preserve">, which reflects both own revenue and transfers.</w:t>
      </w:r>
    </w:p>
    <w:bookmarkEnd w:id="22"/>
    <w:bookmarkStart w:id="23" w:name="X6ef530684e1f443dad7e6c142149566d5f51a28"/>
    <w:p>
      <w:pPr>
        <w:pStyle w:val="Heading2"/>
      </w:pPr>
      <w:r>
        <w:t xml:space="preserve">2.2. Asymmetries in subnational public finance</w:t>
      </w:r>
    </w:p>
    <w:p>
      <w:pPr>
        <w:pStyle w:val="FirstParagraph"/>
      </w:pPr>
      <w:r>
        <w:t xml:space="preserve">Three strands of work motivate the analysis. The first concerns the distributional asymmetry between fiscal capacity and fiscal need. In the fiscal federalism tradition, transfers are justified partly by the mismatch between where taxable capacity is located and where public services must be provided (Oates, 1999). A simple way to describe this mismatch is to compare the inequality of own revenue with that of expenditure. The difference indicates how much of the capacity gap the transfer system closes.</w:t>
      </w:r>
    </w:p>
    <w:p>
      <w:pPr>
        <w:pStyle w:val="BodyText"/>
      </w:pPr>
      <w:r>
        <w:t xml:space="preserve">The second strand concerns dynamic asymmetry. Gamkhar and Oates (1996) study US state and local governments and find that spending responds differently to increases and decreases in federal grants. Stine (1994) finds an asymmetric response of Pennsylvania county governments during a period of grant retrenchment. A related question concerns local revenue. Chinese local officials face strong incentives to meet revenue targets (Lü &amp; Landry, 2014). When revenue sources shrink, counties can offset the loss through tighter enforcement (Chen, 2017). These incentives imply that local revenue may not fall in proportion to output when output contracts. Notably, Lü and Landry (2014) report that the competition–extraction relationship they document does not hold in politically sensitive ethnic minority regions. That makes the behaviour of revenue in Tibet an open empirical question.</w:t>
      </w:r>
    </w:p>
    <w:p>
      <w:pPr>
        <w:pStyle w:val="BodyText"/>
      </w:pPr>
      <w:r>
        <w:t xml:space="preserve">The third strand concerns regional convergence and the decomposition of regional inequality. Barro and Sala-i-Martin (1992) formalise β-convergence. Quah (1993) and Friedman (1992) show that a negative relation between initial level and subsequent growth does not imply a decline in dispersion, so σ-convergence must be examined separately. Additively decomposable inequality indices (Shorrocks, 1980) allow inequality to be split into between-group and within-group components. Kanbur and Zhang (2005) and Akita (2003) apply such decompositions to Chinese regional inequality. I follow these approaches but apply them to fiscal as well as output variables, so that the inequality of capacity, spending and output can be compared on the same footing.</w:t>
      </w:r>
    </w:p>
    <w:bookmarkEnd w:id="23"/>
    <w:bookmarkEnd w:id="24"/>
    <w:bookmarkStart w:id="28" w:name="data-and-methods"/>
    <w:p>
      <w:pPr>
        <w:pStyle w:val="Heading1"/>
      </w:pPr>
      <w:r>
        <w:t xml:space="preserve">3. Data and methods</w:t>
      </w:r>
    </w:p>
    <w:bookmarkStart w:id="25" w:name="data"/>
    <w:p>
      <w:pPr>
        <w:pStyle w:val="Heading2"/>
      </w:pPr>
      <w:r>
        <w:t xml:space="preserve">3.1. Data</w:t>
      </w:r>
    </w:p>
    <w:p>
      <w:pPr>
        <w:pStyle w:val="FirstParagraph"/>
      </w:pPr>
      <w:r>
        <w:t xml:space="preserve">The data are an annual panel of the county-level units of Tibet for 2016–2024. They were compiled from county and prefecture statistical bulletins and official statistical compilations. The variables are GDP at current prices, year-end registered (</w:t>
      </w:r>
      <w:r>
        <w:rPr>
          <w:iCs/>
          <w:i/>
        </w:rPr>
        <w:t xml:space="preserve">hukou</w:t>
      </w:r>
      <w:r>
        <w:t xml:space="preserve">) population, local general budget revenue (own revenue) and local general budget expenditure. Chengguan District, the urban core of Lhasa, has GDP data but no population or fiscal data. It is therefore excluded from all per-capita and fiscal analyses, leaving 73 counties and 657 county-year observations. Chengguan’s share of the GDP of all 74 units fell from 21.7% in 2016 to 16.7% in 2024, so excluding it removes the single largest urban economy and makes the estimates conservative with respect to the core–periphery gap.</w:t>
      </w:r>
    </w:p>
    <w:p>
      <w:pPr>
        <w:pStyle w:val="BodyText"/>
      </w:pPr>
      <w:r>
        <w:t xml:space="preserve">Two features of the data shape the analysis. First, county own revenue is small and volatile, and the raw series contains a few values that are clearly misreported. In several counties in 2018, for example, the reported revenue nearly equals the expenditure figure for the same year and is more than ten times the values in adjacent years. I apply three mechanical rules, fixed before estimation, to identify such values and set them to missing. A value is treated as a reversing spike if it differs by a factor of more than four from both adjacent years in the same direction. Own revenue is treated as a duplicated expenditure figure if it is at least 80% of expenditure in a county whose median self-sufficiency is below 20%. Expenditure is treated as misreported if it falls below own revenue. These rules affect 11 of the 1,314 fiscal observations and are listed in Appendix A (Table A.1). All main results are re-estimated on the uncleaned data in Section 4.5. Second, the GDP series of two counties (Gar in 2020 and Seni in 2019) show level shifts consistent with statistical re-basing rather than real growth. I retain them in the baseline and exclude them in robustness checks.</w:t>
      </w:r>
    </w:p>
    <w:p>
      <w:pPr>
        <w:pStyle w:val="BodyText"/>
      </w:pPr>
      <w:r>
        <w:t xml:space="preserve">Per-capita variables use registered population, which is the only population measure available for all counties throughout the period. Registered population is rounded to the nearest thousand persons in the source, which introduces measurement error in per-capita levels for the smallest counties. This error is absorbed by county fixed effects in the within-county specifications. All monetary variables are in current yuan. Year fixed effects absorb common price movements in all regressions.</w:t>
      </w:r>
    </w:p>
    <w:bookmarkEnd w:id="25"/>
    <w:bookmarkStart w:id="26" w:name="inequality-measures"/>
    <w:p>
      <w:pPr>
        <w:pStyle w:val="Heading2"/>
      </w:pPr>
      <w:r>
        <w:t xml:space="preserve">3.2. Inequality measures</w:t>
      </w:r>
    </w:p>
    <w:p>
      <w:pPr>
        <w:pStyle w:val="FirstParagraph"/>
      </w:pPr>
      <w:r>
        <w:t xml:space="preserve">For a variable</w:t>
      </w:r>
      <w:r>
        <w:t xml:space="preserve"> </w:t>
      </w:r>
      <m:oMath>
        <m:sSub>
          <m:e>
            <m:r>
              <m:t>x</m:t>
            </m:r>
          </m:e>
          <m:sub>
            <m:r>
              <m:t>i</m:t>
            </m:r>
          </m:sub>
        </m:sSub>
      </m:oMath>
      <w:r>
        <w:t xml:space="preserve"> </w:t>
      </w:r>
      <w:r>
        <w:t xml:space="preserve">(per capita) in county</w:t>
      </w:r>
      <w:r>
        <w:t xml:space="preserve"> </w:t>
      </w:r>
      <m:oMath>
        <m:r>
          <m:t>i</m:t>
        </m:r>
      </m:oMath>
      <w:r>
        <w:t xml:space="preserve"> </w:t>
      </w:r>
      <w:r>
        <w:t xml:space="preserve">with population share</w:t>
      </w:r>
      <w:r>
        <w:t xml:space="preserve"> </w:t>
      </w:r>
      <m:oMath>
        <m:sSub>
          <m:e>
            <m:r>
              <m:t>p</m:t>
            </m:r>
          </m:e>
          <m:sub>
            <m:r>
              <m:t>i</m:t>
            </m:r>
          </m:sub>
        </m:sSub>
      </m:oMath>
      <w:r>
        <w:t xml:space="preserve"> </w:t>
      </w:r>
      <w:r>
        <w:t xml:space="preserve">and population-weighted mean</w:t>
      </w:r>
      <w:r>
        <w:t xml:space="preserve"> </w:t>
      </w:r>
      <m:oMath>
        <m:r>
          <m:t>μ</m:t>
        </m:r>
      </m:oMath>
      <w:r>
        <w:t xml:space="preserve">, I compute the Gini coefficient and two members of the generalised entropy class, the Theil</w:t>
      </w:r>
      <w:r>
        <w:t xml:space="preserve"> </w:t>
      </w:r>
      <w:r>
        <w:rPr>
          <w:iCs/>
          <w:i/>
        </w:rPr>
        <w:t xml:space="preserve">T</w:t>
      </w:r>
      <w:r>
        <w:t xml:space="preserve"> </w:t>
      </w:r>
      <w:r>
        <w:t xml:space="preserve">index and the mean log deviation (Theil</w:t>
      </w:r>
      <w:r>
        <w:t xml:space="preserve"> </w:t>
      </w:r>
      <w:r>
        <w:rPr>
          <w:iCs/>
          <w:i/>
        </w:rPr>
        <w:t xml:space="preserve">L</w:t>
      </w:r>
      <w:r>
        <w:t xml:space="preserve">):</w:t>
      </w:r>
    </w:p>
    <w:p>
      <w:pPr>
        <w:pStyle w:val="BodyText"/>
      </w:pPr>
      <m:oMathPara>
        <m:oMathParaPr>
          <m:jc m:val="center"/>
        </m:oMathParaPr>
        <m:oMath>
          <m:r>
            <m:t>T</m:t>
          </m:r>
          <m:r>
            <m:rPr>
              <m:sty m:val="p"/>
            </m:rPr>
            <m:t>=</m:t>
          </m:r>
          <m:nary>
            <m:naryPr>
              <m:chr m:val="∑"/>
              <m:limLoc m:val="undOvr"/>
              <m:subHide m:val="off"/>
              <m:supHide m:val="on"/>
            </m:naryPr>
            <m:sub>
              <m:r>
                <m:t>i</m:t>
              </m:r>
            </m:sub>
            <m:sup>
              <m:r>
                <m:t>​</m:t>
              </m:r>
            </m:sup>
            <m:e>
              <m:sSub>
                <m:e>
                  <m:r>
                    <m:t>p</m:t>
                  </m:r>
                </m:e>
                <m:sub>
                  <m:r>
                    <m:t>i</m:t>
                  </m:r>
                </m:sub>
              </m:sSub>
            </m:e>
          </m:nary>
          <m:f>
            <m:fPr>
              <m:type m:val="bar"/>
            </m:fPr>
            <m:num>
              <m:sSub>
                <m:e>
                  <m:r>
                    <m:t>x</m:t>
                  </m:r>
                </m:e>
                <m:sub>
                  <m:r>
                    <m:t>i</m:t>
                  </m:r>
                </m:sub>
              </m:sSub>
            </m:num>
            <m:den>
              <m:r>
                <m:t>μ</m:t>
              </m:r>
            </m:den>
          </m:f>
          <m:r>
            <m:rPr>
              <m:sty m:val="p"/>
            </m:rPr>
            <m:t>ln</m:t>
          </m:r>
          <m:f>
            <m:fPr>
              <m:type m:val="bar"/>
            </m:fPr>
            <m:num>
              <m:sSub>
                <m:e>
                  <m:r>
                    <m:t>x</m:t>
                  </m:r>
                </m:e>
                <m:sub>
                  <m:r>
                    <m:t>i</m:t>
                  </m:r>
                </m:sub>
              </m:sSub>
            </m:num>
            <m:den>
              <m:r>
                <m:t>μ</m:t>
              </m:r>
            </m:den>
          </m:f>
          <m:r>
            <m:rPr>
              <m:sty m:val="p"/>
            </m:rPr>
            <m:t>,</m:t>
          </m:r>
          <m:r>
            <m:t>  </m:t>
          </m:r>
          <m:r>
            <m:t>L</m:t>
          </m:r>
          <m:r>
            <m:rPr>
              <m:sty m:val="p"/>
            </m:rPr>
            <m:t>=</m:t>
          </m:r>
          <m:nary>
            <m:naryPr>
              <m:chr m:val="∑"/>
              <m:limLoc m:val="undOvr"/>
              <m:subHide m:val="off"/>
              <m:supHide m:val="on"/>
            </m:naryPr>
            <m:sub>
              <m:r>
                <m:t>i</m:t>
              </m:r>
            </m:sub>
            <m:sup>
              <m:r>
                <m:t>​</m:t>
              </m:r>
            </m:sup>
            <m:e>
              <m:sSub>
                <m:e>
                  <m:r>
                    <m:t>p</m:t>
                  </m:r>
                </m:e>
                <m:sub>
                  <m:r>
                    <m:t>i</m:t>
                  </m:r>
                </m:sub>
              </m:sSub>
            </m:e>
          </m:nary>
          <m:r>
            <m:rPr>
              <m:sty m:val="p"/>
            </m:rPr>
            <m:t>ln</m:t>
          </m:r>
          <m:f>
            <m:fPr>
              <m:type m:val="bar"/>
            </m:fPr>
            <m:num>
              <m:r>
                <m:t>μ</m:t>
              </m:r>
            </m:num>
            <m:den>
              <m:sSub>
                <m:e>
                  <m:r>
                    <m:t>x</m:t>
                  </m:r>
                </m:e>
                <m:sub>
                  <m:r>
                    <m:t>i</m:t>
                  </m:r>
                </m:sub>
              </m:sSub>
            </m:den>
          </m:f>
          <m:r>
            <m:rPr>
              <m:sty m:val="p"/>
            </m:rPr>
            <m:t>.</m:t>
          </m:r>
          <m:r>
            <m:t>  </m:t>
          </m:r>
          <m:d>
            <m:dPr>
              <m:begChr m:val="("/>
              <m:endChr m:val=")"/>
              <m:sepChr m:val=""/>
              <m:grow/>
            </m:dPr>
            <m:e>
              <m:r>
                <m:t>1</m:t>
              </m:r>
            </m:e>
          </m:d>
        </m:oMath>
      </m:oMathPara>
    </w:p>
    <w:p>
      <w:pPr>
        <w:pStyle w:val="FirstParagraph"/>
      </w:pPr>
      <w:r>
        <w:t xml:space="preserve">Both indices are additively decomposable across the seven prefectures</w:t>
      </w:r>
      <w:r>
        <w:t xml:space="preserve"> </w:t>
      </w:r>
      <m:oMath>
        <m:r>
          <m:t>g</m:t>
        </m:r>
      </m:oMath>
      <w:r>
        <w:t xml:space="preserve"> </w:t>
      </w:r>
      <w:r>
        <w:t xml:space="preserve">(Shorrocks, 1980):</w:t>
      </w:r>
    </w:p>
    <w:p>
      <w:pPr>
        <w:pStyle w:val="BodyText"/>
      </w:pPr>
      <m:oMathPara>
        <m:oMathParaPr>
          <m:jc m:val="center"/>
        </m:oMathParaPr>
        <m:oMath>
          <m:r>
            <m:t>T</m:t>
          </m:r>
          <m:r>
            <m:rPr>
              <m:sty m:val="p"/>
            </m:rPr>
            <m:t>=</m:t>
          </m:r>
          <m:nary>
            <m:naryPr>
              <m:chr m:val="∑"/>
              <m:limLoc m:val="undOvr"/>
              <m:subHide m:val="off"/>
              <m:supHide m:val="on"/>
            </m:naryPr>
            <m:sub>
              <m:r>
                <m:t>g</m:t>
              </m:r>
            </m:sub>
            <m:sup>
              <m:r>
                <m:t>​</m:t>
              </m:r>
            </m:sup>
            <m:e>
              <m:sSub>
                <m:e>
                  <m:r>
                    <m:t>s</m:t>
                  </m:r>
                </m:e>
                <m:sub>
                  <m:r>
                    <m:t>g</m:t>
                  </m:r>
                </m:sub>
              </m:sSub>
            </m:e>
          </m:nary>
          <m:sSub>
            <m:e>
              <m:r>
                <m:t>T</m:t>
              </m:r>
            </m:e>
            <m:sub>
              <m:r>
                <m:t>g</m:t>
              </m:r>
            </m:sub>
          </m:sSub>
          <m:r>
            <m:rPr>
              <m:sty m:val="p"/>
            </m:rPr>
            <m:t>+</m:t>
          </m:r>
          <m:sSub>
            <m:e>
              <m:r>
                <m:t>T</m:t>
              </m:r>
            </m:e>
            <m:sub>
              <m:r>
                <m:t>B</m:t>
              </m:r>
            </m:sub>
          </m:sSub>
          <m:r>
            <m:rPr>
              <m:sty m:val="p"/>
            </m:rPr>
            <m:t>,</m:t>
          </m:r>
          <m:r>
            <m:t>  </m:t>
          </m:r>
          <m:d>
            <m:dPr>
              <m:begChr m:val="("/>
              <m:endChr m:val=")"/>
              <m:sepChr m:val=""/>
              <m:grow/>
            </m:dPr>
            <m:e>
              <m:r>
                <m:t>2</m:t>
              </m:r>
            </m:e>
          </m:d>
        </m:oMath>
      </m:oMathPara>
    </w:p>
    <w:p>
      <w:pPr>
        <w:pStyle w:val="FirstParagraph"/>
      </w:pPr>
      <w:r>
        <w:t xml:space="preserve">where</w:t>
      </w:r>
      <w:r>
        <w:t xml:space="preserve"> </w:t>
      </w:r>
      <m:oMath>
        <m:sSub>
          <m:e>
            <m:r>
              <m:t>s</m:t>
            </m:r>
          </m:e>
          <m:sub>
            <m:r>
              <m:t>g</m:t>
            </m:r>
          </m:sub>
        </m:sSub>
      </m:oMath>
      <w:r>
        <w:t xml:space="preserve"> </w:t>
      </w:r>
      <w:r>
        <w:t xml:space="preserve">is prefecture</w:t>
      </w:r>
      <w:r>
        <w:t xml:space="preserve"> </w:t>
      </w:r>
      <m:oMath>
        <m:r>
          <m:t>g</m:t>
        </m:r>
      </m:oMath>
      <w:r>
        <w:t xml:space="preserve">’s share of the aggregate,</w:t>
      </w:r>
      <w:r>
        <w:t xml:space="preserve"> </w:t>
      </w:r>
      <m:oMath>
        <m:sSub>
          <m:e>
            <m:r>
              <m:t>T</m:t>
            </m:r>
          </m:e>
          <m:sub>
            <m:r>
              <m:t>g</m:t>
            </m:r>
          </m:sub>
        </m:sSub>
      </m:oMath>
      <w:r>
        <w:t xml:space="preserve"> </w:t>
      </w:r>
      <w:r>
        <w:t xml:space="preserve">is inequality among counties within</w:t>
      </w:r>
      <w:r>
        <w:t xml:space="preserve"> </w:t>
      </w:r>
      <m:oMath>
        <m:r>
          <m:t>g</m:t>
        </m:r>
      </m:oMath>
      <w:r>
        <w:t xml:space="preserve"> </w:t>
      </w:r>
      <w:r>
        <w:t xml:space="preserve">and</w:t>
      </w:r>
      <w:r>
        <w:t xml:space="preserve"> </w:t>
      </w:r>
      <m:oMath>
        <m:sSub>
          <m:e>
            <m:r>
              <m:t>T</m:t>
            </m:r>
          </m:e>
          <m:sub>
            <m:r>
              <m:t>B</m:t>
            </m:r>
          </m:sub>
        </m:sSub>
      </m:oMath>
      <w:r>
        <w:t xml:space="preserve"> </w:t>
      </w:r>
      <w:r>
        <w:t xml:space="preserve">is the Theil index computed on prefecture means. I report the between-prefecture share</w:t>
      </w:r>
      <w:r>
        <w:t xml:space="preserve"> </w:t>
      </w:r>
      <m:oMath>
        <m:sSub>
          <m:e>
            <m:r>
              <m:t>T</m:t>
            </m:r>
          </m:e>
          <m:sub>
            <m:r>
              <m:t>B</m:t>
            </m:r>
          </m:sub>
        </m:sSub>
        <m:r>
          <m:rPr>
            <m:sty m:val="p"/>
          </m:rPr>
          <m:t>/</m:t>
        </m:r>
        <m:r>
          <m:t>T</m:t>
        </m:r>
      </m:oMath>
      <w:r>
        <w:t xml:space="preserve">.</w:t>
      </w:r>
    </w:p>
    <w:p>
      <w:pPr>
        <w:pStyle w:val="BodyText"/>
      </w:pPr>
      <w:r>
        <w:t xml:space="preserve">To summarise how much of the inequality in fiscal capacity is removed by the spending distribution, I define the equalisation ratio</w:t>
      </w:r>
    </w:p>
    <w:p>
      <w:pPr>
        <w:pStyle w:val="BodyText"/>
      </w:pPr>
      <m:oMathPara>
        <m:oMathParaPr>
          <m:jc m:val="center"/>
        </m:oMathParaPr>
        <m:oMath>
          <m:sSub>
            <m:e>
              <m:r>
                <m:t>E</m:t>
              </m:r>
            </m:e>
            <m:sub>
              <m:r>
                <m:t>t</m:t>
              </m:r>
            </m:sub>
          </m:sSub>
          <m:r>
            <m:rPr>
              <m:sty m:val="p"/>
            </m:rPr>
            <m:t>=</m:t>
          </m:r>
          <m:r>
            <m:t>1</m:t>
          </m:r>
          <m:r>
            <m:rPr>
              <m:sty m:val="p"/>
            </m:rPr>
            <m:t>−</m:t>
          </m:r>
          <m:sSubSup>
            <m:e>
              <m:r>
                <m:t>G</m:t>
              </m:r>
            </m:e>
            <m:sub>
              <m:r>
                <m:t>t</m:t>
              </m:r>
            </m:sub>
            <m:sup>
              <m:r>
                <m:rPr>
                  <m:nor/>
                  <m:sty m:val="p"/>
                </m:rPr>
                <m:t>exp</m:t>
              </m:r>
            </m:sup>
          </m:sSubSup>
          <m:r>
            <m:rPr>
              <m:sty m:val="p"/>
            </m:rPr>
            <m:t>/</m:t>
          </m:r>
          <m:sSubSup>
            <m:e>
              <m:r>
                <m:t>G</m:t>
              </m:r>
            </m:e>
            <m:sub>
              <m:r>
                <m:t>t</m:t>
              </m:r>
            </m:sub>
            <m:sup>
              <m:r>
                <m:rPr>
                  <m:nor/>
                  <m:sty m:val="p"/>
                </m:rPr>
                <m:t>rev</m:t>
              </m:r>
            </m:sup>
          </m:sSubSup>
          <m:r>
            <m:rPr>
              <m:sty m:val="p"/>
            </m:rPr>
            <m:t>,</m:t>
          </m:r>
          <m:r>
            <m:t>  </m:t>
          </m:r>
          <m:d>
            <m:dPr>
              <m:begChr m:val="("/>
              <m:endChr m:val=")"/>
              <m:sepChr m:val=""/>
              <m:grow/>
            </m:dPr>
            <m:e>
              <m:r>
                <m:t>3</m:t>
              </m:r>
            </m:e>
          </m:d>
        </m:oMath>
      </m:oMathPara>
    </w:p>
    <w:p>
      <w:pPr>
        <w:pStyle w:val="FirstParagraph"/>
      </w:pPr>
      <w:r>
        <w:t xml:space="preserve">where</w:t>
      </w:r>
      <w:r>
        <w:t xml:space="preserve"> </w:t>
      </w:r>
      <m:oMath>
        <m:sSubSup>
          <m:e>
            <m:r>
              <m:t>G</m:t>
            </m:r>
          </m:e>
          <m:sub>
            <m:r>
              <m:t>t</m:t>
            </m:r>
          </m:sub>
          <m:sup>
            <m:r>
              <m:rPr>
                <m:nor/>
                <m:sty m:val="p"/>
              </m:rPr>
              <m:t>exp</m:t>
            </m:r>
          </m:sup>
        </m:sSubSup>
      </m:oMath>
      <w:r>
        <w:t xml:space="preserve"> </w:t>
      </w:r>
      <w:r>
        <w:t xml:space="preserve">and</w:t>
      </w:r>
      <w:r>
        <w:t xml:space="preserve"> </w:t>
      </w:r>
      <m:oMath>
        <m:sSubSup>
          <m:e>
            <m:r>
              <m:t>G</m:t>
            </m:r>
          </m:e>
          <m:sub>
            <m:r>
              <m:t>t</m:t>
            </m:r>
          </m:sub>
          <m:sup>
            <m:r>
              <m:rPr>
                <m:nor/>
                <m:sty m:val="p"/>
              </m:rPr>
              <m:t>rev</m:t>
            </m:r>
          </m:sup>
        </m:sSubSup>
      </m:oMath>
      <w:r>
        <w:t xml:space="preserve"> </w:t>
      </w:r>
      <w:r>
        <w:t xml:space="preserve">are the Gini coefficients of expenditure and own revenue per capita in year</w:t>
      </w:r>
      <w:r>
        <w:t xml:space="preserve"> </w:t>
      </w:r>
      <m:oMath>
        <m:r>
          <m:t>t</m:t>
        </m:r>
      </m:oMath>
      <w:r>
        <w:t xml:space="preserve">, computed on the common sample of counties that report both.</w:t>
      </w:r>
      <w:r>
        <w:t xml:space="preserve"> </w:t>
      </w:r>
      <m:oMath>
        <m:sSub>
          <m:e>
            <m:r>
              <m:t>E</m:t>
            </m:r>
          </m:e>
          <m:sub>
            <m:r>
              <m:t>t</m:t>
            </m:r>
          </m:sub>
        </m:sSub>
        <m:r>
          <m:rPr>
            <m:sty m:val="p"/>
          </m:rPr>
          <m:t>=</m:t>
        </m:r>
        <m:r>
          <m:t>0</m:t>
        </m:r>
      </m:oMath>
      <w:r>
        <w:t xml:space="preserve"> </w:t>
      </w:r>
      <w:r>
        <w:t xml:space="preserve">means spending is as unequal as own revenue, as it would be with no transfers.</w:t>
      </w:r>
      <w:r>
        <w:t xml:space="preserve"> </w:t>
      </w:r>
      <m:oMath>
        <m:sSub>
          <m:e>
            <m:r>
              <m:t>E</m:t>
            </m:r>
          </m:e>
          <m:sub>
            <m:r>
              <m:t>t</m:t>
            </m:r>
          </m:sub>
        </m:sSub>
        <m:r>
          <m:rPr>
            <m:sty m:val="p"/>
          </m:rPr>
          <m:t>=</m:t>
        </m:r>
        <m:r>
          <m:t>1</m:t>
        </m:r>
      </m:oMath>
      <w:r>
        <w:t xml:space="preserve"> </w:t>
      </w:r>
      <w:r>
        <w:t xml:space="preserve">means spending is perfectly equal. The ratio is descriptive: it does not separate transfers from differences in spending needs, which are themselves unequally distributed across a region as heterogeneous as Tibet.</w:t>
      </w:r>
    </w:p>
    <w:bookmarkEnd w:id="26"/>
    <w:bookmarkStart w:id="27" w:name="econometric-specifications"/>
    <w:p>
      <w:pPr>
        <w:pStyle w:val="Heading2"/>
      </w:pPr>
      <w:r>
        <w:t xml:space="preserve">3.3. Econometric specifications</w:t>
      </w:r>
    </w:p>
    <w:p>
      <w:pPr>
        <w:pStyle w:val="FirstParagraph"/>
      </w:pPr>
      <w:r>
        <w:rPr>
          <w:bCs/>
          <w:b/>
        </w:rPr>
        <w:t xml:space="preserve">Fiscal gradients.</w:t>
      </w:r>
      <w:r>
        <w:t xml:space="preserve"> </w:t>
      </w:r>
      <w:r>
        <w:t xml:space="preserve">The decoupling of revenue and expenditure from the local economy is summarised by the elasticities</w:t>
      </w:r>
      <w:r>
        <w:t xml:space="preserve"> </w:t>
      </w:r>
      <m:oMath>
        <m:r>
          <m:t>γ</m:t>
        </m:r>
      </m:oMath>
      <w:r>
        <w:t xml:space="preserve"> </w:t>
      </w:r>
      <w:r>
        <w:t xml:space="preserve">in</w:t>
      </w:r>
    </w:p>
    <w:p>
      <w:pPr>
        <w:pStyle w:val="BodyText"/>
      </w:pPr>
      <m:oMathPara>
        <m:oMathParaPr>
          <m:jc m:val="center"/>
        </m:oMathParaPr>
        <m:oMath>
          <m:r>
            <m:rPr>
              <m:sty m:val="p"/>
            </m:rPr>
            <m:t>ln</m:t>
          </m:r>
          <m:sSub>
            <m:e>
              <m:r>
                <m:t>f</m:t>
              </m:r>
            </m:e>
            <m:sub>
              <m:r>
                <m:t>i</m:t>
              </m:r>
              <m:r>
                <m:t>t</m:t>
              </m:r>
            </m:sub>
          </m:sSub>
          <m:r>
            <m:rPr>
              <m:sty m:val="p"/>
            </m:rPr>
            <m:t>=</m:t>
          </m:r>
          <m:r>
            <m:t>α</m:t>
          </m:r>
          <m:r>
            <m:rPr>
              <m:sty m:val="p"/>
            </m:rPr>
            <m:t>+</m:t>
          </m:r>
          <m:r>
            <m:t>γ</m:t>
          </m:r>
          <m:r>
            <m:rPr>
              <m:sty m:val="p"/>
            </m:rPr>
            <m:t>ln</m:t>
          </m:r>
          <m:sSub>
            <m:e>
              <m:r>
                <m:t>y</m:t>
              </m:r>
            </m:e>
            <m:sub>
              <m:r>
                <m:t>i</m:t>
              </m:r>
              <m:r>
                <m:t>t</m:t>
              </m:r>
            </m:sub>
          </m:sSub>
          <m:r>
            <m:rPr>
              <m:sty m:val="p"/>
            </m:rPr>
            <m:t>+</m:t>
          </m:r>
          <m:sSub>
            <m:e>
              <m:r>
                <m:t>λ</m:t>
              </m:r>
            </m:e>
            <m:sub>
              <m:r>
                <m:t>t</m:t>
              </m:r>
            </m:sub>
          </m:sSub>
          <m:r>
            <m:rPr>
              <m:sty m:val="p"/>
            </m:rPr>
            <m:t>+</m:t>
          </m:r>
          <m:sSub>
            <m:e>
              <m:r>
                <m:t>η</m:t>
              </m:r>
            </m:e>
            <m:sub>
              <m:r>
                <m:t>i</m:t>
              </m:r>
            </m:sub>
          </m:sSub>
          <m:r>
            <m:rPr>
              <m:sty m:val="p"/>
            </m:rPr>
            <m:t>+</m:t>
          </m:r>
          <m:sSub>
            <m:e>
              <m:r>
                <m:t>ε</m:t>
              </m:r>
            </m:e>
            <m:sub>
              <m:r>
                <m:t>i</m:t>
              </m:r>
              <m:r>
                <m:t>t</m:t>
              </m:r>
            </m:sub>
          </m:sSub>
          <m:r>
            <m:rPr>
              <m:sty m:val="p"/>
            </m:rPr>
            <m:t>,</m:t>
          </m:r>
          <m:r>
            <m:t>  </m:t>
          </m:r>
          <m:d>
            <m:dPr>
              <m:begChr m:val="("/>
              <m:endChr m:val=")"/>
              <m:sepChr m:val=""/>
              <m:grow/>
            </m:dPr>
            <m:e>
              <m:r>
                <m:t>4</m:t>
              </m:r>
            </m:e>
          </m:d>
        </m:oMath>
      </m:oMathPara>
    </w:p>
    <w:p>
      <w:pPr>
        <w:pStyle w:val="FirstParagraph"/>
      </w:pPr>
      <w:r>
        <w:t xml:space="preserve">where</w:t>
      </w:r>
      <w:r>
        <w:t xml:space="preserve"> </w:t>
      </w:r>
      <m:oMath>
        <m:sSub>
          <m:e>
            <m:r>
              <m:t>f</m:t>
            </m:r>
          </m:e>
          <m:sub>
            <m:r>
              <m:t>i</m:t>
            </m:r>
            <m:r>
              <m:t>t</m:t>
            </m:r>
          </m:sub>
        </m:sSub>
      </m:oMath>
      <w:r>
        <w:t xml:space="preserve"> </w:t>
      </w:r>
      <w:r>
        <w:t xml:space="preserve">is own revenue or expenditure per capita and</w:t>
      </w:r>
      <w:r>
        <w:t xml:space="preserve"> </w:t>
      </w:r>
      <m:oMath>
        <m:sSub>
          <m:e>
            <m:r>
              <m:t>y</m:t>
            </m:r>
          </m:e>
          <m:sub>
            <m:r>
              <m:t>i</m:t>
            </m:r>
            <m:r>
              <m:t>t</m:t>
            </m:r>
          </m:sub>
        </m:sSub>
      </m:oMath>
      <w:r>
        <w:t xml:space="preserve"> </w:t>
      </w:r>
      <w:r>
        <w:t xml:space="preserve">is GDP per capita. I estimate Eq. (4) with year effects</w:t>
      </w:r>
      <w:r>
        <w:t xml:space="preserve"> </w:t>
      </w:r>
      <m:oMath>
        <m:sSub>
          <m:e>
            <m:r>
              <m:t>λ</m:t>
            </m:r>
          </m:e>
          <m:sub>
            <m:r>
              <m:t>t</m:t>
            </m:r>
          </m:sub>
        </m:sSub>
      </m:oMath>
      <w:r>
        <w:t xml:space="preserve"> </w:t>
      </w:r>
      <w:r>
        <w:t xml:space="preserve">only (a pooled cross-county gradient), with prefecture effects added, and with county effects</w:t>
      </w:r>
      <w:r>
        <w:t xml:space="preserve"> </w:t>
      </w:r>
      <m:oMath>
        <m:sSub>
          <m:e>
            <m:r>
              <m:t>η</m:t>
            </m:r>
          </m:e>
          <m:sub>
            <m:r>
              <m:t>i</m:t>
            </m:r>
          </m:sub>
        </m:sSub>
      </m:oMath>
      <w:r>
        <w:t xml:space="preserve"> </w:t>
      </w:r>
      <w:r>
        <w:t xml:space="preserve">(a within-county elasticity). I also estimate the elasticity of expenditure with respect to own revenue.</w:t>
      </w:r>
    </w:p>
    <w:p>
      <w:pPr>
        <w:pStyle w:val="BodyText"/>
      </w:pPr>
      <w:r>
        <w:rPr>
          <w:bCs/>
          <w:b/>
        </w:rPr>
        <w:t xml:space="preserve">Convergence.</w:t>
      </w:r>
      <w:r>
        <w:t xml:space="preserve"> </w:t>
      </w:r>
      <w:r>
        <w:t xml:space="preserve">Absolute and conditional β-convergence in GDP per capita are estimated from</w:t>
      </w:r>
    </w:p>
    <w:p>
      <w:pPr>
        <w:pStyle w:val="BodyText"/>
      </w:pPr>
      <m:oMathPara>
        <m:oMathParaPr>
          <m:jc m:val="center"/>
        </m:oMathParaPr>
        <m:oMath>
          <m:f>
            <m:fPr>
              <m:type m:val="bar"/>
            </m:fPr>
            <m:num>
              <m:r>
                <m:t>1</m:t>
              </m:r>
            </m:num>
            <m:den>
              <m:r>
                <m:t>8</m:t>
              </m:r>
            </m:den>
          </m:f>
          <m:r>
            <m:rPr>
              <m:sty m:val="p"/>
            </m:rPr>
            <m:t>ln</m:t>
          </m:r>
          <m:f>
            <m:fPr>
              <m:type m:val="bar"/>
            </m:fPr>
            <m:num>
              <m:sSub>
                <m:e>
                  <m:r>
                    <m:t>y</m:t>
                  </m:r>
                </m:e>
                <m:sub>
                  <m:r>
                    <m:t>i</m:t>
                  </m:r>
                  <m:r>
                    <m:rPr>
                      <m:sty m:val="p"/>
                    </m:rPr>
                    <m:t>,</m:t>
                  </m:r>
                  <m:r>
                    <m:t>2024</m:t>
                  </m:r>
                </m:sub>
              </m:sSub>
            </m:num>
            <m:den>
              <m:sSub>
                <m:e>
                  <m:r>
                    <m:t>y</m:t>
                  </m:r>
                </m:e>
                <m:sub>
                  <m:r>
                    <m:t>i</m:t>
                  </m:r>
                  <m:r>
                    <m:rPr>
                      <m:sty m:val="p"/>
                    </m:rPr>
                    <m:t>,</m:t>
                  </m:r>
                  <m:r>
                    <m:t>2016</m:t>
                  </m:r>
                </m:sub>
              </m:sSub>
            </m:den>
          </m:f>
          <m:r>
            <m:rPr>
              <m:sty m:val="p"/>
            </m:rPr>
            <m:t>=</m:t>
          </m:r>
          <m:r>
            <m:t>a</m:t>
          </m:r>
          <m:r>
            <m:rPr>
              <m:sty m:val="p"/>
            </m:rPr>
            <m:t>+</m:t>
          </m:r>
          <m:r>
            <m:t>β</m:t>
          </m:r>
          <m:r>
            <m:rPr>
              <m:sty m:val="p"/>
            </m:rPr>
            <m:t>ln</m:t>
          </m:r>
          <m:sSub>
            <m:e>
              <m:r>
                <m:t>y</m:t>
              </m:r>
            </m:e>
            <m:sub>
              <m:r>
                <m:t>i</m:t>
              </m:r>
              <m:r>
                <m:rPr>
                  <m:sty m:val="p"/>
                </m:rPr>
                <m:t>,</m:t>
              </m:r>
              <m:r>
                <m:t>2016</m:t>
              </m:r>
            </m:sub>
          </m:sSub>
          <m:r>
            <m:rPr>
              <m:sty m:val="p"/>
            </m:rPr>
            <m:t>+</m:t>
          </m:r>
          <m:sSub>
            <m:e>
              <m:r>
                <m:t>δ</m:t>
              </m:r>
            </m:e>
            <m:sub>
              <m:r>
                <m:t>g</m:t>
              </m:r>
            </m:sub>
          </m:sSub>
          <m:r>
            <m:rPr>
              <m:sty m:val="p"/>
            </m:rPr>
            <m:t>+</m:t>
          </m:r>
          <m:sSub>
            <m:e>
              <m:r>
                <m:t>u</m:t>
              </m:r>
            </m:e>
            <m:sub>
              <m:r>
                <m:t>i</m:t>
              </m:r>
            </m:sub>
          </m:sSub>
          <m:r>
            <m:rPr>
              <m:sty m:val="p"/>
            </m:rPr>
            <m:t>,</m:t>
          </m:r>
          <m:r>
            <m:t>  </m:t>
          </m:r>
          <m:d>
            <m:dPr>
              <m:begChr m:val="("/>
              <m:endChr m:val=")"/>
              <m:sepChr m:val=""/>
              <m:grow/>
            </m:dPr>
            <m:e>
              <m:r>
                <m:t>5</m:t>
              </m:r>
            </m:e>
          </m:d>
        </m:oMath>
      </m:oMathPara>
    </w:p>
    <w:p>
      <w:pPr>
        <w:pStyle w:val="FirstParagraph"/>
      </w:pPr>
      <w:r>
        <w:t xml:space="preserve">with and without prefecture effects</w:t>
      </w:r>
      <w:r>
        <w:t xml:space="preserve"> </w:t>
      </w:r>
      <m:oMath>
        <m:sSub>
          <m:e>
            <m:r>
              <m:t>δ</m:t>
            </m:r>
          </m:e>
          <m:sub>
            <m:r>
              <m:t>g</m:t>
            </m:r>
          </m:sub>
        </m:sSub>
      </m:oMath>
      <w:r>
        <w:t xml:space="preserve">. The implied speed is</w:t>
      </w:r>
      <w:r>
        <w:t xml:space="preserve"> </w:t>
      </w:r>
      <m:oMath>
        <m:r>
          <m:t>λ</m:t>
        </m:r>
        <m:r>
          <m:rPr>
            <m:sty m:val="p"/>
          </m:rPr>
          <m:t>=</m:t>
        </m:r>
        <m:r>
          <m:rPr>
            <m:sty m:val="p"/>
          </m:rPr>
          <m:t>−</m:t>
        </m:r>
        <m:r>
          <m:rPr>
            <m:sty m:val="p"/>
          </m:rPr>
          <m:t>ln</m:t>
        </m:r>
        <m:d>
          <m:dPr>
            <m:begChr m:val="("/>
            <m:endChr m:val=")"/>
            <m:sepChr m:val=""/>
            <m:grow/>
          </m:dPr>
          <m:e>
            <m:r>
              <m:t>1</m:t>
            </m:r>
            <m:r>
              <m:rPr>
                <m:sty m:val="p"/>
              </m:rPr>
              <m:t>+</m:t>
            </m:r>
            <m:r>
              <m:t>8</m:t>
            </m:r>
            <m:r>
              <m:t>β</m:t>
            </m:r>
          </m:e>
        </m:d>
        <m:r>
          <m:rPr>
            <m:sty m:val="p"/>
          </m:rPr>
          <m:t>/</m:t>
        </m:r>
        <m:r>
          <m:t>8</m:t>
        </m:r>
      </m:oMath>
      <w:r>
        <w:t xml:space="preserve">, and the half-life is</w:t>
      </w:r>
      <w:r>
        <w:t xml:space="preserve"> </w:t>
      </w:r>
      <m:oMath>
        <m:r>
          <m:rPr>
            <m:sty m:val="p"/>
          </m:rPr>
          <m:t>ln</m:t>
        </m:r>
        <m:r>
          <m:t>2</m:t>
        </m:r>
        <m:r>
          <m:rPr>
            <m:sty m:val="p"/>
          </m:rPr>
          <m:t>/</m:t>
        </m:r>
        <m:r>
          <m:t>λ</m:t>
        </m:r>
      </m:oMath>
      <w:r>
        <w:t xml:space="preserve"> </w:t>
      </w:r>
      <w:r>
        <w:t xml:space="preserve">(Barro &amp; Sala-i-Martin, 1992). I also report annual panel versions. The specification with county effects is subject to the bias described by Nickell (1981) in short panels and is shown only for completeness. σ-convergence is assessed from the standard deviation of log GDP per capita and from the Gini and Theil indices.</w:t>
      </w:r>
    </w:p>
    <w:p>
      <w:pPr>
        <w:pStyle w:val="BodyText"/>
      </w:pPr>
      <w:r>
        <w:rPr>
          <w:bCs/>
          <w:b/>
        </w:rPr>
        <w:t xml:space="preserve">Asymmetric adjustment.</w:t>
      </w:r>
      <w:r>
        <w:t xml:space="preserve"> </w:t>
      </w:r>
      <w:r>
        <w:t xml:space="preserve">To test whether county budgets respond symmetrically to positive and negative shocks, I split the log change of a driver</w:t>
      </w:r>
      <w:r>
        <w:t xml:space="preserve"> </w:t>
      </w:r>
      <m:oMath>
        <m:r>
          <m:t>z</m:t>
        </m:r>
      </m:oMath>
      <w:r>
        <w:t xml:space="preserve"> </w:t>
      </w:r>
      <w:r>
        <w:t xml:space="preserve">(GDP or own revenue) into its positive and negative parts,</w:t>
      </w:r>
      <w:r>
        <w:t xml:space="preserve"> </w:t>
      </w:r>
      <m:oMath>
        <m:r>
          <m:t>Δ</m:t>
        </m:r>
        <m:sSubSup>
          <m:e>
            <m:r>
              <m:t>z</m:t>
            </m:r>
          </m:e>
          <m:sub>
            <m:r>
              <m:t>i</m:t>
            </m:r>
            <m:r>
              <m:t>t</m:t>
            </m:r>
          </m:sub>
          <m:sup>
            <m:r>
              <m:rPr>
                <m:sty m:val="p"/>
              </m:rPr>
              <m:t>+</m:t>
            </m:r>
          </m:sup>
        </m:sSubSup>
        <m:r>
          <m:rPr>
            <m:sty m:val="p"/>
          </m:rPr>
          <m:t>=</m:t>
        </m:r>
        <m:r>
          <m:rPr>
            <m:sty m:val="p"/>
          </m:rPr>
          <m:t>max</m:t>
        </m:r>
        <m:d>
          <m:dPr>
            <m:begChr m:val="("/>
            <m:endChr m:val=")"/>
            <m:sepChr m:val=""/>
            <m:grow/>
          </m:dPr>
          <m:e>
            <m:r>
              <m:t>Δ</m:t>
            </m:r>
            <m:r>
              <m:rPr>
                <m:sty m:val="p"/>
              </m:rPr>
              <m:t>ln</m:t>
            </m:r>
            <m:sSub>
              <m:e>
                <m:r>
                  <m:t>z</m:t>
                </m:r>
              </m:e>
              <m:sub>
                <m:r>
                  <m:t>i</m:t>
                </m:r>
                <m:r>
                  <m:t>t</m:t>
                </m:r>
              </m:sub>
            </m:sSub>
            <m:r>
              <m:rPr>
                <m:sty m:val="p"/>
              </m:rPr>
              <m:t>,</m:t>
            </m:r>
            <m:r>
              <m:t>0</m:t>
            </m:r>
          </m:e>
        </m:d>
      </m:oMath>
      <w:r>
        <w:t xml:space="preserve"> </w:t>
      </w:r>
      <w:r>
        <w:t xml:space="preserve">and</w:t>
      </w:r>
      <w:r>
        <w:t xml:space="preserve"> </w:t>
      </w:r>
      <m:oMath>
        <m:r>
          <m:t>Δ</m:t>
        </m:r>
        <m:sSubSup>
          <m:e>
            <m:r>
              <m:t>z</m:t>
            </m:r>
          </m:e>
          <m:sub>
            <m:r>
              <m:t>i</m:t>
            </m:r>
            <m:r>
              <m:t>t</m:t>
            </m:r>
          </m:sub>
          <m:sup>
            <m:r>
              <m:rPr>
                <m:sty m:val="p"/>
              </m:rPr>
              <m:t>−</m:t>
            </m:r>
          </m:sup>
        </m:sSubSup>
        <m:r>
          <m:rPr>
            <m:sty m:val="p"/>
          </m:rPr>
          <m:t>=</m:t>
        </m:r>
        <m:r>
          <m:rPr>
            <m:sty m:val="p"/>
          </m:rPr>
          <m:t>min</m:t>
        </m:r>
        <m:d>
          <m:dPr>
            <m:begChr m:val="("/>
            <m:endChr m:val=")"/>
            <m:sepChr m:val=""/>
            <m:grow/>
          </m:dPr>
          <m:e>
            <m:r>
              <m:t>Δ</m:t>
            </m:r>
            <m:r>
              <m:rPr>
                <m:sty m:val="p"/>
              </m:rPr>
              <m:t>ln</m:t>
            </m:r>
            <m:sSub>
              <m:e>
                <m:r>
                  <m:t>z</m:t>
                </m:r>
              </m:e>
              <m:sub>
                <m:r>
                  <m:t>i</m:t>
                </m:r>
                <m:r>
                  <m:t>t</m:t>
                </m:r>
              </m:sub>
            </m:sSub>
            <m:r>
              <m:rPr>
                <m:sty m:val="p"/>
              </m:rPr>
              <m:t>,</m:t>
            </m:r>
            <m:r>
              <m:t>0</m:t>
            </m:r>
          </m:e>
        </m:d>
      </m:oMath>
      <w:r>
        <w:t xml:space="preserve">, and estimate</w:t>
      </w:r>
    </w:p>
    <w:p>
      <w:pPr>
        <w:pStyle w:val="BodyText"/>
      </w:pPr>
      <m:oMathPara>
        <m:oMathParaPr>
          <m:jc m:val="center"/>
        </m:oMathParaPr>
        <m:oMath>
          <m:r>
            <m:t>Δ</m:t>
          </m:r>
          <m:r>
            <m:rPr>
              <m:sty m:val="p"/>
            </m:rPr>
            <m:t>ln</m:t>
          </m:r>
          <m:sSub>
            <m:e>
              <m:r>
                <m:t>f</m:t>
              </m:r>
            </m:e>
            <m:sub>
              <m:r>
                <m:t>i</m:t>
              </m:r>
              <m:r>
                <m:t>t</m:t>
              </m:r>
            </m:sub>
          </m:sSub>
          <m:r>
            <m:rPr>
              <m:sty m:val="p"/>
            </m:rPr>
            <m:t>=</m:t>
          </m:r>
          <m:sSup>
            <m:e>
              <m:r>
                <m:t>β</m:t>
              </m:r>
            </m:e>
            <m:sup>
              <m:r>
                <m:rPr>
                  <m:sty m:val="p"/>
                </m:rPr>
                <m:t>+</m:t>
              </m:r>
            </m:sup>
          </m:sSup>
          <m:r>
            <m:t>Δ</m:t>
          </m:r>
          <m:sSubSup>
            <m:e>
              <m:r>
                <m:t>z</m:t>
              </m:r>
            </m:e>
            <m:sub>
              <m:r>
                <m:t>i</m:t>
              </m:r>
              <m:r>
                <m:t>t</m:t>
              </m:r>
            </m:sub>
            <m:sup>
              <m:r>
                <m:rPr>
                  <m:sty m:val="p"/>
                </m:rPr>
                <m:t>+</m:t>
              </m:r>
            </m:sup>
          </m:sSubSup>
          <m:r>
            <m:rPr>
              <m:sty m:val="p"/>
            </m:rPr>
            <m:t>+</m:t>
          </m:r>
          <m:sSup>
            <m:e>
              <m:r>
                <m:t>β</m:t>
              </m:r>
            </m:e>
            <m:sup>
              <m:r>
                <m:rPr>
                  <m:sty m:val="p"/>
                </m:rPr>
                <m:t>−</m:t>
              </m:r>
            </m:sup>
          </m:sSup>
          <m:r>
            <m:t>Δ</m:t>
          </m:r>
          <m:sSubSup>
            <m:e>
              <m:r>
                <m:t>z</m:t>
              </m:r>
            </m:e>
            <m:sub>
              <m:r>
                <m:t>i</m:t>
              </m:r>
              <m:r>
                <m:t>t</m:t>
              </m:r>
            </m:sub>
            <m:sup>
              <m:r>
                <m:rPr>
                  <m:sty m:val="p"/>
                </m:rPr>
                <m:t>−</m:t>
              </m:r>
            </m:sup>
          </m:sSubSup>
          <m:r>
            <m:rPr>
              <m:sty m:val="p"/>
            </m:rPr>
            <m:t>+</m:t>
          </m:r>
          <m:sSub>
            <m:e>
              <m:r>
                <m:t>λ</m:t>
              </m:r>
            </m:e>
            <m:sub>
              <m:r>
                <m:t>t</m:t>
              </m:r>
            </m:sub>
          </m:sSub>
          <m:r>
            <m:rPr>
              <m:sty m:val="p"/>
            </m:rPr>
            <m:t>+</m:t>
          </m:r>
          <m:sSub>
            <m:e>
              <m:r>
                <m:t>η</m:t>
              </m:r>
            </m:e>
            <m:sub>
              <m:r>
                <m:t>i</m:t>
              </m:r>
            </m:sub>
          </m:sSub>
          <m:r>
            <m:rPr>
              <m:sty m:val="p"/>
            </m:rPr>
            <m:t>+</m:t>
          </m:r>
          <m:sSub>
            <m:e>
              <m:r>
                <m:t>ε</m:t>
              </m:r>
            </m:e>
            <m:sub>
              <m:r>
                <m:t>i</m:t>
              </m:r>
              <m:r>
                <m:t>t</m:t>
              </m:r>
            </m:sub>
          </m:sSub>
          <m:r>
            <m:rPr>
              <m:sty m:val="p"/>
            </m:rPr>
            <m:t>.</m:t>
          </m:r>
          <m:r>
            <m:t>  </m:t>
          </m:r>
          <m:d>
            <m:dPr>
              <m:begChr m:val="("/>
              <m:endChr m:val=")"/>
              <m:sepChr m:val=""/>
              <m:grow/>
            </m:dPr>
            <m:e>
              <m:r>
                <m:t>6</m:t>
              </m:r>
            </m:e>
          </m:d>
        </m:oMath>
      </m:oMathPara>
    </w:p>
    <w:p>
      <w:pPr>
        <w:pStyle w:val="FirstParagraph"/>
      </w:pPr>
      <w:r>
        <w:t xml:space="preserve">Here</w:t>
      </w:r>
      <w:r>
        <w:t xml:space="preserve"> </w:t>
      </w:r>
      <m:oMath>
        <m:r>
          <m:t>f</m:t>
        </m:r>
      </m:oMath>
      <w:r>
        <w:t xml:space="preserve"> </w:t>
      </w:r>
      <w:r>
        <w:t xml:space="preserve">is total expenditure or own revenue. Symmetry is the hypothesis</w:t>
      </w:r>
      <w:r>
        <w:t xml:space="preserve"> </w:t>
      </w:r>
      <m:oMath>
        <m:sSup>
          <m:e>
            <m:r>
              <m:t>β</m:t>
            </m:r>
          </m:e>
          <m:sup>
            <m:r>
              <m:rPr>
                <m:sty m:val="p"/>
              </m:rPr>
              <m:t>+</m:t>
            </m:r>
          </m:sup>
        </m:sSup>
        <m:r>
          <m:rPr>
            <m:sty m:val="p"/>
          </m:rPr>
          <m:t>=</m:t>
        </m:r>
        <m:sSup>
          <m:e>
            <m:r>
              <m:t>β</m:t>
            </m:r>
          </m:e>
          <m:sup>
            <m:r>
              <m:rPr>
                <m:sty m:val="p"/>
              </m:rPr>
              <m:t>−</m:t>
            </m:r>
          </m:sup>
        </m:sSup>
      </m:oMath>
      <w:r>
        <w:t xml:space="preserve">. Because the regressors are log changes,</w:t>
      </w:r>
      <w:r>
        <w:t xml:space="preserve"> </w:t>
      </w:r>
      <m:oMath>
        <m:sSup>
          <m:e>
            <m:r>
              <m:t>β</m:t>
            </m:r>
          </m:e>
          <m:sup>
            <m:r>
              <m:rPr>
                <m:sty m:val="p"/>
              </m:rPr>
              <m:t>−</m:t>
            </m:r>
          </m:sup>
        </m:sSup>
      </m:oMath>
      <w:r>
        <w:t xml:space="preserve"> </w:t>
      </w:r>
      <w:r>
        <w:t xml:space="preserve">measures the percentage change in</w:t>
      </w:r>
      <w:r>
        <w:t xml:space="preserve"> </w:t>
      </w:r>
      <m:oMath>
        <m:r>
          <m:t>f</m:t>
        </m:r>
      </m:oMath>
      <w:r>
        <w:t xml:space="preserve"> </w:t>
      </w:r>
      <w:r>
        <w:t xml:space="preserve">per one per cent</w:t>
      </w:r>
      <w:r>
        <w:t xml:space="preserve"> </w:t>
      </w:r>
      <w:r>
        <w:rPr>
          <w:iCs/>
          <w:i/>
        </w:rPr>
        <w:t xml:space="preserve">decline</w:t>
      </w:r>
      <w:r>
        <w:t xml:space="preserve"> </w:t>
      </w:r>
      <w:r>
        <w:t xml:space="preserve">in</w:t>
      </w:r>
      <w:r>
        <w:t xml:space="preserve"> </w:t>
      </w:r>
      <m:oMath>
        <m:r>
          <m:t>z</m:t>
        </m:r>
      </m:oMath>
      <w:r>
        <w:t xml:space="preserve">. A positive</w:t>
      </w:r>
      <w:r>
        <w:t xml:space="preserve"> </w:t>
      </w:r>
      <m:oMath>
        <m:sSup>
          <m:e>
            <m:r>
              <m:t>β</m:t>
            </m:r>
          </m:e>
          <m:sup>
            <m:r>
              <m:rPr>
                <m:sty m:val="p"/>
              </m:rPr>
              <m:t>−</m:t>
            </m:r>
          </m:sup>
        </m:sSup>
      </m:oMath>
      <w:r>
        <w:t xml:space="preserve"> </w:t>
      </w:r>
      <w:r>
        <w:t xml:space="preserve">means</w:t>
      </w:r>
      <w:r>
        <w:t xml:space="preserve"> </w:t>
      </w:r>
      <m:oMath>
        <m:r>
          <m:t>f</m:t>
        </m:r>
      </m:oMath>
      <w:r>
        <w:t xml:space="preserve"> </w:t>
      </w:r>
      <w:r>
        <w:t xml:space="preserve">falls when</w:t>
      </w:r>
      <w:r>
        <w:t xml:space="preserve"> </w:t>
      </w:r>
      <m:oMath>
        <m:r>
          <m:t>z</m:t>
        </m:r>
      </m:oMath>
      <w:r>
        <w:t xml:space="preserve"> </w:t>
      </w:r>
      <w:r>
        <w:t xml:space="preserve">falls. Year effects remove region-wide shocks, including the pandemic years and changes in the regional transfer envelope. County effects allow for county-specific trends in the level of</w:t>
      </w:r>
      <w:r>
        <w:t xml:space="preserve"> </w:t>
      </w:r>
      <m:oMath>
        <m:r>
          <m:t>f</m:t>
        </m:r>
      </m:oMath>
      <w:r>
        <w:t xml:space="preserve">. Standard errors in Eqs. (4) and (6) are clustered by county (Cameron &amp; Miller, 2015). Eq. (6) is a reduced-form description of co-movement, not a causal model of fiscal behaviour. In particular, own revenue can affect measured GDP through the public-sector component of value added. I return to this point in Section 5.</w:t>
      </w:r>
    </w:p>
    <w:bookmarkEnd w:id="27"/>
    <w:bookmarkEnd w:id="28"/>
    <w:bookmarkStart w:id="43" w:name="results"/>
    <w:p>
      <w:pPr>
        <w:pStyle w:val="Heading1"/>
      </w:pPr>
      <w:r>
        <w:t xml:space="preserve">4. Results</w:t>
      </w:r>
    </w:p>
    <w:bookmarkStart w:id="32" w:name="X82fb547ac1cdcbedce780de9a01a1cf6dd73436"/>
    <w:p>
      <w:pPr>
        <w:pStyle w:val="Heading2"/>
      </w:pPr>
      <w:r>
        <w:t xml:space="preserve">4.1. The asymmetry between fiscal capacity and spending</w:t>
      </w:r>
    </w:p>
    <w:p>
      <w:pPr>
        <w:pStyle w:val="FirstParagraph"/>
      </w:pPr>
      <w:r>
        <w:t xml:space="preserve">Table 1 summarises the seven prefectures. Own revenue covers 8.6% of the expenditure of the 73 counties taken together, and the median county finances only 3.9–5.1% of its spending from own revenue, depending on the year. In each year, between 66% and 89% of counties finance less than 10% of their spending from own revenue. Self-sufficiency ranges from 29.6% in Lhasa’s counties to 2.9% in Nagqu’s. Spending per capita bears little relation to output per capita. In 2024 the counties of Ngari spent 95,854 yuan per registered resident and those of Chamdo 29,962 yuan, although Ngari’s output per capita is less than twice Chamdo’s. This pattern is consistent with large differences in the cost of service provision across a sparsely populated, high-altitude territory.</w:t>
      </w:r>
    </w:p>
    <w:p>
      <w:pPr>
        <w:pStyle w:val="BodyText"/>
      </w:pPr>
      <w:r>
        <w:rPr>
          <w:iCs/>
          <w:i/>
        </w:rPr>
        <w:t xml:space="preserve">Table 1. Fiscal self-sufficiency and output by prefecture (73 counties).</w:t>
      </w:r>
    </w:p>
    <w:tbl>
      <w:tblPr>
        <w:tblStyle w:val="Table"/>
        <w:tblW w:type="pct" w:w="5000"/>
        <w:tblLayout w:type="autofit"/>
        <w:tblLook w:firstRow="1" w:lastRow="0" w:firstColumn="0" w:lastColumn="0" w:noHBand="0" w:noVBand="0" w:val="0020"/>
        <w:jc w:val="start"/>
      </w:tblPr>
      <w:tblGrid>
        <w:gridCol w:w="1857"/>
        <w:gridCol w:w="684"/>
        <w:gridCol w:w="684"/>
        <w:gridCol w:w="977"/>
        <w:gridCol w:w="977"/>
        <w:gridCol w:w="880"/>
        <w:gridCol w:w="880"/>
        <w:gridCol w:w="977"/>
      </w:tblGrid>
      <w:tr>
        <w:trPr>
          <w:tblHeader w:val="true"/>
        </w:trPr>
        <w:tc>
          <w:tcPr/>
          <w:p>
            <w:pPr>
              <w:pStyle w:val="Compact"/>
              <w:spacing w:line="240" w:lineRule="auto"/>
              <w:jc w:val="left"/>
            </w:pPr>
            <w:r>
              <w:rPr>
                <w:sz w:val="20"/>
              </w:rPr>
              <w:t xml:space="preserve">Prefecture</w:t>
            </w:r>
          </w:p>
        </w:tc>
        <w:tc>
          <w:tcPr/>
          <w:p>
            <w:pPr>
              <w:pStyle w:val="Compact"/>
              <w:spacing w:line="240" w:lineRule="auto"/>
              <w:jc w:val="right"/>
            </w:pPr>
            <w:r>
              <w:rPr>
                <w:sz w:val="20"/>
              </w:rPr>
              <w:t xml:space="preserve">Counties</w:t>
            </w:r>
          </w:p>
        </w:tc>
        <w:tc>
          <w:tcPr/>
          <w:p>
            <w:pPr>
              <w:pStyle w:val="Compact"/>
              <w:spacing w:line="240" w:lineRule="auto"/>
              <w:jc w:val="right"/>
            </w:pPr>
            <w:r>
              <w:rPr>
                <w:sz w:val="20"/>
              </w:rPr>
              <w:t xml:space="preserve">Pop. 2024</w:t>
            </w:r>
          </w:p>
        </w:tc>
        <w:tc>
          <w:tcPr/>
          <w:p>
            <w:pPr>
              <w:pStyle w:val="Compact"/>
              <w:spacing w:line="240" w:lineRule="auto"/>
              <w:jc w:val="right"/>
            </w:pPr>
            <w:r>
              <w:rPr>
                <w:sz w:val="20"/>
              </w:rPr>
              <w:t xml:space="preserve">GDP p.c. 2016</w:t>
            </w:r>
          </w:p>
        </w:tc>
        <w:tc>
          <w:tcPr/>
          <w:p>
            <w:pPr>
              <w:pStyle w:val="Compact"/>
              <w:spacing w:line="240" w:lineRule="auto"/>
              <w:jc w:val="right"/>
            </w:pPr>
            <w:r>
              <w:rPr>
                <w:sz w:val="20"/>
              </w:rPr>
              <w:t xml:space="preserve">GDP p.c. 2024</w:t>
            </w:r>
          </w:p>
        </w:tc>
        <w:tc>
          <w:tcPr/>
          <w:p>
            <w:pPr>
              <w:pStyle w:val="Compact"/>
              <w:spacing w:line="240" w:lineRule="auto"/>
              <w:jc w:val="right"/>
            </w:pPr>
            <w:r>
              <w:rPr>
                <w:sz w:val="20"/>
              </w:rPr>
              <w:t xml:space="preserve">SSR pooled (%)</w:t>
            </w:r>
          </w:p>
        </w:tc>
        <w:tc>
          <w:tcPr/>
          <w:p>
            <w:pPr>
              <w:pStyle w:val="Compact"/>
              <w:spacing w:line="240" w:lineRule="auto"/>
              <w:jc w:val="right"/>
            </w:pPr>
            <w:r>
              <w:rPr>
                <w:sz w:val="20"/>
              </w:rPr>
              <w:t xml:space="preserve">SSR median (%)</w:t>
            </w:r>
          </w:p>
        </w:tc>
        <w:tc>
          <w:tcPr/>
          <w:p>
            <w:pPr>
              <w:pStyle w:val="Compact"/>
              <w:spacing w:line="240" w:lineRule="auto"/>
              <w:jc w:val="right"/>
            </w:pPr>
            <w:r>
              <w:rPr>
                <w:sz w:val="20"/>
              </w:rPr>
              <w:t xml:space="preserve">Exp. p.c. 2024</w:t>
            </w:r>
          </w:p>
        </w:tc>
      </w:tr>
      <w:tr>
        <w:tc>
          <w:tcPr/>
          <w:p>
            <w:pPr>
              <w:pStyle w:val="Compact"/>
              <w:spacing w:line="240" w:lineRule="auto"/>
              <w:jc w:val="left"/>
            </w:pPr>
            <w:r>
              <w:rPr>
                <w:sz w:val="20"/>
              </w:rPr>
              <w:t xml:space="preserve">Lhasa</w:t>
            </w:r>
          </w:p>
        </w:tc>
        <w:tc>
          <w:tcPr/>
          <w:p>
            <w:pPr>
              <w:pStyle w:val="Compact"/>
              <w:spacing w:line="240" w:lineRule="auto"/>
              <w:jc w:val="right"/>
            </w:pPr>
            <w:r>
              <w:rPr>
                <w:sz w:val="20"/>
              </w:rPr>
              <w:t xml:space="preserve">7</w:t>
            </w:r>
          </w:p>
        </w:tc>
        <w:tc>
          <w:tcPr/>
          <w:p>
            <w:pPr>
              <w:pStyle w:val="Compact"/>
              <w:spacing w:line="240" w:lineRule="auto"/>
              <w:jc w:val="right"/>
            </w:pPr>
            <w:r>
              <w:rPr>
                <w:sz w:val="20"/>
              </w:rPr>
              <w:t xml:space="preserve">36</w:t>
            </w:r>
          </w:p>
        </w:tc>
        <w:tc>
          <w:tcPr/>
          <w:p>
            <w:pPr>
              <w:pStyle w:val="Compact"/>
              <w:spacing w:line="240" w:lineRule="auto"/>
              <w:jc w:val="right"/>
            </w:pPr>
            <w:r>
              <w:rPr>
                <w:sz w:val="20"/>
              </w:rPr>
              <w:t xml:space="preserve">35,804</w:t>
            </w:r>
          </w:p>
        </w:tc>
        <w:tc>
          <w:tcPr/>
          <w:p>
            <w:pPr>
              <w:pStyle w:val="Compact"/>
              <w:spacing w:line="240" w:lineRule="auto"/>
              <w:jc w:val="right"/>
            </w:pPr>
            <w:r>
              <w:rPr>
                <w:sz w:val="20"/>
              </w:rPr>
              <w:t xml:space="preserve">119,311</w:t>
            </w:r>
          </w:p>
        </w:tc>
        <w:tc>
          <w:tcPr/>
          <w:p>
            <w:pPr>
              <w:pStyle w:val="Compact"/>
              <w:spacing w:line="240" w:lineRule="auto"/>
              <w:jc w:val="right"/>
            </w:pPr>
            <w:r>
              <w:rPr>
                <w:sz w:val="20"/>
              </w:rPr>
              <w:t xml:space="preserve">29.6</w:t>
            </w:r>
          </w:p>
        </w:tc>
        <w:tc>
          <w:tcPr/>
          <w:p>
            <w:pPr>
              <w:pStyle w:val="Compact"/>
              <w:spacing w:line="240" w:lineRule="auto"/>
              <w:jc w:val="right"/>
            </w:pPr>
            <w:r>
              <w:rPr>
                <w:sz w:val="20"/>
              </w:rPr>
              <w:t xml:space="preserve">22.9</w:t>
            </w:r>
          </w:p>
        </w:tc>
        <w:tc>
          <w:tcPr/>
          <w:p>
            <w:pPr>
              <w:pStyle w:val="Compact"/>
              <w:spacing w:line="240" w:lineRule="auto"/>
              <w:jc w:val="right"/>
            </w:pPr>
            <w:r>
              <w:rPr>
                <w:sz w:val="20"/>
              </w:rPr>
              <w:t xml:space="preserve">53,605</w:t>
            </w:r>
          </w:p>
        </w:tc>
      </w:tr>
      <w:tr>
        <w:tc>
          <w:tcPr/>
          <w:p>
            <w:pPr>
              <w:pStyle w:val="Compact"/>
              <w:spacing w:line="240" w:lineRule="auto"/>
              <w:jc w:val="left"/>
            </w:pPr>
            <w:r>
              <w:rPr>
                <w:sz w:val="20"/>
              </w:rPr>
              <w:t xml:space="preserve">Nyingchi</w:t>
            </w:r>
          </w:p>
        </w:tc>
        <w:tc>
          <w:tcPr/>
          <w:p>
            <w:pPr>
              <w:pStyle w:val="Compact"/>
              <w:spacing w:line="240" w:lineRule="auto"/>
              <w:jc w:val="right"/>
            </w:pPr>
            <w:r>
              <w:rPr>
                <w:sz w:val="20"/>
              </w:rPr>
              <w:t xml:space="preserve">7</w:t>
            </w:r>
          </w:p>
        </w:tc>
        <w:tc>
          <w:tcPr/>
          <w:p>
            <w:pPr>
              <w:pStyle w:val="Compact"/>
              <w:spacing w:line="240" w:lineRule="auto"/>
              <w:jc w:val="right"/>
            </w:pPr>
            <w:r>
              <w:rPr>
                <w:sz w:val="20"/>
              </w:rPr>
              <w:t xml:space="preserve">23</w:t>
            </w:r>
          </w:p>
        </w:tc>
        <w:tc>
          <w:tcPr/>
          <w:p>
            <w:pPr>
              <w:pStyle w:val="Compact"/>
              <w:spacing w:line="240" w:lineRule="auto"/>
              <w:jc w:val="right"/>
            </w:pPr>
            <w:r>
              <w:rPr>
                <w:sz w:val="20"/>
              </w:rPr>
              <w:t xml:space="preserve">64,321</w:t>
            </w:r>
          </w:p>
        </w:tc>
        <w:tc>
          <w:tcPr/>
          <w:p>
            <w:pPr>
              <w:pStyle w:val="Compact"/>
              <w:spacing w:line="240" w:lineRule="auto"/>
              <w:jc w:val="right"/>
            </w:pPr>
            <w:r>
              <w:rPr>
                <w:sz w:val="20"/>
              </w:rPr>
              <w:t xml:space="preserve">116,423</w:t>
            </w:r>
          </w:p>
        </w:tc>
        <w:tc>
          <w:tcPr/>
          <w:p>
            <w:pPr>
              <w:pStyle w:val="Compact"/>
              <w:spacing w:line="240" w:lineRule="auto"/>
              <w:jc w:val="right"/>
            </w:pPr>
            <w:r>
              <w:rPr>
                <w:sz w:val="20"/>
              </w:rPr>
              <w:t xml:space="preserve">9.3</w:t>
            </w:r>
          </w:p>
        </w:tc>
        <w:tc>
          <w:tcPr/>
          <w:p>
            <w:pPr>
              <w:pStyle w:val="Compact"/>
              <w:spacing w:line="240" w:lineRule="auto"/>
              <w:jc w:val="right"/>
            </w:pPr>
            <w:r>
              <w:rPr>
                <w:sz w:val="20"/>
              </w:rPr>
              <w:t xml:space="preserve">7.6</w:t>
            </w:r>
          </w:p>
        </w:tc>
        <w:tc>
          <w:tcPr/>
          <w:p>
            <w:pPr>
              <w:pStyle w:val="Compact"/>
              <w:spacing w:line="240" w:lineRule="auto"/>
              <w:jc w:val="right"/>
            </w:pPr>
            <w:r>
              <w:rPr>
                <w:sz w:val="20"/>
              </w:rPr>
              <w:t xml:space="preserve">74,154</w:t>
            </w:r>
          </w:p>
        </w:tc>
      </w:tr>
      <w:tr>
        <w:tc>
          <w:tcPr/>
          <w:p>
            <w:pPr>
              <w:pStyle w:val="Compact"/>
              <w:spacing w:line="240" w:lineRule="auto"/>
              <w:jc w:val="left"/>
            </w:pPr>
            <w:r>
              <w:rPr>
                <w:sz w:val="20"/>
              </w:rPr>
              <w:t xml:space="preserve">Ngari</w:t>
            </w:r>
          </w:p>
        </w:tc>
        <w:tc>
          <w:tcPr/>
          <w:p>
            <w:pPr>
              <w:pStyle w:val="Compact"/>
              <w:spacing w:line="240" w:lineRule="auto"/>
              <w:jc w:val="right"/>
            </w:pPr>
            <w:r>
              <w:rPr>
                <w:sz w:val="20"/>
              </w:rPr>
              <w:t xml:space="preserve">7</w:t>
            </w:r>
          </w:p>
        </w:tc>
        <w:tc>
          <w:tcPr/>
          <w:p>
            <w:pPr>
              <w:pStyle w:val="Compact"/>
              <w:spacing w:line="240" w:lineRule="auto"/>
              <w:jc w:val="right"/>
            </w:pPr>
            <w:r>
              <w:rPr>
                <w:sz w:val="20"/>
              </w:rPr>
              <w:t xml:space="preserve">12</w:t>
            </w:r>
          </w:p>
        </w:tc>
        <w:tc>
          <w:tcPr/>
          <w:p>
            <w:pPr>
              <w:pStyle w:val="Compact"/>
              <w:spacing w:line="240" w:lineRule="auto"/>
              <w:jc w:val="right"/>
            </w:pPr>
            <w:r>
              <w:rPr>
                <w:sz w:val="20"/>
              </w:rPr>
              <w:t xml:space="preserve">20,221</w:t>
            </w:r>
          </w:p>
        </w:tc>
        <w:tc>
          <w:tcPr/>
          <w:p>
            <w:pPr>
              <w:pStyle w:val="Compact"/>
              <w:spacing w:line="240" w:lineRule="auto"/>
              <w:jc w:val="right"/>
            </w:pPr>
            <w:r>
              <w:rPr>
                <w:sz w:val="20"/>
              </w:rPr>
              <w:t xml:space="preserve">88,207</w:t>
            </w:r>
          </w:p>
        </w:tc>
        <w:tc>
          <w:tcPr/>
          <w:p>
            <w:pPr>
              <w:pStyle w:val="Compact"/>
              <w:spacing w:line="240" w:lineRule="auto"/>
              <w:jc w:val="right"/>
            </w:pPr>
            <w:r>
              <w:rPr>
                <w:sz w:val="20"/>
              </w:rPr>
              <w:t xml:space="preserve">5.0</w:t>
            </w:r>
          </w:p>
        </w:tc>
        <w:tc>
          <w:tcPr/>
          <w:p>
            <w:pPr>
              <w:pStyle w:val="Compact"/>
              <w:spacing w:line="240" w:lineRule="auto"/>
              <w:jc w:val="right"/>
            </w:pPr>
            <w:r>
              <w:rPr>
                <w:sz w:val="20"/>
              </w:rPr>
              <w:t xml:space="preserve">4.3</w:t>
            </w:r>
          </w:p>
        </w:tc>
        <w:tc>
          <w:tcPr/>
          <w:p>
            <w:pPr>
              <w:pStyle w:val="Compact"/>
              <w:spacing w:line="240" w:lineRule="auto"/>
              <w:jc w:val="right"/>
            </w:pPr>
            <w:r>
              <w:rPr>
                <w:sz w:val="20"/>
              </w:rPr>
              <w:t xml:space="preserve">95,854</w:t>
            </w:r>
          </w:p>
        </w:tc>
      </w:tr>
      <w:tr>
        <w:tc>
          <w:tcPr/>
          <w:p>
            <w:pPr>
              <w:pStyle w:val="Compact"/>
              <w:spacing w:line="240" w:lineRule="auto"/>
              <w:jc w:val="left"/>
            </w:pPr>
            <w:r>
              <w:rPr>
                <w:sz w:val="20"/>
              </w:rPr>
              <w:t xml:space="preserve">Shannan</w:t>
            </w:r>
          </w:p>
        </w:tc>
        <w:tc>
          <w:tcPr/>
          <w:p>
            <w:pPr>
              <w:pStyle w:val="Compact"/>
              <w:spacing w:line="240" w:lineRule="auto"/>
              <w:jc w:val="right"/>
            </w:pPr>
            <w:r>
              <w:rPr>
                <w:sz w:val="20"/>
              </w:rPr>
              <w:t xml:space="preserve">12</w:t>
            </w:r>
          </w:p>
        </w:tc>
        <w:tc>
          <w:tcPr/>
          <w:p>
            <w:pPr>
              <w:pStyle w:val="Compact"/>
              <w:spacing w:line="240" w:lineRule="auto"/>
              <w:jc w:val="right"/>
            </w:pPr>
            <w:r>
              <w:rPr>
                <w:sz w:val="20"/>
              </w:rPr>
              <w:t xml:space="preserve">38</w:t>
            </w:r>
          </w:p>
        </w:tc>
        <w:tc>
          <w:tcPr/>
          <w:p>
            <w:pPr>
              <w:pStyle w:val="Compact"/>
              <w:spacing w:line="240" w:lineRule="auto"/>
              <w:jc w:val="right"/>
            </w:pPr>
            <w:r>
              <w:rPr>
                <w:sz w:val="20"/>
              </w:rPr>
              <w:t xml:space="preserve">33,046</w:t>
            </w:r>
          </w:p>
        </w:tc>
        <w:tc>
          <w:tcPr/>
          <w:p>
            <w:pPr>
              <w:pStyle w:val="Compact"/>
              <w:spacing w:line="240" w:lineRule="auto"/>
              <w:jc w:val="right"/>
            </w:pPr>
            <w:r>
              <w:rPr>
                <w:sz w:val="20"/>
              </w:rPr>
              <w:t xml:space="preserve">80,111</w:t>
            </w:r>
          </w:p>
        </w:tc>
        <w:tc>
          <w:tcPr/>
          <w:p>
            <w:pPr>
              <w:pStyle w:val="Compact"/>
              <w:spacing w:line="240" w:lineRule="auto"/>
              <w:jc w:val="right"/>
            </w:pPr>
            <w:r>
              <w:rPr>
                <w:sz w:val="20"/>
              </w:rPr>
              <w:t xml:space="preserve">6.9</w:t>
            </w:r>
          </w:p>
        </w:tc>
        <w:tc>
          <w:tcPr/>
          <w:p>
            <w:pPr>
              <w:pStyle w:val="Compact"/>
              <w:spacing w:line="240" w:lineRule="auto"/>
              <w:jc w:val="right"/>
            </w:pPr>
            <w:r>
              <w:rPr>
                <w:sz w:val="20"/>
              </w:rPr>
              <w:t xml:space="preserve">6.2</w:t>
            </w:r>
          </w:p>
        </w:tc>
        <w:tc>
          <w:tcPr/>
          <w:p>
            <w:pPr>
              <w:pStyle w:val="Compact"/>
              <w:spacing w:line="240" w:lineRule="auto"/>
              <w:jc w:val="right"/>
            </w:pPr>
            <w:r>
              <w:rPr>
                <w:sz w:val="20"/>
              </w:rPr>
              <w:t xml:space="preserve">52,834</w:t>
            </w:r>
          </w:p>
        </w:tc>
      </w:tr>
      <w:tr>
        <w:tc>
          <w:tcPr/>
          <w:p>
            <w:pPr>
              <w:pStyle w:val="Compact"/>
              <w:spacing w:line="240" w:lineRule="auto"/>
              <w:jc w:val="left"/>
            </w:pPr>
            <w:r>
              <w:rPr>
                <w:sz w:val="20"/>
              </w:rPr>
              <w:t xml:space="preserve">Shigatse</w:t>
            </w:r>
          </w:p>
        </w:tc>
        <w:tc>
          <w:tcPr/>
          <w:p>
            <w:pPr>
              <w:pStyle w:val="Compact"/>
              <w:spacing w:line="240" w:lineRule="auto"/>
              <w:jc w:val="right"/>
            </w:pPr>
            <w:r>
              <w:rPr>
                <w:sz w:val="20"/>
              </w:rPr>
              <w:t xml:space="preserve">18</w:t>
            </w:r>
          </w:p>
        </w:tc>
        <w:tc>
          <w:tcPr/>
          <w:p>
            <w:pPr>
              <w:pStyle w:val="Compact"/>
              <w:spacing w:line="240" w:lineRule="auto"/>
              <w:jc w:val="right"/>
            </w:pPr>
            <w:r>
              <w:rPr>
                <w:sz w:val="20"/>
              </w:rPr>
              <w:t xml:space="preserve">82</w:t>
            </w:r>
          </w:p>
        </w:tc>
        <w:tc>
          <w:tcPr/>
          <w:p>
            <w:pPr>
              <w:pStyle w:val="Compact"/>
              <w:spacing w:line="240" w:lineRule="auto"/>
              <w:jc w:val="right"/>
            </w:pPr>
            <w:r>
              <w:rPr>
                <w:sz w:val="20"/>
              </w:rPr>
              <w:t xml:space="preserve">24,067</w:t>
            </w:r>
          </w:p>
        </w:tc>
        <w:tc>
          <w:tcPr/>
          <w:p>
            <w:pPr>
              <w:pStyle w:val="Compact"/>
              <w:spacing w:line="240" w:lineRule="auto"/>
              <w:jc w:val="right"/>
            </w:pPr>
            <w:r>
              <w:rPr>
                <w:sz w:val="20"/>
              </w:rPr>
              <w:t xml:space="preserve">56,621</w:t>
            </w:r>
          </w:p>
        </w:tc>
        <w:tc>
          <w:tcPr/>
          <w:p>
            <w:pPr>
              <w:pStyle w:val="Compact"/>
              <w:spacing w:line="240" w:lineRule="auto"/>
              <w:jc w:val="right"/>
            </w:pPr>
            <w:r>
              <w:rPr>
                <w:sz w:val="20"/>
              </w:rPr>
              <w:t xml:space="preserve">4.2</w:t>
            </w:r>
          </w:p>
        </w:tc>
        <w:tc>
          <w:tcPr/>
          <w:p>
            <w:pPr>
              <w:pStyle w:val="Compact"/>
              <w:spacing w:line="240" w:lineRule="auto"/>
              <w:jc w:val="right"/>
            </w:pPr>
            <w:r>
              <w:rPr>
                <w:sz w:val="20"/>
              </w:rPr>
              <w:t xml:space="preserve">3.1</w:t>
            </w:r>
          </w:p>
        </w:tc>
        <w:tc>
          <w:tcPr/>
          <w:p>
            <w:pPr>
              <w:pStyle w:val="Compact"/>
              <w:spacing w:line="240" w:lineRule="auto"/>
              <w:jc w:val="right"/>
            </w:pPr>
            <w:r>
              <w:rPr>
                <w:sz w:val="20"/>
              </w:rPr>
              <w:t xml:space="preserve">40,375</w:t>
            </w:r>
          </w:p>
        </w:tc>
      </w:tr>
      <w:tr>
        <w:tc>
          <w:tcPr/>
          <w:p>
            <w:pPr>
              <w:pStyle w:val="Compact"/>
              <w:spacing w:line="240" w:lineRule="auto"/>
              <w:jc w:val="left"/>
            </w:pPr>
            <w:r>
              <w:rPr>
                <w:sz w:val="20"/>
              </w:rPr>
              <w:t xml:space="preserve">Chamdo</w:t>
            </w:r>
          </w:p>
        </w:tc>
        <w:tc>
          <w:tcPr/>
          <w:p>
            <w:pPr>
              <w:pStyle w:val="Compact"/>
              <w:spacing w:line="240" w:lineRule="auto"/>
              <w:jc w:val="right"/>
            </w:pPr>
            <w:r>
              <w:rPr>
                <w:sz w:val="20"/>
              </w:rPr>
              <w:t xml:space="preserve">11</w:t>
            </w:r>
          </w:p>
        </w:tc>
        <w:tc>
          <w:tcPr/>
          <w:p>
            <w:pPr>
              <w:pStyle w:val="Compact"/>
              <w:spacing w:line="240" w:lineRule="auto"/>
              <w:jc w:val="right"/>
            </w:pPr>
            <w:r>
              <w:rPr>
                <w:sz w:val="20"/>
              </w:rPr>
              <w:t xml:space="preserve">82</w:t>
            </w:r>
          </w:p>
        </w:tc>
        <w:tc>
          <w:tcPr/>
          <w:p>
            <w:pPr>
              <w:pStyle w:val="Compact"/>
              <w:spacing w:line="240" w:lineRule="auto"/>
              <w:jc w:val="right"/>
            </w:pPr>
            <w:r>
              <w:rPr>
                <w:sz w:val="20"/>
              </w:rPr>
              <w:t xml:space="preserve">19,715</w:t>
            </w:r>
          </w:p>
        </w:tc>
        <w:tc>
          <w:tcPr/>
          <w:p>
            <w:pPr>
              <w:pStyle w:val="Compact"/>
              <w:spacing w:line="240" w:lineRule="auto"/>
              <w:jc w:val="right"/>
            </w:pPr>
            <w:r>
              <w:rPr>
                <w:sz w:val="20"/>
              </w:rPr>
              <w:t xml:space="preserve">47,074</w:t>
            </w:r>
          </w:p>
        </w:tc>
        <w:tc>
          <w:tcPr/>
          <w:p>
            <w:pPr>
              <w:pStyle w:val="Compact"/>
              <w:spacing w:line="240" w:lineRule="auto"/>
              <w:jc w:val="right"/>
            </w:pPr>
            <w:r>
              <w:rPr>
                <w:sz w:val="20"/>
              </w:rPr>
              <w:t xml:space="preserve">5.9</w:t>
            </w:r>
          </w:p>
        </w:tc>
        <w:tc>
          <w:tcPr/>
          <w:p>
            <w:pPr>
              <w:pStyle w:val="Compact"/>
              <w:spacing w:line="240" w:lineRule="auto"/>
              <w:jc w:val="right"/>
            </w:pPr>
            <w:r>
              <w:rPr>
                <w:sz w:val="20"/>
              </w:rPr>
              <w:t xml:space="preserve">4.7</w:t>
            </w:r>
          </w:p>
        </w:tc>
        <w:tc>
          <w:tcPr/>
          <w:p>
            <w:pPr>
              <w:pStyle w:val="Compact"/>
              <w:spacing w:line="240" w:lineRule="auto"/>
              <w:jc w:val="right"/>
            </w:pPr>
            <w:r>
              <w:rPr>
                <w:sz w:val="20"/>
              </w:rPr>
              <w:t xml:space="preserve">29,962</w:t>
            </w:r>
          </w:p>
        </w:tc>
      </w:tr>
      <w:tr>
        <w:tc>
          <w:tcPr/>
          <w:p>
            <w:pPr>
              <w:pStyle w:val="Compact"/>
              <w:spacing w:line="240" w:lineRule="auto"/>
              <w:jc w:val="left"/>
            </w:pPr>
            <w:r>
              <w:rPr>
                <w:sz w:val="20"/>
              </w:rPr>
              <w:t xml:space="preserve">Nagqu</w:t>
            </w:r>
          </w:p>
        </w:tc>
        <w:tc>
          <w:tcPr/>
          <w:p>
            <w:pPr>
              <w:pStyle w:val="Compact"/>
              <w:spacing w:line="240" w:lineRule="auto"/>
              <w:jc w:val="right"/>
            </w:pPr>
            <w:r>
              <w:rPr>
                <w:sz w:val="20"/>
              </w:rPr>
              <w:t xml:space="preserve">11</w:t>
            </w:r>
          </w:p>
        </w:tc>
        <w:tc>
          <w:tcPr/>
          <w:p>
            <w:pPr>
              <w:pStyle w:val="Compact"/>
              <w:spacing w:line="240" w:lineRule="auto"/>
              <w:jc w:val="right"/>
            </w:pPr>
            <w:r>
              <w:rPr>
                <w:sz w:val="20"/>
              </w:rPr>
              <w:t xml:space="preserve">57</w:t>
            </w:r>
          </w:p>
        </w:tc>
        <w:tc>
          <w:tcPr/>
          <w:p>
            <w:pPr>
              <w:pStyle w:val="Compact"/>
              <w:spacing w:line="240" w:lineRule="auto"/>
              <w:jc w:val="right"/>
            </w:pPr>
            <w:r>
              <w:rPr>
                <w:sz w:val="20"/>
              </w:rPr>
              <w:t xml:space="preserve">15,551</w:t>
            </w:r>
          </w:p>
        </w:tc>
        <w:tc>
          <w:tcPr/>
          <w:p>
            <w:pPr>
              <w:pStyle w:val="Compact"/>
              <w:spacing w:line="240" w:lineRule="auto"/>
              <w:jc w:val="right"/>
            </w:pPr>
            <w:r>
              <w:rPr>
                <w:sz w:val="20"/>
              </w:rPr>
              <w:t xml:space="preserve">43,216</w:t>
            </w:r>
          </w:p>
        </w:tc>
        <w:tc>
          <w:tcPr/>
          <w:p>
            <w:pPr>
              <w:pStyle w:val="Compact"/>
              <w:spacing w:line="240" w:lineRule="auto"/>
              <w:jc w:val="right"/>
            </w:pPr>
            <w:r>
              <w:rPr>
                <w:sz w:val="20"/>
              </w:rPr>
              <w:t xml:space="preserve">2.9</w:t>
            </w:r>
          </w:p>
        </w:tc>
        <w:tc>
          <w:tcPr/>
          <w:p>
            <w:pPr>
              <w:pStyle w:val="Compact"/>
              <w:spacing w:line="240" w:lineRule="auto"/>
              <w:jc w:val="right"/>
            </w:pPr>
            <w:r>
              <w:rPr>
                <w:sz w:val="20"/>
              </w:rPr>
              <w:t xml:space="preserve">2.6</w:t>
            </w:r>
          </w:p>
        </w:tc>
        <w:tc>
          <w:tcPr/>
          <w:p>
            <w:pPr>
              <w:pStyle w:val="Compact"/>
              <w:spacing w:line="240" w:lineRule="auto"/>
              <w:jc w:val="right"/>
            </w:pPr>
            <w:r>
              <w:rPr>
                <w:sz w:val="20"/>
              </w:rPr>
              <w:t xml:space="preserve">44,004</w:t>
            </w:r>
          </w:p>
        </w:tc>
      </w:tr>
      <w:tr>
        <w:tc>
          <w:tcPr/>
          <w:p>
            <w:pPr>
              <w:pStyle w:val="Compact"/>
              <w:spacing w:line="240" w:lineRule="auto"/>
              <w:jc w:val="left"/>
            </w:pPr>
            <w:r>
              <w:rPr>
                <w:sz w:val="20"/>
              </w:rPr>
              <w:t xml:space="preserve">All 73 counties</w:t>
            </w:r>
          </w:p>
        </w:tc>
        <w:tc>
          <w:tcPr/>
          <w:p>
            <w:pPr>
              <w:pStyle w:val="Compact"/>
              <w:spacing w:line="240" w:lineRule="auto"/>
              <w:jc w:val="right"/>
            </w:pPr>
            <w:r>
              <w:rPr>
                <w:sz w:val="20"/>
              </w:rPr>
              <w:t xml:space="preserve">73</w:t>
            </w:r>
          </w:p>
        </w:tc>
        <w:tc>
          <w:tcPr/>
          <w:p>
            <w:pPr>
              <w:pStyle w:val="Compact"/>
              <w:spacing w:line="240" w:lineRule="auto"/>
              <w:jc w:val="right"/>
            </w:pPr>
            <w:r>
              <w:rPr>
                <w:sz w:val="20"/>
              </w:rPr>
              <w:t xml:space="preserve">330</w:t>
            </w:r>
          </w:p>
        </w:tc>
        <w:tc>
          <w:tcPr/>
          <w:p>
            <w:pPr>
              <w:pStyle w:val="Compact"/>
              <w:spacing w:line="240" w:lineRule="auto"/>
              <w:jc w:val="right"/>
            </w:pPr>
            <w:r>
              <w:rPr>
                <w:sz w:val="20"/>
              </w:rPr>
              <w:t xml:space="preserve">26,312</w:t>
            </w:r>
          </w:p>
        </w:tc>
        <w:tc>
          <w:tcPr/>
          <w:p>
            <w:pPr>
              <w:pStyle w:val="Compact"/>
              <w:spacing w:line="240" w:lineRule="auto"/>
              <w:jc w:val="right"/>
            </w:pPr>
            <w:r>
              <w:rPr>
                <w:sz w:val="20"/>
              </w:rPr>
              <w:t xml:space="preserve">66,794</w:t>
            </w:r>
          </w:p>
        </w:tc>
        <w:tc>
          <w:tcPr/>
          <w:p>
            <w:pPr>
              <w:pStyle w:val="Compact"/>
              <w:spacing w:line="240" w:lineRule="auto"/>
              <w:jc w:val="right"/>
            </w:pPr>
            <w:r>
              <w:rPr>
                <w:sz w:val="20"/>
              </w:rPr>
              <w:t xml:space="preserve">8.6</w:t>
            </w:r>
          </w:p>
        </w:tc>
        <w:tc>
          <w:tcPr/>
          <w:p>
            <w:pPr>
              <w:pStyle w:val="Compact"/>
              <w:spacing w:line="240" w:lineRule="auto"/>
              <w:jc w:val="right"/>
            </w:pPr>
            <w:r>
              <w:rPr>
                <w:sz w:val="20"/>
              </w:rPr>
              <w:t xml:space="preserve">4.5</w:t>
            </w:r>
          </w:p>
        </w:tc>
        <w:tc>
          <w:tcPr/>
          <w:p>
            <w:pPr>
              <w:pStyle w:val="Compact"/>
              <w:spacing w:line="240" w:lineRule="auto"/>
              <w:jc w:val="right"/>
            </w:pPr>
            <w:r>
              <w:rPr>
                <w:sz w:val="20"/>
              </w:rPr>
              <w:t xml:space="preserve">45,664</w:t>
            </w:r>
          </w:p>
        </w:tc>
      </w:tr>
    </w:tbl>
    <w:p>
      <w:pPr>
        <w:pStyle w:val="BodyText"/>
      </w:pPr>
      <w:r>
        <w:rPr>
          <w:iCs/>
          <w:i/>
        </w:rPr>
        <w:t xml:space="preserve">Notes:</w:t>
      </w:r>
      <w:r>
        <w:t xml:space="preserve"> </w:t>
      </w:r>
      <w:r>
        <w:t xml:space="preserve">Pop. 2024 is registered population in 2024 (10,000 persons). GDP p.c. and Exp. p.c. are GDP and expenditure per registered resident (yuan). SSR is the self-sufficiency ratio. Prefecture values aggregate the member counties in the sample (Chengguan District excluded). Self-sufficiency is own (local general budget) revenue divided by local general budget expenditure.</w:t>
      </w:r>
      <w:r>
        <w:t xml:space="preserve"> </w:t>
      </w:r>
      <w:r>
        <w:t xml:space="preserve">“</w:t>
      </w:r>
      <w:r>
        <w:t xml:space="preserve">Pooled</w:t>
      </w:r>
      <w:r>
        <w:t xml:space="preserve">”</w:t>
      </w:r>
      <w:r>
        <w:t xml:space="preserve"> </w:t>
      </w:r>
      <w:r>
        <w:t xml:space="preserve">is the ratio of summed revenue to summed expenditure over 2016–2024 for county-years in which both are observed. Per-capita values use registered population. Current prices.</w:t>
      </w:r>
    </w:p>
    <w:p>
      <w:pPr>
        <w:pStyle w:val="BodyText"/>
      </w:pPr>
      <w:r>
        <w:t xml:space="preserve">Table 2 and Fig. 1 compare the inequality of the three per-capita variables. Own revenue is the most unequally distributed, with a Gini coefficient of 0.48–0.64. Output follows at 0.32–0.37, and expenditure is the least unequal at 0.22–0.28. Spending is therefore more equally distributed than the output that underlies it, which is the most direct evidence that the transfer system closes most of the capacity gap. The decomposition shows that the asymmetry has a strong spatial dimension. Between 59% and 70% of revenue inequality (Theil</w:t>
      </w:r>
      <w:r>
        <w:t xml:space="preserve"> </w:t>
      </w:r>
      <w:r>
        <w:rPr>
          <w:iCs/>
          <w:i/>
        </w:rPr>
        <w:t xml:space="preserve">T</w:t>
      </w:r>
      <w:r>
        <w:t xml:space="preserve">) lies between prefectures, mainly reflecting the concentration of the tax base in Lhasa’s counties. The between-prefecture share of output inequality is lower and fell from 40% in 2016 to 34% in 2024. Disparities in output per capita have thus become relatively more a matter of differences among counties within the same prefecture.</w:t>
      </w:r>
    </w:p>
    <w:p>
      <w:pPr>
        <w:pStyle w:val="BodyText"/>
      </w:pPr>
      <w:r>
        <w:rPr>
          <w:iCs/>
          <w:i/>
        </w:rPr>
        <w:t xml:space="preserve">Table 2. Inequality of output, own revenue and expenditure per capita, 2016–2024.</w:t>
      </w:r>
    </w:p>
    <w:tbl>
      <w:tblPr>
        <w:tblStyle w:val="Table"/>
        <w:tblW w:type="pct" w:w="5000"/>
        <w:tblLayout w:type="autofit"/>
        <w:tblLook w:firstRow="1" w:lastRow="0" w:firstColumn="0" w:lastColumn="0" w:noHBand="0" w:noVBand="0" w:val="0020"/>
        <w:jc w:val="start"/>
      </w:tblPr>
      <w:tblGrid>
        <w:gridCol w:w="766"/>
        <w:gridCol w:w="638"/>
        <w:gridCol w:w="894"/>
        <w:gridCol w:w="894"/>
        <w:gridCol w:w="894"/>
        <w:gridCol w:w="894"/>
        <w:gridCol w:w="894"/>
        <w:gridCol w:w="1021"/>
        <w:gridCol w:w="1021"/>
      </w:tblGrid>
      <w:tr>
        <w:trPr>
          <w:tblHeader w:val="true"/>
        </w:trPr>
        <w:tc>
          <w:tcPr/>
          <w:p>
            <w:pPr>
              <w:pStyle w:val="Compact"/>
              <w:spacing w:line="240" w:lineRule="auto"/>
              <w:jc w:val="left"/>
            </w:pPr>
            <w:r>
              <w:rPr>
                <w:sz w:val="20"/>
              </w:rPr>
              <w:t xml:space="preserve">Year</w:t>
            </w:r>
          </w:p>
        </w:tc>
        <w:tc>
          <w:tcPr/>
          <w:p>
            <w:pPr>
              <w:pStyle w:val="Compact"/>
              <w:spacing w:line="240" w:lineRule="auto"/>
              <w:jc w:val="right"/>
            </w:pPr>
            <w:r>
              <w:rPr>
                <w:iCs/>
                <w:i/>
                <w:sz w:val="20"/>
              </w:rPr>
              <w:t xml:space="preserve">N</w:t>
            </w:r>
          </w:p>
        </w:tc>
        <w:tc>
          <w:tcPr/>
          <w:p>
            <w:pPr>
              <w:pStyle w:val="Compact"/>
              <w:spacing w:line="240" w:lineRule="auto"/>
              <w:jc w:val="right"/>
            </w:pPr>
            <w:r>
              <w:rPr>
                <w:sz w:val="20"/>
              </w:rPr>
              <w:t xml:space="preserve">Gini GDP</w:t>
            </w:r>
          </w:p>
        </w:tc>
        <w:tc>
          <w:tcPr/>
          <w:p>
            <w:pPr>
              <w:pStyle w:val="Compact"/>
              <w:spacing w:line="240" w:lineRule="auto"/>
              <w:jc w:val="right"/>
            </w:pPr>
            <w:r>
              <w:rPr>
                <w:sz w:val="20"/>
              </w:rPr>
              <w:t xml:space="preserve">Gini Rev</w:t>
            </w:r>
          </w:p>
        </w:tc>
        <w:tc>
          <w:tcPr/>
          <w:p>
            <w:pPr>
              <w:pStyle w:val="Compact"/>
              <w:spacing w:line="240" w:lineRule="auto"/>
              <w:jc w:val="right"/>
            </w:pPr>
            <w:r>
              <w:rPr>
                <w:sz w:val="20"/>
              </w:rPr>
              <w:t xml:space="preserve">Gini Exp</w:t>
            </w:r>
          </w:p>
        </w:tc>
        <w:tc>
          <w:tcPr/>
          <w:p>
            <w:pPr>
              <w:pStyle w:val="Compact"/>
              <w:spacing w:line="240" w:lineRule="auto"/>
              <w:jc w:val="right"/>
            </w:pPr>
            <w:r>
              <w:rPr>
                <w:iCs/>
                <w:i/>
                <w:sz w:val="20"/>
              </w:rPr>
              <w:t xml:space="preserve">E</w:t>
            </w:r>
          </w:p>
        </w:tc>
        <w:tc>
          <w:tcPr/>
          <w:p>
            <w:pPr>
              <w:pStyle w:val="Compact"/>
              <w:spacing w:line="240" w:lineRule="auto"/>
              <w:jc w:val="right"/>
            </w:pPr>
            <w:r>
              <w:rPr>
                <w:iCs/>
                <w:i/>
                <w:sz w:val="20"/>
              </w:rPr>
              <w:t xml:space="preserve">T</w:t>
            </w:r>
            <w:r>
              <w:rPr>
                <w:sz w:val="20"/>
              </w:rPr>
              <w:t xml:space="preserve"> </w:t>
            </w:r>
            <w:r>
              <w:rPr>
                <w:sz w:val="20"/>
              </w:rPr>
              <w:t xml:space="preserve">GDP</w:t>
            </w:r>
          </w:p>
        </w:tc>
        <w:tc>
          <w:tcPr/>
          <w:p>
            <w:pPr>
              <w:pStyle w:val="Compact"/>
              <w:spacing w:line="240" w:lineRule="auto"/>
              <w:jc w:val="right"/>
            </w:pPr>
            <w:r>
              <w:rPr>
                <w:iCs/>
                <w:i/>
                <w:sz w:val="20"/>
              </w:rPr>
              <w:t xml:space="preserve">B</w:t>
            </w:r>
            <w:r>
              <w:rPr>
                <w:sz w:val="20"/>
              </w:rPr>
              <w:t xml:space="preserve"> </w:t>
            </w:r>
            <w:r>
              <w:rPr>
                <w:sz w:val="20"/>
              </w:rPr>
              <w:t xml:space="preserve">GDP (%)</w:t>
            </w:r>
          </w:p>
        </w:tc>
        <w:tc>
          <w:tcPr/>
          <w:p>
            <w:pPr>
              <w:pStyle w:val="Compact"/>
              <w:spacing w:line="240" w:lineRule="auto"/>
              <w:jc w:val="right"/>
            </w:pPr>
            <w:r>
              <w:rPr>
                <w:iCs/>
                <w:i/>
                <w:sz w:val="20"/>
              </w:rPr>
              <w:t xml:space="preserve">B</w:t>
            </w:r>
            <w:r>
              <w:rPr>
                <w:sz w:val="20"/>
              </w:rPr>
              <w:t xml:space="preserve"> </w:t>
            </w:r>
            <w:r>
              <w:rPr>
                <w:sz w:val="20"/>
              </w:rPr>
              <w:t xml:space="preserve">Rev (%)</w:t>
            </w:r>
          </w:p>
        </w:tc>
      </w:tr>
      <w:tr>
        <w:tc>
          <w:tcPr/>
          <w:p>
            <w:pPr>
              <w:pStyle w:val="Compact"/>
              <w:spacing w:line="240" w:lineRule="auto"/>
              <w:jc w:val="left"/>
            </w:pPr>
            <w:r>
              <w:rPr>
                <w:sz w:val="20"/>
              </w:rPr>
              <w:t xml:space="preserve">2016</w:t>
            </w:r>
          </w:p>
        </w:tc>
        <w:tc>
          <w:tcPr/>
          <w:p>
            <w:pPr>
              <w:pStyle w:val="Compact"/>
              <w:spacing w:line="240" w:lineRule="auto"/>
              <w:jc w:val="right"/>
            </w:pPr>
            <w:r>
              <w:rPr>
                <w:sz w:val="20"/>
              </w:rPr>
              <w:t xml:space="preserve">71</w:t>
            </w:r>
          </w:p>
        </w:tc>
        <w:tc>
          <w:tcPr/>
          <w:p>
            <w:pPr>
              <w:pStyle w:val="Compact"/>
              <w:spacing w:line="240" w:lineRule="auto"/>
              <w:jc w:val="right"/>
            </w:pPr>
            <w:r>
              <w:rPr>
                <w:sz w:val="20"/>
              </w:rPr>
              <w:t xml:space="preserve">0.334</w:t>
            </w:r>
          </w:p>
        </w:tc>
        <w:tc>
          <w:tcPr/>
          <w:p>
            <w:pPr>
              <w:pStyle w:val="Compact"/>
              <w:spacing w:line="240" w:lineRule="auto"/>
              <w:jc w:val="right"/>
            </w:pPr>
            <w:r>
              <w:rPr>
                <w:sz w:val="20"/>
              </w:rPr>
              <w:t xml:space="preserve">0.514</w:t>
            </w:r>
          </w:p>
        </w:tc>
        <w:tc>
          <w:tcPr/>
          <w:p>
            <w:pPr>
              <w:pStyle w:val="Compact"/>
              <w:spacing w:line="240" w:lineRule="auto"/>
              <w:jc w:val="right"/>
            </w:pPr>
            <w:r>
              <w:rPr>
                <w:sz w:val="20"/>
              </w:rPr>
              <w:t xml:space="preserve">0.278</w:t>
            </w:r>
          </w:p>
        </w:tc>
        <w:tc>
          <w:tcPr/>
          <w:p>
            <w:pPr>
              <w:pStyle w:val="Compact"/>
              <w:spacing w:line="240" w:lineRule="auto"/>
              <w:jc w:val="right"/>
            </w:pPr>
            <w:r>
              <w:rPr>
                <w:sz w:val="20"/>
              </w:rPr>
              <w:t xml:space="preserve">0.460</w:t>
            </w:r>
          </w:p>
        </w:tc>
        <w:tc>
          <w:tcPr/>
          <w:p>
            <w:pPr>
              <w:pStyle w:val="Compact"/>
              <w:spacing w:line="240" w:lineRule="auto"/>
              <w:jc w:val="right"/>
            </w:pPr>
            <w:r>
              <w:rPr>
                <w:sz w:val="20"/>
              </w:rPr>
              <w:t xml:space="preserve">0.200</w:t>
            </w:r>
          </w:p>
        </w:tc>
        <w:tc>
          <w:tcPr/>
          <w:p>
            <w:pPr>
              <w:pStyle w:val="Compact"/>
              <w:spacing w:line="240" w:lineRule="auto"/>
              <w:jc w:val="right"/>
            </w:pPr>
            <w:r>
              <w:rPr>
                <w:sz w:val="20"/>
              </w:rPr>
              <w:t xml:space="preserve">40.4</w:t>
            </w:r>
          </w:p>
        </w:tc>
        <w:tc>
          <w:tcPr/>
          <w:p>
            <w:pPr>
              <w:pStyle w:val="Compact"/>
              <w:spacing w:line="240" w:lineRule="auto"/>
              <w:jc w:val="right"/>
            </w:pPr>
            <w:r>
              <w:rPr>
                <w:sz w:val="20"/>
              </w:rPr>
              <w:t xml:space="preserve">62.0</w:t>
            </w:r>
          </w:p>
        </w:tc>
      </w:tr>
      <w:tr>
        <w:tc>
          <w:tcPr/>
          <w:p>
            <w:pPr>
              <w:pStyle w:val="Compact"/>
              <w:spacing w:line="240" w:lineRule="auto"/>
              <w:jc w:val="left"/>
            </w:pPr>
            <w:r>
              <w:rPr>
                <w:sz w:val="20"/>
              </w:rPr>
              <w:t xml:space="preserve">2017</w:t>
            </w:r>
          </w:p>
        </w:tc>
        <w:tc>
          <w:tcPr/>
          <w:p>
            <w:pPr>
              <w:pStyle w:val="Compact"/>
              <w:spacing w:line="240" w:lineRule="auto"/>
              <w:jc w:val="right"/>
            </w:pPr>
            <w:r>
              <w:rPr>
                <w:sz w:val="20"/>
              </w:rPr>
              <w:t xml:space="preserve">68</w:t>
            </w:r>
          </w:p>
        </w:tc>
        <w:tc>
          <w:tcPr/>
          <w:p>
            <w:pPr>
              <w:pStyle w:val="Compact"/>
              <w:spacing w:line="240" w:lineRule="auto"/>
              <w:jc w:val="right"/>
            </w:pPr>
            <w:r>
              <w:rPr>
                <w:sz w:val="20"/>
              </w:rPr>
              <w:t xml:space="preserve">0.332</w:t>
            </w:r>
          </w:p>
        </w:tc>
        <w:tc>
          <w:tcPr/>
          <w:p>
            <w:pPr>
              <w:pStyle w:val="Compact"/>
              <w:spacing w:line="240" w:lineRule="auto"/>
              <w:jc w:val="right"/>
            </w:pPr>
            <w:r>
              <w:rPr>
                <w:sz w:val="20"/>
              </w:rPr>
              <w:t xml:space="preserve">0.477</w:t>
            </w:r>
          </w:p>
        </w:tc>
        <w:tc>
          <w:tcPr/>
          <w:p>
            <w:pPr>
              <w:pStyle w:val="Compact"/>
              <w:spacing w:line="240" w:lineRule="auto"/>
              <w:jc w:val="right"/>
            </w:pPr>
            <w:r>
              <w:rPr>
                <w:sz w:val="20"/>
              </w:rPr>
              <w:t xml:space="preserve">0.243</w:t>
            </w:r>
          </w:p>
        </w:tc>
        <w:tc>
          <w:tcPr/>
          <w:p>
            <w:pPr>
              <w:pStyle w:val="Compact"/>
              <w:spacing w:line="240" w:lineRule="auto"/>
              <w:jc w:val="right"/>
            </w:pPr>
            <w:r>
              <w:rPr>
                <w:sz w:val="20"/>
              </w:rPr>
              <w:t xml:space="preserve">0.492</w:t>
            </w:r>
          </w:p>
        </w:tc>
        <w:tc>
          <w:tcPr/>
          <w:p>
            <w:pPr>
              <w:pStyle w:val="Compact"/>
              <w:spacing w:line="240" w:lineRule="auto"/>
              <w:jc w:val="right"/>
            </w:pPr>
            <w:r>
              <w:rPr>
                <w:sz w:val="20"/>
              </w:rPr>
              <w:t xml:space="preserve">0.197</w:t>
            </w:r>
          </w:p>
        </w:tc>
        <w:tc>
          <w:tcPr/>
          <w:p>
            <w:pPr>
              <w:pStyle w:val="Compact"/>
              <w:spacing w:line="240" w:lineRule="auto"/>
              <w:jc w:val="right"/>
            </w:pPr>
            <w:r>
              <w:rPr>
                <w:sz w:val="20"/>
              </w:rPr>
              <w:t xml:space="preserve">43.7</w:t>
            </w:r>
          </w:p>
        </w:tc>
        <w:tc>
          <w:tcPr/>
          <w:p>
            <w:pPr>
              <w:pStyle w:val="Compact"/>
              <w:spacing w:line="240" w:lineRule="auto"/>
              <w:jc w:val="right"/>
            </w:pPr>
            <w:r>
              <w:rPr>
                <w:sz w:val="20"/>
              </w:rPr>
              <w:t xml:space="preserve">63.3</w:t>
            </w:r>
          </w:p>
        </w:tc>
      </w:tr>
      <w:tr>
        <w:tc>
          <w:tcPr/>
          <w:p>
            <w:pPr>
              <w:pStyle w:val="Compact"/>
              <w:spacing w:line="240" w:lineRule="auto"/>
              <w:jc w:val="left"/>
            </w:pPr>
            <w:r>
              <w:rPr>
                <w:sz w:val="20"/>
              </w:rPr>
              <w:t xml:space="preserve">2018</w:t>
            </w:r>
          </w:p>
        </w:tc>
        <w:tc>
          <w:tcPr/>
          <w:p>
            <w:pPr>
              <w:pStyle w:val="Compact"/>
              <w:spacing w:line="240" w:lineRule="auto"/>
              <w:jc w:val="right"/>
            </w:pPr>
            <w:r>
              <w:rPr>
                <w:sz w:val="20"/>
              </w:rPr>
              <w:t xml:space="preserve">60</w:t>
            </w:r>
          </w:p>
        </w:tc>
        <w:tc>
          <w:tcPr/>
          <w:p>
            <w:pPr>
              <w:pStyle w:val="Compact"/>
              <w:spacing w:line="240" w:lineRule="auto"/>
              <w:jc w:val="right"/>
            </w:pPr>
            <w:r>
              <w:rPr>
                <w:sz w:val="20"/>
              </w:rPr>
              <w:t xml:space="preserve">0.324</w:t>
            </w:r>
          </w:p>
        </w:tc>
        <w:tc>
          <w:tcPr/>
          <w:p>
            <w:pPr>
              <w:pStyle w:val="Compact"/>
              <w:spacing w:line="240" w:lineRule="auto"/>
              <w:jc w:val="right"/>
            </w:pPr>
            <w:r>
              <w:rPr>
                <w:sz w:val="20"/>
              </w:rPr>
              <w:t xml:space="preserve">0.643</w:t>
            </w:r>
          </w:p>
        </w:tc>
        <w:tc>
          <w:tcPr/>
          <w:p>
            <w:pPr>
              <w:pStyle w:val="Compact"/>
              <w:spacing w:line="240" w:lineRule="auto"/>
              <w:jc w:val="right"/>
            </w:pPr>
            <w:r>
              <w:rPr>
                <w:sz w:val="20"/>
              </w:rPr>
              <w:t xml:space="preserve">0.233</w:t>
            </w:r>
          </w:p>
        </w:tc>
        <w:tc>
          <w:tcPr/>
          <w:p>
            <w:pPr>
              <w:pStyle w:val="Compact"/>
              <w:spacing w:line="240" w:lineRule="auto"/>
              <w:jc w:val="right"/>
            </w:pPr>
            <w:r>
              <w:rPr>
                <w:sz w:val="20"/>
              </w:rPr>
              <w:t xml:space="preserve">0.638</w:t>
            </w:r>
          </w:p>
        </w:tc>
        <w:tc>
          <w:tcPr/>
          <w:p>
            <w:pPr>
              <w:pStyle w:val="Compact"/>
              <w:spacing w:line="240" w:lineRule="auto"/>
              <w:jc w:val="right"/>
            </w:pPr>
            <w:r>
              <w:rPr>
                <w:sz w:val="20"/>
              </w:rPr>
              <w:t xml:space="preserve">0.211</w:t>
            </w:r>
          </w:p>
        </w:tc>
        <w:tc>
          <w:tcPr/>
          <w:p>
            <w:pPr>
              <w:pStyle w:val="Compact"/>
              <w:spacing w:line="240" w:lineRule="auto"/>
              <w:jc w:val="right"/>
            </w:pPr>
            <w:r>
              <w:rPr>
                <w:sz w:val="20"/>
              </w:rPr>
              <w:t xml:space="preserve">42.5</w:t>
            </w:r>
          </w:p>
        </w:tc>
        <w:tc>
          <w:tcPr/>
          <w:p>
            <w:pPr>
              <w:pStyle w:val="Compact"/>
              <w:spacing w:line="240" w:lineRule="auto"/>
              <w:jc w:val="right"/>
            </w:pPr>
            <w:r>
              <w:rPr>
                <w:sz w:val="20"/>
              </w:rPr>
              <w:t xml:space="preserve">68.0</w:t>
            </w:r>
          </w:p>
        </w:tc>
      </w:tr>
      <w:tr>
        <w:tc>
          <w:tcPr/>
          <w:p>
            <w:pPr>
              <w:pStyle w:val="Compact"/>
              <w:spacing w:line="240" w:lineRule="auto"/>
              <w:jc w:val="left"/>
            </w:pPr>
            <w:r>
              <w:rPr>
                <w:sz w:val="20"/>
              </w:rPr>
              <w:t xml:space="preserve">2019</w:t>
            </w:r>
          </w:p>
        </w:tc>
        <w:tc>
          <w:tcPr/>
          <w:p>
            <w:pPr>
              <w:pStyle w:val="Compact"/>
              <w:spacing w:line="240" w:lineRule="auto"/>
              <w:jc w:val="right"/>
            </w:pPr>
            <w:r>
              <w:rPr>
                <w:sz w:val="20"/>
              </w:rPr>
              <w:t xml:space="preserve">71</w:t>
            </w:r>
          </w:p>
        </w:tc>
        <w:tc>
          <w:tcPr/>
          <w:p>
            <w:pPr>
              <w:pStyle w:val="Compact"/>
              <w:spacing w:line="240" w:lineRule="auto"/>
              <w:jc w:val="right"/>
            </w:pPr>
            <w:r>
              <w:rPr>
                <w:sz w:val="20"/>
              </w:rPr>
              <w:t xml:space="preserve">0.361</w:t>
            </w:r>
          </w:p>
        </w:tc>
        <w:tc>
          <w:tcPr/>
          <w:p>
            <w:pPr>
              <w:pStyle w:val="Compact"/>
              <w:spacing w:line="240" w:lineRule="auto"/>
              <w:jc w:val="right"/>
            </w:pPr>
            <w:r>
              <w:rPr>
                <w:sz w:val="20"/>
              </w:rPr>
              <w:t xml:space="preserve">0.600</w:t>
            </w:r>
          </w:p>
        </w:tc>
        <w:tc>
          <w:tcPr/>
          <w:p>
            <w:pPr>
              <w:pStyle w:val="Compact"/>
              <w:spacing w:line="240" w:lineRule="auto"/>
              <w:jc w:val="right"/>
            </w:pPr>
            <w:r>
              <w:rPr>
                <w:sz w:val="20"/>
              </w:rPr>
              <w:t xml:space="preserve">0.227</w:t>
            </w:r>
          </w:p>
        </w:tc>
        <w:tc>
          <w:tcPr/>
          <w:p>
            <w:pPr>
              <w:pStyle w:val="Compact"/>
              <w:spacing w:line="240" w:lineRule="auto"/>
              <w:jc w:val="right"/>
            </w:pPr>
            <w:r>
              <w:rPr>
                <w:sz w:val="20"/>
              </w:rPr>
              <w:t xml:space="preserve">0.622</w:t>
            </w:r>
          </w:p>
        </w:tc>
        <w:tc>
          <w:tcPr/>
          <w:p>
            <w:pPr>
              <w:pStyle w:val="Compact"/>
              <w:spacing w:line="240" w:lineRule="auto"/>
              <w:jc w:val="right"/>
            </w:pPr>
            <w:r>
              <w:rPr>
                <w:sz w:val="20"/>
              </w:rPr>
              <w:t xml:space="preserve">0.228</w:t>
            </w:r>
          </w:p>
        </w:tc>
        <w:tc>
          <w:tcPr/>
          <w:p>
            <w:pPr>
              <w:pStyle w:val="Compact"/>
              <w:spacing w:line="240" w:lineRule="auto"/>
              <w:jc w:val="right"/>
            </w:pPr>
            <w:r>
              <w:rPr>
                <w:sz w:val="20"/>
              </w:rPr>
              <w:t xml:space="preserve">26.8</w:t>
            </w:r>
          </w:p>
        </w:tc>
        <w:tc>
          <w:tcPr/>
          <w:p>
            <w:pPr>
              <w:pStyle w:val="Compact"/>
              <w:spacing w:line="240" w:lineRule="auto"/>
              <w:jc w:val="right"/>
            </w:pPr>
            <w:r>
              <w:rPr>
                <w:sz w:val="20"/>
              </w:rPr>
              <w:t xml:space="preserve">69.2</w:t>
            </w:r>
          </w:p>
        </w:tc>
      </w:tr>
      <w:tr>
        <w:tc>
          <w:tcPr/>
          <w:p>
            <w:pPr>
              <w:pStyle w:val="Compact"/>
              <w:spacing w:line="240" w:lineRule="auto"/>
              <w:jc w:val="left"/>
            </w:pPr>
            <w:r>
              <w:rPr>
                <w:sz w:val="20"/>
              </w:rPr>
              <w:t xml:space="preserve">2020</w:t>
            </w:r>
          </w:p>
        </w:tc>
        <w:tc>
          <w:tcPr/>
          <w:p>
            <w:pPr>
              <w:pStyle w:val="Compact"/>
              <w:spacing w:line="240" w:lineRule="auto"/>
              <w:jc w:val="right"/>
            </w:pPr>
            <w:r>
              <w:rPr>
                <w:sz w:val="20"/>
              </w:rPr>
              <w:t xml:space="preserve">73</w:t>
            </w:r>
          </w:p>
        </w:tc>
        <w:tc>
          <w:tcPr/>
          <w:p>
            <w:pPr>
              <w:pStyle w:val="Compact"/>
              <w:spacing w:line="240" w:lineRule="auto"/>
              <w:jc w:val="right"/>
            </w:pPr>
            <w:r>
              <w:rPr>
                <w:sz w:val="20"/>
              </w:rPr>
              <w:t xml:space="preserve">0.370</w:t>
            </w:r>
          </w:p>
        </w:tc>
        <w:tc>
          <w:tcPr/>
          <w:p>
            <w:pPr>
              <w:pStyle w:val="Compact"/>
              <w:spacing w:line="240" w:lineRule="auto"/>
              <w:jc w:val="right"/>
            </w:pPr>
            <w:r>
              <w:rPr>
                <w:sz w:val="20"/>
              </w:rPr>
              <w:t xml:space="preserve">0.607</w:t>
            </w:r>
          </w:p>
        </w:tc>
        <w:tc>
          <w:tcPr/>
          <w:p>
            <w:pPr>
              <w:pStyle w:val="Compact"/>
              <w:spacing w:line="240" w:lineRule="auto"/>
              <w:jc w:val="right"/>
            </w:pPr>
            <w:r>
              <w:rPr>
                <w:sz w:val="20"/>
              </w:rPr>
              <w:t xml:space="preserve">0.227</w:t>
            </w:r>
          </w:p>
        </w:tc>
        <w:tc>
          <w:tcPr/>
          <w:p>
            <w:pPr>
              <w:pStyle w:val="Compact"/>
              <w:spacing w:line="240" w:lineRule="auto"/>
              <w:jc w:val="right"/>
            </w:pPr>
            <w:r>
              <w:rPr>
                <w:sz w:val="20"/>
              </w:rPr>
              <w:t xml:space="preserve">0.626</w:t>
            </w:r>
          </w:p>
        </w:tc>
        <w:tc>
          <w:tcPr/>
          <w:p>
            <w:pPr>
              <w:pStyle w:val="Compact"/>
              <w:spacing w:line="240" w:lineRule="auto"/>
              <w:jc w:val="right"/>
            </w:pPr>
            <w:r>
              <w:rPr>
                <w:sz w:val="20"/>
              </w:rPr>
              <w:t xml:space="preserve">0.253</w:t>
            </w:r>
          </w:p>
        </w:tc>
        <w:tc>
          <w:tcPr/>
          <w:p>
            <w:pPr>
              <w:pStyle w:val="Compact"/>
              <w:spacing w:line="240" w:lineRule="auto"/>
              <w:jc w:val="right"/>
            </w:pPr>
            <w:r>
              <w:rPr>
                <w:sz w:val="20"/>
              </w:rPr>
              <w:t xml:space="preserve">29.3</w:t>
            </w:r>
          </w:p>
        </w:tc>
        <w:tc>
          <w:tcPr/>
          <w:p>
            <w:pPr>
              <w:pStyle w:val="Compact"/>
              <w:spacing w:line="240" w:lineRule="auto"/>
              <w:jc w:val="right"/>
            </w:pPr>
            <w:r>
              <w:rPr>
                <w:sz w:val="20"/>
              </w:rPr>
              <w:t xml:space="preserve">65.2</w:t>
            </w:r>
          </w:p>
        </w:tc>
      </w:tr>
      <w:tr>
        <w:tc>
          <w:tcPr/>
          <w:p>
            <w:pPr>
              <w:pStyle w:val="Compact"/>
              <w:spacing w:line="240" w:lineRule="auto"/>
              <w:jc w:val="left"/>
            </w:pPr>
            <w:r>
              <w:rPr>
                <w:sz w:val="20"/>
              </w:rPr>
              <w:t xml:space="preserve">2021</w:t>
            </w:r>
          </w:p>
        </w:tc>
        <w:tc>
          <w:tcPr/>
          <w:p>
            <w:pPr>
              <w:pStyle w:val="Compact"/>
              <w:spacing w:line="240" w:lineRule="auto"/>
              <w:jc w:val="right"/>
            </w:pPr>
            <w:r>
              <w:rPr>
                <w:sz w:val="20"/>
              </w:rPr>
              <w:t xml:space="preserve">73</w:t>
            </w:r>
          </w:p>
        </w:tc>
        <w:tc>
          <w:tcPr/>
          <w:p>
            <w:pPr>
              <w:pStyle w:val="Compact"/>
              <w:spacing w:line="240" w:lineRule="auto"/>
              <w:jc w:val="right"/>
            </w:pPr>
            <w:r>
              <w:rPr>
                <w:sz w:val="20"/>
              </w:rPr>
              <w:t xml:space="preserve">0.363</w:t>
            </w:r>
          </w:p>
        </w:tc>
        <w:tc>
          <w:tcPr/>
          <w:p>
            <w:pPr>
              <w:pStyle w:val="Compact"/>
              <w:spacing w:line="240" w:lineRule="auto"/>
              <w:jc w:val="right"/>
            </w:pPr>
            <w:r>
              <w:rPr>
                <w:sz w:val="20"/>
              </w:rPr>
              <w:t xml:space="preserve">0.588</w:t>
            </w:r>
          </w:p>
        </w:tc>
        <w:tc>
          <w:tcPr/>
          <w:p>
            <w:pPr>
              <w:pStyle w:val="Compact"/>
              <w:spacing w:line="240" w:lineRule="auto"/>
              <w:jc w:val="right"/>
            </w:pPr>
            <w:r>
              <w:rPr>
                <w:sz w:val="20"/>
              </w:rPr>
              <w:t xml:space="preserve">0.233</w:t>
            </w:r>
          </w:p>
        </w:tc>
        <w:tc>
          <w:tcPr/>
          <w:p>
            <w:pPr>
              <w:pStyle w:val="Compact"/>
              <w:spacing w:line="240" w:lineRule="auto"/>
              <w:jc w:val="right"/>
            </w:pPr>
            <w:r>
              <w:rPr>
                <w:sz w:val="20"/>
              </w:rPr>
              <w:t xml:space="preserve">0.604</w:t>
            </w:r>
          </w:p>
        </w:tc>
        <w:tc>
          <w:tcPr/>
          <w:p>
            <w:pPr>
              <w:pStyle w:val="Compact"/>
              <w:spacing w:line="240" w:lineRule="auto"/>
              <w:jc w:val="right"/>
            </w:pPr>
            <w:r>
              <w:rPr>
                <w:sz w:val="20"/>
              </w:rPr>
              <w:t xml:space="preserve">0.234</w:t>
            </w:r>
          </w:p>
        </w:tc>
        <w:tc>
          <w:tcPr/>
          <w:p>
            <w:pPr>
              <w:pStyle w:val="Compact"/>
              <w:spacing w:line="240" w:lineRule="auto"/>
              <w:jc w:val="right"/>
            </w:pPr>
            <w:r>
              <w:rPr>
                <w:sz w:val="20"/>
              </w:rPr>
              <w:t xml:space="preserve">34.1</w:t>
            </w:r>
          </w:p>
        </w:tc>
        <w:tc>
          <w:tcPr/>
          <w:p>
            <w:pPr>
              <w:pStyle w:val="Compact"/>
              <w:spacing w:line="240" w:lineRule="auto"/>
              <w:jc w:val="right"/>
            </w:pPr>
            <w:r>
              <w:rPr>
                <w:sz w:val="20"/>
              </w:rPr>
              <w:t xml:space="preserve">70.2</w:t>
            </w:r>
          </w:p>
        </w:tc>
      </w:tr>
      <w:tr>
        <w:tc>
          <w:tcPr/>
          <w:p>
            <w:pPr>
              <w:pStyle w:val="Compact"/>
              <w:spacing w:line="240" w:lineRule="auto"/>
              <w:jc w:val="left"/>
            </w:pPr>
            <w:r>
              <w:rPr>
                <w:sz w:val="20"/>
              </w:rPr>
              <w:t xml:space="preserve">2022</w:t>
            </w:r>
          </w:p>
        </w:tc>
        <w:tc>
          <w:tcPr/>
          <w:p>
            <w:pPr>
              <w:pStyle w:val="Compact"/>
              <w:spacing w:line="240" w:lineRule="auto"/>
              <w:jc w:val="right"/>
            </w:pPr>
            <w:r>
              <w:rPr>
                <w:sz w:val="20"/>
              </w:rPr>
              <w:t xml:space="preserve">69</w:t>
            </w:r>
          </w:p>
        </w:tc>
        <w:tc>
          <w:tcPr/>
          <w:p>
            <w:pPr>
              <w:pStyle w:val="Compact"/>
              <w:spacing w:line="240" w:lineRule="auto"/>
              <w:jc w:val="right"/>
            </w:pPr>
            <w:r>
              <w:rPr>
                <w:sz w:val="20"/>
              </w:rPr>
              <w:t xml:space="preserve">0.355</w:t>
            </w:r>
          </w:p>
        </w:tc>
        <w:tc>
          <w:tcPr/>
          <w:p>
            <w:pPr>
              <w:pStyle w:val="Compact"/>
              <w:spacing w:line="240" w:lineRule="auto"/>
              <w:jc w:val="right"/>
            </w:pPr>
            <w:r>
              <w:rPr>
                <w:sz w:val="20"/>
              </w:rPr>
              <w:t xml:space="preserve">0.591</w:t>
            </w:r>
          </w:p>
        </w:tc>
        <w:tc>
          <w:tcPr/>
          <w:p>
            <w:pPr>
              <w:pStyle w:val="Compact"/>
              <w:spacing w:line="240" w:lineRule="auto"/>
              <w:jc w:val="right"/>
            </w:pPr>
            <w:r>
              <w:rPr>
                <w:sz w:val="20"/>
              </w:rPr>
              <w:t xml:space="preserve">0.221</w:t>
            </w:r>
          </w:p>
        </w:tc>
        <w:tc>
          <w:tcPr/>
          <w:p>
            <w:pPr>
              <w:pStyle w:val="Compact"/>
              <w:spacing w:line="240" w:lineRule="auto"/>
              <w:jc w:val="right"/>
            </w:pPr>
            <w:r>
              <w:rPr>
                <w:sz w:val="20"/>
              </w:rPr>
              <w:t xml:space="preserve">0.626</w:t>
            </w:r>
          </w:p>
        </w:tc>
        <w:tc>
          <w:tcPr/>
          <w:p>
            <w:pPr>
              <w:pStyle w:val="Compact"/>
              <w:spacing w:line="240" w:lineRule="auto"/>
              <w:jc w:val="right"/>
            </w:pPr>
            <w:r>
              <w:rPr>
                <w:sz w:val="20"/>
              </w:rPr>
              <w:t xml:space="preserve">0.217</w:t>
            </w:r>
          </w:p>
        </w:tc>
        <w:tc>
          <w:tcPr/>
          <w:p>
            <w:pPr>
              <w:pStyle w:val="Compact"/>
              <w:spacing w:line="240" w:lineRule="auto"/>
              <w:jc w:val="right"/>
            </w:pPr>
            <w:r>
              <w:rPr>
                <w:sz w:val="20"/>
              </w:rPr>
              <w:t xml:space="preserve">31.3</w:t>
            </w:r>
          </w:p>
        </w:tc>
        <w:tc>
          <w:tcPr/>
          <w:p>
            <w:pPr>
              <w:pStyle w:val="Compact"/>
              <w:spacing w:line="240" w:lineRule="auto"/>
              <w:jc w:val="right"/>
            </w:pPr>
            <w:r>
              <w:rPr>
                <w:sz w:val="20"/>
              </w:rPr>
              <w:t xml:space="preserve">66.6</w:t>
            </w:r>
          </w:p>
        </w:tc>
      </w:tr>
      <w:tr>
        <w:tc>
          <w:tcPr/>
          <w:p>
            <w:pPr>
              <w:pStyle w:val="Compact"/>
              <w:spacing w:line="240" w:lineRule="auto"/>
              <w:jc w:val="left"/>
            </w:pPr>
            <w:r>
              <w:rPr>
                <w:sz w:val="20"/>
              </w:rPr>
              <w:t xml:space="preserve">2023</w:t>
            </w:r>
          </w:p>
        </w:tc>
        <w:tc>
          <w:tcPr/>
          <w:p>
            <w:pPr>
              <w:pStyle w:val="Compact"/>
              <w:spacing w:line="240" w:lineRule="auto"/>
              <w:jc w:val="right"/>
            </w:pPr>
            <w:r>
              <w:rPr>
                <w:sz w:val="20"/>
              </w:rPr>
              <w:t xml:space="preserve">73</w:t>
            </w:r>
          </w:p>
        </w:tc>
        <w:tc>
          <w:tcPr/>
          <w:p>
            <w:pPr>
              <w:pStyle w:val="Compact"/>
              <w:spacing w:line="240" w:lineRule="auto"/>
              <w:jc w:val="right"/>
            </w:pPr>
            <w:r>
              <w:rPr>
                <w:sz w:val="20"/>
              </w:rPr>
              <w:t xml:space="preserve">0.339</w:t>
            </w:r>
          </w:p>
        </w:tc>
        <w:tc>
          <w:tcPr/>
          <w:p>
            <w:pPr>
              <w:pStyle w:val="Compact"/>
              <w:spacing w:line="240" w:lineRule="auto"/>
              <w:jc w:val="right"/>
            </w:pPr>
            <w:r>
              <w:rPr>
                <w:sz w:val="20"/>
              </w:rPr>
              <w:t xml:space="preserve">0.542</w:t>
            </w:r>
          </w:p>
        </w:tc>
        <w:tc>
          <w:tcPr/>
          <w:p>
            <w:pPr>
              <w:pStyle w:val="Compact"/>
              <w:spacing w:line="240" w:lineRule="auto"/>
              <w:jc w:val="right"/>
            </w:pPr>
            <w:r>
              <w:rPr>
                <w:sz w:val="20"/>
              </w:rPr>
              <w:t xml:space="preserve">0.257</w:t>
            </w:r>
          </w:p>
        </w:tc>
        <w:tc>
          <w:tcPr/>
          <w:p>
            <w:pPr>
              <w:pStyle w:val="Compact"/>
              <w:spacing w:line="240" w:lineRule="auto"/>
              <w:jc w:val="right"/>
            </w:pPr>
            <w:r>
              <w:rPr>
                <w:sz w:val="20"/>
              </w:rPr>
              <w:t xml:space="preserve">0.527</w:t>
            </w:r>
          </w:p>
        </w:tc>
        <w:tc>
          <w:tcPr/>
          <w:p>
            <w:pPr>
              <w:pStyle w:val="Compact"/>
              <w:spacing w:line="240" w:lineRule="auto"/>
              <w:jc w:val="right"/>
            </w:pPr>
            <w:r>
              <w:rPr>
                <w:sz w:val="20"/>
              </w:rPr>
              <w:t xml:space="preserve">0.197</w:t>
            </w:r>
          </w:p>
        </w:tc>
        <w:tc>
          <w:tcPr/>
          <w:p>
            <w:pPr>
              <w:pStyle w:val="Compact"/>
              <w:spacing w:line="240" w:lineRule="auto"/>
              <w:jc w:val="right"/>
            </w:pPr>
            <w:r>
              <w:rPr>
                <w:sz w:val="20"/>
              </w:rPr>
              <w:t xml:space="preserve">32.2</w:t>
            </w:r>
          </w:p>
        </w:tc>
        <w:tc>
          <w:tcPr/>
          <w:p>
            <w:pPr>
              <w:pStyle w:val="Compact"/>
              <w:spacing w:line="240" w:lineRule="auto"/>
              <w:jc w:val="right"/>
            </w:pPr>
            <w:r>
              <w:rPr>
                <w:sz w:val="20"/>
              </w:rPr>
              <w:t xml:space="preserve">64.1</w:t>
            </w:r>
          </w:p>
        </w:tc>
      </w:tr>
      <w:tr>
        <w:tc>
          <w:tcPr/>
          <w:p>
            <w:pPr>
              <w:pStyle w:val="Compact"/>
              <w:spacing w:line="240" w:lineRule="auto"/>
              <w:jc w:val="left"/>
            </w:pPr>
            <w:r>
              <w:rPr>
                <w:sz w:val="20"/>
              </w:rPr>
              <w:t xml:space="preserve">2024</w:t>
            </w:r>
          </w:p>
        </w:tc>
        <w:tc>
          <w:tcPr/>
          <w:p>
            <w:pPr>
              <w:pStyle w:val="Compact"/>
              <w:spacing w:line="240" w:lineRule="auto"/>
              <w:jc w:val="right"/>
            </w:pPr>
            <w:r>
              <w:rPr>
                <w:sz w:val="20"/>
              </w:rPr>
              <w:t xml:space="preserve">72</w:t>
            </w:r>
          </w:p>
        </w:tc>
        <w:tc>
          <w:tcPr/>
          <w:p>
            <w:pPr>
              <w:pStyle w:val="Compact"/>
              <w:spacing w:line="240" w:lineRule="auto"/>
              <w:jc w:val="right"/>
            </w:pPr>
            <w:r>
              <w:rPr>
                <w:sz w:val="20"/>
              </w:rPr>
              <w:t xml:space="preserve">0.346</w:t>
            </w:r>
          </w:p>
        </w:tc>
        <w:tc>
          <w:tcPr/>
          <w:p>
            <w:pPr>
              <w:pStyle w:val="Compact"/>
              <w:spacing w:line="240" w:lineRule="auto"/>
              <w:jc w:val="right"/>
            </w:pPr>
            <w:r>
              <w:rPr>
                <w:sz w:val="20"/>
              </w:rPr>
              <w:t xml:space="preserve">0.542</w:t>
            </w:r>
          </w:p>
        </w:tc>
        <w:tc>
          <w:tcPr/>
          <w:p>
            <w:pPr>
              <w:pStyle w:val="Compact"/>
              <w:spacing w:line="240" w:lineRule="auto"/>
              <w:jc w:val="right"/>
            </w:pPr>
            <w:r>
              <w:rPr>
                <w:sz w:val="20"/>
              </w:rPr>
              <w:t xml:space="preserve">0.274</w:t>
            </w:r>
          </w:p>
        </w:tc>
        <w:tc>
          <w:tcPr/>
          <w:p>
            <w:pPr>
              <w:pStyle w:val="Compact"/>
              <w:spacing w:line="240" w:lineRule="auto"/>
              <w:jc w:val="right"/>
            </w:pPr>
            <w:r>
              <w:rPr>
                <w:sz w:val="20"/>
              </w:rPr>
              <w:t xml:space="preserve">0.494</w:t>
            </w:r>
          </w:p>
        </w:tc>
        <w:tc>
          <w:tcPr/>
          <w:p>
            <w:pPr>
              <w:pStyle w:val="Compact"/>
              <w:spacing w:line="240" w:lineRule="auto"/>
              <w:jc w:val="right"/>
            </w:pPr>
            <w:r>
              <w:rPr>
                <w:sz w:val="20"/>
              </w:rPr>
              <w:t xml:space="preserve">0.219</w:t>
            </w:r>
          </w:p>
        </w:tc>
        <w:tc>
          <w:tcPr/>
          <w:p>
            <w:pPr>
              <w:pStyle w:val="Compact"/>
              <w:spacing w:line="240" w:lineRule="auto"/>
              <w:jc w:val="right"/>
            </w:pPr>
            <w:r>
              <w:rPr>
                <w:sz w:val="20"/>
              </w:rPr>
              <w:t xml:space="preserve">33.9</w:t>
            </w:r>
          </w:p>
        </w:tc>
        <w:tc>
          <w:tcPr/>
          <w:p>
            <w:pPr>
              <w:pStyle w:val="Compact"/>
              <w:spacing w:line="240" w:lineRule="auto"/>
              <w:jc w:val="right"/>
            </w:pPr>
            <w:r>
              <w:rPr>
                <w:sz w:val="20"/>
              </w:rPr>
              <w:t xml:space="preserve">59.3</w:t>
            </w:r>
          </w:p>
        </w:tc>
      </w:tr>
    </w:tbl>
    <w:p>
      <w:pPr>
        <w:pStyle w:val="BodyText"/>
      </w:pPr>
      <w:r>
        <w:rPr>
          <w:iCs/>
          <w:i/>
        </w:rPr>
        <w:t xml:space="preserve">Notes:</w:t>
      </w:r>
      <w:r>
        <w:t xml:space="preserve"> </w:t>
      </w:r>
      <w:r>
        <w:t xml:space="preserve">Population-weighted indices of GDP (GDP), own revenue (Rev) and expenditure (Exp) per capita.</w:t>
      </w:r>
      <w:r>
        <w:t xml:space="preserve"> </w:t>
      </w:r>
      <w:r>
        <w:rPr>
          <w:iCs/>
          <w:i/>
        </w:rPr>
        <w:t xml:space="preserve">E</w:t>
      </w:r>
      <w:r>
        <w:t xml:space="preserve"> </w:t>
      </w:r>
      <w:r>
        <w:t xml:space="preserve">is the equalisation ratio of Eq. (3);</w:t>
      </w:r>
      <w:r>
        <w:t xml:space="preserve"> </w:t>
      </w:r>
      <w:r>
        <w:rPr>
          <w:iCs/>
          <w:i/>
        </w:rPr>
        <w:t xml:space="preserve">T</w:t>
      </w:r>
      <w:r>
        <w:t xml:space="preserve"> </w:t>
      </w:r>
      <w:r>
        <w:t xml:space="preserve">is the Theil</w:t>
      </w:r>
      <w:r>
        <w:t xml:space="preserve"> </w:t>
      </w:r>
      <w:r>
        <w:rPr>
          <w:iCs/>
          <w:i/>
        </w:rPr>
        <w:t xml:space="preserve">T</w:t>
      </w:r>
      <w:r>
        <w:t xml:space="preserve"> </w:t>
      </w:r>
      <w:r>
        <w:t xml:space="preserve">index;</w:t>
      </w:r>
      <w:r>
        <w:t xml:space="preserve"> </w:t>
      </w:r>
      <w:r>
        <w:rPr>
          <w:iCs/>
          <w:i/>
        </w:rPr>
        <w:t xml:space="preserve">B</w:t>
      </w:r>
      <w:r>
        <w:t xml:space="preserve"> </w:t>
      </w:r>
      <w:r>
        <w:t xml:space="preserve">is the between-prefecture share of</w:t>
      </w:r>
      <w:r>
        <w:t xml:space="preserve"> </w:t>
      </w:r>
      <w:r>
        <w:rPr>
          <w:iCs/>
          <w:i/>
        </w:rPr>
        <w:t xml:space="preserve">T</w:t>
      </w:r>
      <w:r>
        <w:t xml:space="preserve"> </w:t>
      </w:r>
      <w:r>
        <w:t xml:space="preserve">(Eq. 2). Gini coefficients and</w:t>
      </w:r>
      <w:r>
        <w:t xml:space="preserve"> </w:t>
      </w:r>
      <w:r>
        <w:rPr>
          <w:iCs/>
          <w:i/>
        </w:rPr>
        <w:t xml:space="preserve">E</w:t>
      </w:r>
      <w:r>
        <w:t xml:space="preserve"> </w:t>
      </w:r>
      <w:r>
        <w:t xml:space="preserve">are computed on the common sample of counties that report all three variables in a given year (</w:t>
      </w:r>
      <w:r>
        <w:rPr>
          <w:iCs/>
          <w:i/>
        </w:rPr>
        <w:t xml:space="preserve">N</w:t>
      </w:r>
      <w:r>
        <w:t xml:space="preserve">). Theil</w:t>
      </w:r>
      <w:r>
        <w:t xml:space="preserve"> </w:t>
      </w:r>
      <w:r>
        <w:rPr>
          <w:iCs/>
          <w:i/>
        </w:rPr>
        <w:t xml:space="preserve">T</w:t>
      </w:r>
      <w:r>
        <w:t xml:space="preserve"> </w:t>
      </w:r>
      <w:r>
        <w:t xml:space="preserve">and its decomposition by seven prefectures (Eq. 2) use all available counties for each variable. The 2016 and 2018 common samples are smaller because several 2018 revenue values are set to missing by the cleaning rules (Appendix A).</w:t>
      </w:r>
    </w:p>
    <w:p>
      <w:pPr>
        <w:pStyle w:val="CaptionedFigure"/>
      </w:pPr>
      <w:r>
        <w:drawing>
          <wp:inline>
            <wp:extent cx="5334000" cy="2133599"/>
            <wp:effectExtent b="0" l="0" r="0" t="0"/>
            <wp:docPr descr="Fig. 1. Population-weighted Gini coefficients (panel a) and the between-prefecture share of the Theil T index (panel b) for GDP, own revenue and expenditure per capita across 73 counties of Tibet, 2016–2024. The 2016 and 2018 values for own revenue and expenditure are based on slightly smaller samples; see Table 2." title="" id="30" name="Picture"/>
            <a:graphic>
              <a:graphicData uri="http://schemas.openxmlformats.org/drawingml/2006/picture">
                <pic:pic>
                  <pic:nvPicPr>
                    <pic:cNvPr descr="Figure_1.png" id="31" name="Picture"/>
                    <pic:cNvPicPr>
                      <a:picLocks noChangeArrowheads="1" noChangeAspect="1"/>
                    </pic:cNvPicPr>
                  </pic:nvPicPr>
                  <pic:blipFill>
                    <a:blip r:embed="rId29"/>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 1. Population-weighted Gini coefficients (panel a) and the between-prefecture share of the Theil</w:t>
      </w:r>
      <w:r>
        <w:t xml:space="preserve"> </w:t>
      </w:r>
      <w:r>
        <w:rPr>
          <w:iCs/>
          <w:i/>
        </w:rPr>
        <w:t xml:space="preserve">T</w:t>
      </w:r>
      <w:r>
        <w:t xml:space="preserve"> </w:t>
      </w:r>
      <w:r>
        <w:t xml:space="preserve">index (panel b) for GDP, own revenue and expenditure per capita across 73 counties of Tibet, 2016–2024. The 2016 and 2018 values for own revenue and expenditure are based on slightly smaller samples; see Table 2.</w:t>
      </w:r>
    </w:p>
    <w:p>
      <w:pPr>
        <w:pStyle w:val="BodyText"/>
      </w:pPr>
      <w:r>
        <w:t xml:space="preserve">The equalisation ratio in Eq. (3) moved in two phases. It rose from 0.46 in 2016 to 0.60–0.64 in 2018–2022, as the Gini coefficient of expenditure fell while that of own revenue rose. It then declined to 0.49 in 2024, because the expenditure Gini rose from 0.22 in 2022 to 0.27 in 2024 while revenue inequality changed little. The pattern is asymmetric around the pandemic. Spending was most compressed during the years of disruption, when region-wide support was largest, and became more dispersed in the recovery. One plausible reading is that the post-2022 expansion in spending was allocated in proportion to county-specific projects rather than by the formula-like equalisation that dominated earlier. Without data on transfer composition, however, this cannot be tested directly.</w:t>
      </w:r>
    </w:p>
    <w:bookmarkEnd w:id="32"/>
    <w:bookmarkStart w:id="36" w:name="fiscal-gradients"/>
    <w:p>
      <w:pPr>
        <w:pStyle w:val="Heading2"/>
      </w:pPr>
      <w:r>
        <w:t xml:space="preserve">4.2. Fiscal gradients</w:t>
      </w:r>
    </w:p>
    <w:p>
      <w:pPr>
        <w:pStyle w:val="FirstParagraph"/>
      </w:pPr>
      <w:r>
        <w:t xml:space="preserve">Table 3 reports the elasticities of Eq. (4), and Fig. 2(a) shows the 2024 cross-section. Across counties, own revenue per capita rises more than proportionally with output per capita (elasticity 1.17 with year effects). Expenditure per capita rises with an elasticity of only 0.35. The difference between the two slopes measures the extent to which transfers flatten the spending gradient. Holding constant the location of a county within a prefecture lowers both elasticities, but the gap remains. Within counties over time, the revenue elasticity falls to 0.36 and the expenditure elasticity is 0.32. The elasticity of expenditure with respect to own revenue is 0.15 within counties. Because expenditure is many times own revenue, this small elasticity corresponds to a large marginal effect: evaluated at the pooled and median ratios of expenditure to own revenue, it implies roughly 1.8–3.4 yuan of additional spending per additional yuan of own revenue. Transfers therefore do not offset increases in local revenue. If anything, the two move together, although this within-county association may also reflect common shocks, such as project funding that raises both spending and local revenue.</w:t>
      </w:r>
    </w:p>
    <w:p>
      <w:pPr>
        <w:pStyle w:val="BodyText"/>
      </w:pPr>
      <w:r>
        <w:rPr>
          <w:iCs/>
          <w:i/>
        </w:rPr>
        <w:t xml:space="preserve">Table 3. Elasticities of own revenue and expenditure with respect to output.</w:t>
      </w:r>
    </w:p>
    <w:tbl>
      <w:tblPr>
        <w:tblStyle w:val="Table"/>
        <w:tblW w:type="pct" w:w="5000"/>
        <w:tblLayout w:type="autofit"/>
        <w:tblLook w:firstRow="1" w:lastRow="0" w:firstColumn="0" w:lastColumn="0" w:noHBand="0" w:noVBand="0" w:val="0020"/>
        <w:jc w:val="start"/>
      </w:tblPr>
      <w:tblGrid>
        <w:gridCol w:w="2009"/>
        <w:gridCol w:w="2009"/>
        <w:gridCol w:w="1300"/>
        <w:gridCol w:w="1300"/>
        <w:gridCol w:w="1300"/>
      </w:tblGrid>
      <w:tr>
        <w:trPr>
          <w:tblHeader w:val="true"/>
        </w:trPr>
        <w:tc>
          <w:tcPr/>
          <w:p>
            <w:pPr>
              <w:pStyle w:val="Compact"/>
              <w:spacing w:line="240" w:lineRule="auto"/>
              <w:jc w:val="left"/>
            </w:pPr>
            <w:r>
              <w:rPr>
                <w:sz w:val="20"/>
              </w:rPr>
              <w:t xml:space="preserve">Dependent variable</w:t>
            </w:r>
          </w:p>
        </w:tc>
        <w:tc>
          <w:tcPr/>
          <w:p>
            <w:pPr>
              <w:pStyle w:val="Compact"/>
              <w:spacing w:line="240" w:lineRule="auto"/>
              <w:jc w:val="left"/>
            </w:pPr>
            <w:r>
              <w:rPr>
                <w:sz w:val="20"/>
              </w:rPr>
              <w:t xml:space="preserve">Regressor</w:t>
            </w:r>
          </w:p>
        </w:tc>
        <w:tc>
          <w:tcPr/>
          <w:p>
            <w:pPr>
              <w:pStyle w:val="Compact"/>
              <w:spacing w:line="240" w:lineRule="auto"/>
              <w:jc w:val="center"/>
            </w:pPr>
            <w:r>
              <w:rPr>
                <w:sz w:val="20"/>
              </w:rPr>
              <w:t xml:space="preserve">Pooled, year FE</w:t>
            </w:r>
          </w:p>
        </w:tc>
        <w:tc>
          <w:tcPr/>
          <w:p>
            <w:pPr>
              <w:pStyle w:val="Compact"/>
              <w:spacing w:line="240" w:lineRule="auto"/>
              <w:jc w:val="center"/>
            </w:pPr>
            <w:r>
              <w:rPr>
                <w:sz w:val="20"/>
              </w:rPr>
              <w:t xml:space="preserve">Prefecture and year FE</w:t>
            </w:r>
          </w:p>
        </w:tc>
        <w:tc>
          <w:tcPr/>
          <w:p>
            <w:pPr>
              <w:pStyle w:val="Compact"/>
              <w:spacing w:line="240" w:lineRule="auto"/>
              <w:jc w:val="center"/>
            </w:pPr>
            <w:r>
              <w:rPr>
                <w:sz w:val="20"/>
              </w:rPr>
              <w:t xml:space="preserve">County and year FE</w:t>
            </w:r>
          </w:p>
        </w:tc>
      </w:tr>
      <w:tr>
        <w:tc>
          <w:tcPr/>
          <w:p>
            <w:pPr>
              <w:pStyle w:val="Compact"/>
              <w:spacing w:line="240" w:lineRule="auto"/>
              <w:jc w:val="left"/>
            </w:pPr>
            <w:r>
              <w:rPr>
                <w:sz w:val="20"/>
              </w:rPr>
              <w:t xml:space="preserve">ln own revenue p.c.</w:t>
            </w:r>
          </w:p>
        </w:tc>
        <w:tc>
          <w:tcPr/>
          <w:p>
            <w:pPr>
              <w:pStyle w:val="Compact"/>
              <w:spacing w:line="240" w:lineRule="auto"/>
              <w:jc w:val="left"/>
            </w:pPr>
            <w:r>
              <w:rPr>
                <w:sz w:val="20"/>
              </w:rPr>
              <w:t xml:space="preserve">ln GDP p.c.</w:t>
            </w:r>
          </w:p>
        </w:tc>
        <w:tc>
          <w:tcPr/>
          <w:p>
            <w:pPr>
              <w:pStyle w:val="Compact"/>
              <w:spacing w:line="240" w:lineRule="auto"/>
              <w:jc w:val="center"/>
            </w:pPr>
            <w:r>
              <w:rPr>
                <w:sz w:val="20"/>
              </w:rPr>
              <w:t xml:space="preserve">1.168***</w:t>
            </w:r>
          </w:p>
        </w:tc>
        <w:tc>
          <w:tcPr/>
          <w:p>
            <w:pPr>
              <w:pStyle w:val="Compact"/>
              <w:spacing w:line="240" w:lineRule="auto"/>
              <w:jc w:val="center"/>
            </w:pPr>
            <w:r>
              <w:rPr>
                <w:sz w:val="20"/>
              </w:rPr>
              <w:t xml:space="preserve">0.824***</w:t>
            </w:r>
          </w:p>
        </w:tc>
        <w:tc>
          <w:tcPr/>
          <w:p>
            <w:pPr>
              <w:pStyle w:val="Compact"/>
              <w:spacing w:line="240" w:lineRule="auto"/>
              <w:jc w:val="center"/>
            </w:pPr>
            <w:r>
              <w:rPr>
                <w:sz w:val="20"/>
              </w:rPr>
              <w:t xml:space="preserve">0.356**</w:t>
            </w:r>
          </w:p>
        </w:tc>
      </w:tr>
      <w:tr>
        <w:tc>
          <w:tcPr/>
          <w:p>
            <w:pPr>
              <w:pStyle w:val="Compact"/>
              <w:spacing w:line="240" w:lineRule="auto"/>
            </w:pPr>
          </w:p>
        </w:tc>
        <w:tc>
          <w:tcPr/>
          <w:p>
            <w:pPr>
              <w:pStyle w:val="Compact"/>
              <w:spacing w:line="240" w:lineRule="auto"/>
            </w:pPr>
          </w:p>
        </w:tc>
        <w:tc>
          <w:tcPr/>
          <w:p>
            <w:pPr>
              <w:pStyle w:val="Compact"/>
              <w:spacing w:line="240" w:lineRule="auto"/>
              <w:jc w:val="center"/>
            </w:pPr>
            <w:r>
              <w:rPr>
                <w:sz w:val="20"/>
              </w:rPr>
              <w:t xml:space="preserve">(0.141)</w:t>
            </w:r>
          </w:p>
        </w:tc>
        <w:tc>
          <w:tcPr/>
          <w:p>
            <w:pPr>
              <w:pStyle w:val="Compact"/>
              <w:spacing w:line="240" w:lineRule="auto"/>
              <w:jc w:val="center"/>
            </w:pPr>
            <w:r>
              <w:rPr>
                <w:sz w:val="20"/>
              </w:rPr>
              <w:t xml:space="preserve">(0.121)</w:t>
            </w:r>
          </w:p>
        </w:tc>
        <w:tc>
          <w:tcPr/>
          <w:p>
            <w:pPr>
              <w:pStyle w:val="Compact"/>
              <w:spacing w:line="240" w:lineRule="auto"/>
              <w:jc w:val="center"/>
            </w:pPr>
            <w:r>
              <w:rPr>
                <w:sz w:val="20"/>
              </w:rPr>
              <w:t xml:space="preserve">(0.181)</w:t>
            </w:r>
          </w:p>
        </w:tc>
      </w:tr>
      <w:tr>
        <w:tc>
          <w:tcPr/>
          <w:p>
            <w:pPr>
              <w:pStyle w:val="Compact"/>
              <w:spacing w:line="240" w:lineRule="auto"/>
            </w:pPr>
          </w:p>
        </w:tc>
        <w:tc>
          <w:tcPr/>
          <w:p>
            <w:pPr>
              <w:pStyle w:val="Compact"/>
              <w:spacing w:line="240" w:lineRule="auto"/>
              <w:jc w:val="left"/>
            </w:pPr>
            <w:r>
              <w:rPr>
                <w:iCs/>
                <w:i/>
                <w:sz w:val="20"/>
              </w:rPr>
              <w:t xml:space="preserve">N</w:t>
            </w:r>
            <w:r>
              <w:rPr>
                <w:sz w:val="20"/>
              </w:rPr>
              <w:t xml:space="preserve"> </w:t>
            </w:r>
            <w:r>
              <w:rPr>
                <w:sz w:val="20"/>
              </w:rPr>
              <w:t xml:space="preserve">/</w:t>
            </w:r>
            <w:r>
              <w:rPr>
                <w:sz w:val="20"/>
              </w:rPr>
              <w:t xml:space="preserve"> </w:t>
            </w:r>
            <w:r>
              <w:rPr>
                <w:iCs/>
                <w:i/>
                <w:sz w:val="20"/>
              </w:rPr>
              <w:t xml:space="preserve">R</w:t>
            </w:r>
            <w:r>
              <w:rPr>
                <w:sz w:val="20"/>
              </w:rPr>
              <w:t xml:space="preserve">²</w:t>
            </w:r>
          </w:p>
        </w:tc>
        <w:tc>
          <w:tcPr/>
          <w:p>
            <w:pPr>
              <w:pStyle w:val="Compact"/>
              <w:spacing w:line="240" w:lineRule="auto"/>
              <w:jc w:val="center"/>
            </w:pPr>
            <w:r>
              <w:rPr>
                <w:sz w:val="20"/>
              </w:rPr>
              <w:t xml:space="preserve">639 / 0.52</w:t>
            </w:r>
          </w:p>
        </w:tc>
        <w:tc>
          <w:tcPr/>
          <w:p>
            <w:pPr>
              <w:pStyle w:val="Compact"/>
              <w:spacing w:line="240" w:lineRule="auto"/>
              <w:jc w:val="center"/>
            </w:pPr>
            <w:r>
              <w:rPr>
                <w:sz w:val="20"/>
              </w:rPr>
              <w:t xml:space="preserve">639 / 0.72</w:t>
            </w:r>
          </w:p>
        </w:tc>
        <w:tc>
          <w:tcPr/>
          <w:p>
            <w:pPr>
              <w:pStyle w:val="Compact"/>
              <w:spacing w:line="240" w:lineRule="auto"/>
              <w:jc w:val="center"/>
            </w:pPr>
            <w:r>
              <w:rPr>
                <w:sz w:val="20"/>
              </w:rPr>
              <w:t xml:space="preserve">639 / 0.88</w:t>
            </w:r>
          </w:p>
        </w:tc>
      </w:tr>
      <w:tr>
        <w:tc>
          <w:tcPr/>
          <w:p>
            <w:pPr>
              <w:pStyle w:val="Compact"/>
              <w:spacing w:line="240" w:lineRule="auto"/>
              <w:jc w:val="left"/>
            </w:pPr>
            <w:r>
              <w:rPr>
                <w:sz w:val="20"/>
              </w:rPr>
              <w:t xml:space="preserve">ln expenditure p.c.</w:t>
            </w:r>
          </w:p>
        </w:tc>
        <w:tc>
          <w:tcPr/>
          <w:p>
            <w:pPr>
              <w:pStyle w:val="Compact"/>
              <w:spacing w:line="240" w:lineRule="auto"/>
              <w:jc w:val="left"/>
            </w:pPr>
            <w:r>
              <w:rPr>
                <w:sz w:val="20"/>
              </w:rPr>
              <w:t xml:space="preserve">ln GDP p.c.</w:t>
            </w:r>
          </w:p>
        </w:tc>
        <w:tc>
          <w:tcPr/>
          <w:p>
            <w:pPr>
              <w:pStyle w:val="Compact"/>
              <w:spacing w:line="240" w:lineRule="auto"/>
              <w:jc w:val="center"/>
            </w:pPr>
            <w:r>
              <w:rPr>
                <w:sz w:val="20"/>
              </w:rPr>
              <w:t xml:space="preserve">0.353***</w:t>
            </w:r>
          </w:p>
        </w:tc>
        <w:tc>
          <w:tcPr/>
          <w:p>
            <w:pPr>
              <w:pStyle w:val="Compact"/>
              <w:spacing w:line="240" w:lineRule="auto"/>
              <w:jc w:val="center"/>
            </w:pPr>
            <w:r>
              <w:rPr>
                <w:sz w:val="20"/>
              </w:rPr>
              <w:t xml:space="preserve">0.278**</w:t>
            </w:r>
          </w:p>
        </w:tc>
        <w:tc>
          <w:tcPr/>
          <w:p>
            <w:pPr>
              <w:pStyle w:val="Compact"/>
              <w:spacing w:line="240" w:lineRule="auto"/>
              <w:jc w:val="center"/>
            </w:pPr>
            <w:r>
              <w:rPr>
                <w:sz w:val="20"/>
              </w:rPr>
              <w:t xml:space="preserve">0.323***</w:t>
            </w:r>
          </w:p>
        </w:tc>
      </w:tr>
      <w:tr>
        <w:tc>
          <w:tcPr/>
          <w:p>
            <w:pPr>
              <w:pStyle w:val="Compact"/>
              <w:spacing w:line="240" w:lineRule="auto"/>
            </w:pPr>
          </w:p>
        </w:tc>
        <w:tc>
          <w:tcPr/>
          <w:p>
            <w:pPr>
              <w:pStyle w:val="Compact"/>
              <w:spacing w:line="240" w:lineRule="auto"/>
            </w:pPr>
          </w:p>
        </w:tc>
        <w:tc>
          <w:tcPr/>
          <w:p>
            <w:pPr>
              <w:pStyle w:val="Compact"/>
              <w:spacing w:line="240" w:lineRule="auto"/>
              <w:jc w:val="center"/>
            </w:pPr>
            <w:r>
              <w:rPr>
                <w:sz w:val="20"/>
              </w:rPr>
              <w:t xml:space="preserve">(0.102)</w:t>
            </w:r>
          </w:p>
        </w:tc>
        <w:tc>
          <w:tcPr/>
          <w:p>
            <w:pPr>
              <w:pStyle w:val="Compact"/>
              <w:spacing w:line="240" w:lineRule="auto"/>
              <w:jc w:val="center"/>
            </w:pPr>
            <w:r>
              <w:rPr>
                <w:sz w:val="20"/>
              </w:rPr>
              <w:t xml:space="preserve">(0.128)</w:t>
            </w:r>
          </w:p>
        </w:tc>
        <w:tc>
          <w:tcPr/>
          <w:p>
            <w:pPr>
              <w:pStyle w:val="Compact"/>
              <w:spacing w:line="240" w:lineRule="auto"/>
              <w:jc w:val="center"/>
            </w:pPr>
            <w:r>
              <w:rPr>
                <w:sz w:val="20"/>
              </w:rPr>
              <w:t xml:space="preserve">(0.078)</w:t>
            </w:r>
          </w:p>
        </w:tc>
      </w:tr>
      <w:tr>
        <w:tc>
          <w:tcPr/>
          <w:p>
            <w:pPr>
              <w:pStyle w:val="Compact"/>
              <w:spacing w:line="240" w:lineRule="auto"/>
            </w:pPr>
          </w:p>
        </w:tc>
        <w:tc>
          <w:tcPr/>
          <w:p>
            <w:pPr>
              <w:pStyle w:val="Compact"/>
              <w:spacing w:line="240" w:lineRule="auto"/>
              <w:jc w:val="left"/>
            </w:pPr>
            <w:r>
              <w:rPr>
                <w:iCs/>
                <w:i/>
                <w:sz w:val="20"/>
              </w:rPr>
              <w:t xml:space="preserve">N</w:t>
            </w:r>
            <w:r>
              <w:rPr>
                <w:sz w:val="20"/>
              </w:rPr>
              <w:t xml:space="preserve"> </w:t>
            </w:r>
            <w:r>
              <w:rPr>
                <w:sz w:val="20"/>
              </w:rPr>
              <w:t xml:space="preserve">/</w:t>
            </w:r>
            <w:r>
              <w:rPr>
                <w:sz w:val="20"/>
              </w:rPr>
              <w:t xml:space="preserve"> </w:t>
            </w:r>
            <w:r>
              <w:rPr>
                <w:iCs/>
                <w:i/>
                <w:sz w:val="20"/>
              </w:rPr>
              <w:t xml:space="preserve">R</w:t>
            </w:r>
            <w:r>
              <w:rPr>
                <w:sz w:val="20"/>
              </w:rPr>
              <w:t xml:space="preserve">²</w:t>
            </w:r>
          </w:p>
        </w:tc>
        <w:tc>
          <w:tcPr/>
          <w:p>
            <w:pPr>
              <w:pStyle w:val="Compact"/>
              <w:spacing w:line="240" w:lineRule="auto"/>
              <w:jc w:val="center"/>
            </w:pPr>
            <w:r>
              <w:rPr>
                <w:sz w:val="20"/>
              </w:rPr>
              <w:t xml:space="preserve">648 / 0.33</w:t>
            </w:r>
          </w:p>
        </w:tc>
        <w:tc>
          <w:tcPr/>
          <w:p>
            <w:pPr>
              <w:pStyle w:val="Compact"/>
              <w:spacing w:line="240" w:lineRule="auto"/>
              <w:jc w:val="center"/>
            </w:pPr>
            <w:r>
              <w:rPr>
                <w:sz w:val="20"/>
              </w:rPr>
              <w:t xml:space="preserve">648 / 0.45</w:t>
            </w:r>
          </w:p>
        </w:tc>
        <w:tc>
          <w:tcPr/>
          <w:p>
            <w:pPr>
              <w:pStyle w:val="Compact"/>
              <w:spacing w:line="240" w:lineRule="auto"/>
              <w:jc w:val="center"/>
            </w:pPr>
            <w:r>
              <w:rPr>
                <w:sz w:val="20"/>
              </w:rPr>
              <w:t xml:space="preserve">648 / 0.88</w:t>
            </w:r>
          </w:p>
        </w:tc>
      </w:tr>
      <w:tr>
        <w:tc>
          <w:tcPr/>
          <w:p>
            <w:pPr>
              <w:pStyle w:val="Compact"/>
              <w:spacing w:line="240" w:lineRule="auto"/>
              <w:jc w:val="left"/>
            </w:pPr>
            <w:r>
              <w:rPr>
                <w:sz w:val="20"/>
              </w:rPr>
              <w:t xml:space="preserve">ln expenditure p.c.</w:t>
            </w:r>
          </w:p>
        </w:tc>
        <w:tc>
          <w:tcPr/>
          <w:p>
            <w:pPr>
              <w:pStyle w:val="Compact"/>
              <w:spacing w:line="240" w:lineRule="auto"/>
              <w:jc w:val="left"/>
            </w:pPr>
            <w:r>
              <w:rPr>
                <w:sz w:val="20"/>
              </w:rPr>
              <w:t xml:space="preserve">ln own revenue p.c.</w:t>
            </w:r>
          </w:p>
        </w:tc>
        <w:tc>
          <w:tcPr/>
          <w:p>
            <w:pPr>
              <w:pStyle w:val="Compact"/>
              <w:spacing w:line="240" w:lineRule="auto"/>
              <w:jc w:val="center"/>
            </w:pPr>
            <w:r>
              <w:rPr>
                <w:sz w:val="20"/>
              </w:rPr>
              <w:t xml:space="preserve">0.254***</w:t>
            </w:r>
          </w:p>
        </w:tc>
        <w:tc>
          <w:tcPr/>
          <w:p>
            <w:pPr>
              <w:pStyle w:val="Compact"/>
              <w:spacing w:line="240" w:lineRule="auto"/>
              <w:jc w:val="center"/>
            </w:pPr>
            <w:r>
              <w:rPr>
                <w:sz w:val="20"/>
              </w:rPr>
              <w:t xml:space="preserve">0.352***</w:t>
            </w:r>
          </w:p>
        </w:tc>
        <w:tc>
          <w:tcPr/>
          <w:p>
            <w:pPr>
              <w:pStyle w:val="Compact"/>
              <w:spacing w:line="240" w:lineRule="auto"/>
              <w:jc w:val="center"/>
            </w:pPr>
            <w:r>
              <w:rPr>
                <w:sz w:val="20"/>
              </w:rPr>
              <w:t xml:space="preserve">0.153***</w:t>
            </w:r>
          </w:p>
        </w:tc>
      </w:tr>
      <w:tr>
        <w:tc>
          <w:tcPr/>
          <w:p>
            <w:pPr>
              <w:pStyle w:val="Compact"/>
              <w:spacing w:line="240" w:lineRule="auto"/>
            </w:pPr>
          </w:p>
        </w:tc>
        <w:tc>
          <w:tcPr/>
          <w:p>
            <w:pPr>
              <w:pStyle w:val="Compact"/>
              <w:spacing w:line="240" w:lineRule="auto"/>
            </w:pPr>
          </w:p>
        </w:tc>
        <w:tc>
          <w:tcPr/>
          <w:p>
            <w:pPr>
              <w:pStyle w:val="Compact"/>
              <w:spacing w:line="240" w:lineRule="auto"/>
              <w:jc w:val="center"/>
            </w:pPr>
            <w:r>
              <w:rPr>
                <w:sz w:val="20"/>
              </w:rPr>
              <w:t xml:space="preserve">(0.043)</w:t>
            </w:r>
          </w:p>
        </w:tc>
        <w:tc>
          <w:tcPr/>
          <w:p>
            <w:pPr>
              <w:pStyle w:val="Compact"/>
              <w:spacing w:line="240" w:lineRule="auto"/>
              <w:jc w:val="center"/>
            </w:pPr>
            <w:r>
              <w:rPr>
                <w:sz w:val="20"/>
              </w:rPr>
              <w:t xml:space="preserve">(0.047)</w:t>
            </w:r>
          </w:p>
        </w:tc>
        <w:tc>
          <w:tcPr/>
          <w:p>
            <w:pPr>
              <w:pStyle w:val="Compact"/>
              <w:spacing w:line="240" w:lineRule="auto"/>
              <w:jc w:val="center"/>
            </w:pPr>
            <w:r>
              <w:rPr>
                <w:sz w:val="20"/>
              </w:rPr>
              <w:t xml:space="preserve">(0.031)</w:t>
            </w:r>
          </w:p>
        </w:tc>
      </w:tr>
      <w:tr>
        <w:tc>
          <w:tcPr/>
          <w:p>
            <w:pPr>
              <w:pStyle w:val="Compact"/>
              <w:spacing w:line="240" w:lineRule="auto"/>
            </w:pPr>
          </w:p>
        </w:tc>
        <w:tc>
          <w:tcPr/>
          <w:p>
            <w:pPr>
              <w:pStyle w:val="Compact"/>
              <w:spacing w:line="240" w:lineRule="auto"/>
              <w:jc w:val="left"/>
            </w:pPr>
            <w:r>
              <w:rPr>
                <w:iCs/>
                <w:i/>
                <w:sz w:val="20"/>
              </w:rPr>
              <w:t xml:space="preserve">N</w:t>
            </w:r>
            <w:r>
              <w:rPr>
                <w:sz w:val="20"/>
              </w:rPr>
              <w:t xml:space="preserve"> </w:t>
            </w:r>
            <w:r>
              <w:rPr>
                <w:sz w:val="20"/>
              </w:rPr>
              <w:t xml:space="preserve">/</w:t>
            </w:r>
            <w:r>
              <w:rPr>
                <w:sz w:val="20"/>
              </w:rPr>
              <w:t xml:space="preserve"> </w:t>
            </w:r>
            <w:r>
              <w:rPr>
                <w:iCs/>
                <w:i/>
                <w:sz w:val="20"/>
              </w:rPr>
              <w:t xml:space="preserve">R</w:t>
            </w:r>
            <w:r>
              <w:rPr>
                <w:sz w:val="20"/>
              </w:rPr>
              <w:t xml:space="preserve">²</w:t>
            </w:r>
          </w:p>
        </w:tc>
        <w:tc>
          <w:tcPr/>
          <w:p>
            <w:pPr>
              <w:pStyle w:val="Compact"/>
              <w:spacing w:line="240" w:lineRule="auto"/>
              <w:jc w:val="center"/>
            </w:pPr>
            <w:r>
              <w:rPr>
                <w:sz w:val="20"/>
              </w:rPr>
              <w:t xml:space="preserve">630 / 0.39</w:t>
            </w:r>
          </w:p>
        </w:tc>
        <w:tc>
          <w:tcPr/>
          <w:p>
            <w:pPr>
              <w:pStyle w:val="Compact"/>
              <w:spacing w:line="240" w:lineRule="auto"/>
              <w:jc w:val="center"/>
            </w:pPr>
            <w:r>
              <w:rPr>
                <w:sz w:val="20"/>
              </w:rPr>
              <w:t xml:space="preserve">630 / 0.56</w:t>
            </w:r>
          </w:p>
        </w:tc>
        <w:tc>
          <w:tcPr/>
          <w:p>
            <w:pPr>
              <w:pStyle w:val="Compact"/>
              <w:spacing w:line="240" w:lineRule="auto"/>
              <w:jc w:val="center"/>
            </w:pPr>
            <w:r>
              <w:rPr>
                <w:sz w:val="20"/>
              </w:rPr>
              <w:t xml:space="preserve">630 / 0.88</w:t>
            </w:r>
          </w:p>
        </w:tc>
      </w:tr>
    </w:tbl>
    <w:p>
      <w:pPr>
        <w:pStyle w:val="BodyText"/>
      </w:pPr>
      <w:r>
        <w:rPr>
          <w:iCs/>
          <w:i/>
        </w:rPr>
        <w:t xml:space="preserve">Notes:</w:t>
      </w:r>
      <w:r>
        <w:t xml:space="preserve"> </w:t>
      </w:r>
      <w:r>
        <w:t xml:space="preserve">Estimates of Eq. (4). Standard errors clustered by county in parentheses. ***</w:t>
      </w:r>
      <w:r>
        <w:t xml:space="preserve"> </w:t>
      </w:r>
      <w:r>
        <w:rPr>
          <w:iCs/>
          <w:i/>
        </w:rPr>
        <w:t xml:space="preserve">p</w:t>
      </w:r>
      <w:r>
        <w:t xml:space="preserve"> </w:t>
      </w:r>
      <w:r>
        <w:t xml:space="preserve">&lt; 0.01, **</w:t>
      </w:r>
      <w:r>
        <w:t xml:space="preserve"> </w:t>
      </w:r>
      <w:r>
        <w:rPr>
          <w:iCs/>
          <w:i/>
        </w:rPr>
        <w:t xml:space="preserve">p</w:t>
      </w:r>
      <w:r>
        <w:t xml:space="preserve"> </w:t>
      </w:r>
      <w:r>
        <w:t xml:space="preserve">&lt; 0.05, *</w:t>
      </w:r>
      <w:r>
        <w:t xml:space="preserve"> </w:t>
      </w:r>
      <w:r>
        <w:rPr>
          <w:iCs/>
          <w:i/>
        </w:rPr>
        <w:t xml:space="preserve">p</w:t>
      </w:r>
      <w:r>
        <w:t xml:space="preserve"> </w:t>
      </w:r>
      <w:r>
        <w:t xml:space="preserve">&lt; 0.1. All specifications include year fixed effects.</w:t>
      </w:r>
    </w:p>
    <w:p>
      <w:pPr>
        <w:pStyle w:val="CaptionedFigure"/>
      </w:pPr>
      <w:r>
        <w:drawing>
          <wp:inline>
            <wp:extent cx="5334000" cy="2133599"/>
            <wp:effectExtent b="0" l="0" r="0" t="0"/>
            <wp:docPr descr="Fig. 2. Panel (a): log own revenue and log expenditure per capita against log GDP per capita across counties in 2024, with OLS fitted lines. Panel (b): average annual growth of GDP per capita over 2016–2024 against its 2016 level, with the OLS fitted line; hollow markers identify the two counties with re-based GDP series." title="" id="34" name="Picture"/>
            <a:graphic>
              <a:graphicData uri="http://schemas.openxmlformats.org/drawingml/2006/picture">
                <pic:pic>
                  <pic:nvPicPr>
                    <pic:cNvPr descr="Figure_2.png" id="35" name="Picture"/>
                    <pic:cNvPicPr>
                      <a:picLocks noChangeArrowheads="1" noChangeAspect="1"/>
                    </pic:cNvPicPr>
                  </pic:nvPicPr>
                  <pic:blipFill>
                    <a:blip r:embed="rId33"/>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 2. Panel (a): log own revenue and log expenditure per capita against log GDP per capita across counties in 2024, with OLS fitted lines. Panel (b): average annual growth of GDP per capita over 2016–2024 against its 2016 level, with the OLS fitted line; hollow markers identify the two counties with re-based GDP series.</w:t>
      </w:r>
    </w:p>
    <w:bookmarkEnd w:id="36"/>
    <w:bookmarkStart w:id="37" w:name="Xd1e7954e9bf5265db50281a9c77e8b4077f99f8"/>
    <w:p>
      <w:pPr>
        <w:pStyle w:val="Heading2"/>
      </w:pPr>
      <w:r>
        <w:t xml:space="preserve">4.3. Output: β-convergence without σ-convergence</w:t>
      </w:r>
    </w:p>
    <w:p>
      <w:pPr>
        <w:pStyle w:val="FirstParagraph"/>
      </w:pPr>
      <w:r>
        <w:t xml:space="preserve">Table 4 reports the convergence estimates. The cross-sectional coefficient on initial log GDP per capita is -0.029 (standard error 0.009), which implies a convergence speed of 3.4% per year and a half-life of about 21 years. Adding prefecture effects lowers the coefficient slightly to -0.026 (speed 2.9%). Excluding the two counties with re-based GDP gives -0.024 (speed 2.7%). The annual pooled panel gives similar speeds. The large coefficient in the panel with county effects (marked †) reflects Nickell bias and strong mean reversion of transitory shocks, so it should not be read as a convergence speed.</w:t>
      </w:r>
    </w:p>
    <w:p>
      <w:pPr>
        <w:pStyle w:val="BodyText"/>
      </w:pPr>
      <w:r>
        <w:rPr>
          <w:iCs/>
          <w:i/>
        </w:rPr>
        <w:t xml:space="preserve">Table 4. β-convergence of GDP per capita across counties.</w:t>
      </w:r>
    </w:p>
    <w:tbl>
      <w:tblPr>
        <w:tblStyle w:val="Table"/>
        <w:tblW w:type="pct" w:w="5000"/>
        <w:tblLayout w:type="autofit"/>
        <w:tblLook w:firstRow="1" w:lastRow="0" w:firstColumn="0" w:lastColumn="0" w:noHBand="0" w:noVBand="0" w:val="0020"/>
        <w:jc w:val="start"/>
      </w:tblPr>
      <w:tblGrid>
        <w:gridCol w:w="2262"/>
        <w:gridCol w:w="1440"/>
        <w:gridCol w:w="1645"/>
        <w:gridCol w:w="720"/>
        <w:gridCol w:w="720"/>
        <w:gridCol w:w="514"/>
        <w:gridCol w:w="617"/>
      </w:tblGrid>
      <w:tr>
        <w:trPr>
          <w:tblHeader w:val="true"/>
        </w:trPr>
        <w:tc>
          <w:tcPr/>
          <w:p>
            <w:pPr>
              <w:pStyle w:val="Compact"/>
              <w:spacing w:line="240" w:lineRule="auto"/>
              <w:jc w:val="left"/>
            </w:pPr>
            <w:r>
              <w:rPr>
                <w:sz w:val="20"/>
              </w:rPr>
              <w:t xml:space="preserve">Specification</w:t>
            </w:r>
          </w:p>
        </w:tc>
        <w:tc>
          <w:tcPr/>
          <w:p>
            <w:pPr>
              <w:pStyle w:val="Compact"/>
              <w:spacing w:line="240" w:lineRule="auto"/>
              <w:jc w:val="left"/>
            </w:pPr>
            <w:r>
              <w:rPr>
                <w:sz w:val="20"/>
              </w:rPr>
              <w:t xml:space="preserve">Sample</w:t>
            </w:r>
          </w:p>
        </w:tc>
        <w:tc>
          <w:tcPr/>
          <w:p>
            <w:pPr>
              <w:pStyle w:val="Compact"/>
              <w:spacing w:line="240" w:lineRule="auto"/>
              <w:jc w:val="center"/>
            </w:pPr>
            <w:r>
              <w:rPr>
                <w:sz w:val="20"/>
              </w:rPr>
              <w:t xml:space="preserve">β (s.e.)</w:t>
            </w:r>
          </w:p>
        </w:tc>
        <w:tc>
          <w:tcPr/>
          <w:p>
            <w:pPr>
              <w:pStyle w:val="Compact"/>
              <w:spacing w:line="240" w:lineRule="auto"/>
              <w:jc w:val="right"/>
            </w:pPr>
            <w:r>
              <w:rPr>
                <w:sz w:val="20"/>
              </w:rPr>
              <w:t xml:space="preserve">λ (%)</w:t>
            </w:r>
          </w:p>
        </w:tc>
        <w:tc>
          <w:tcPr/>
          <w:p>
            <w:pPr>
              <w:pStyle w:val="Compact"/>
              <w:spacing w:line="240" w:lineRule="auto"/>
              <w:jc w:val="right"/>
            </w:pPr>
            <w:r>
              <w:rPr>
                <w:sz w:val="20"/>
              </w:rPr>
              <w:t xml:space="preserve">Half-life (years)</w:t>
            </w:r>
          </w:p>
        </w:tc>
        <w:tc>
          <w:tcPr/>
          <w:p>
            <w:pPr>
              <w:pStyle w:val="Compact"/>
              <w:spacing w:line="240" w:lineRule="auto"/>
              <w:jc w:val="right"/>
            </w:pPr>
            <w:r>
              <w:rPr>
                <w:iCs/>
                <w:i/>
                <w:sz w:val="20"/>
              </w:rPr>
              <w:t xml:space="preserve">N</w:t>
            </w:r>
          </w:p>
        </w:tc>
        <w:tc>
          <w:tcPr/>
          <w:p>
            <w:pPr>
              <w:pStyle w:val="Compact"/>
              <w:spacing w:line="240" w:lineRule="auto"/>
              <w:jc w:val="right"/>
            </w:pPr>
            <w:r>
              <w:rPr>
                <w:iCs/>
                <w:i/>
                <w:sz w:val="20"/>
              </w:rPr>
              <w:t xml:space="preserve">R</w:t>
            </w:r>
            <w:r>
              <w:rPr>
                <w:sz w:val="20"/>
              </w:rPr>
              <w:t xml:space="preserve">²</w:t>
            </w:r>
          </w:p>
        </w:tc>
      </w:tr>
      <w:tr>
        <w:tc>
          <w:tcPr/>
          <w:p>
            <w:pPr>
              <w:pStyle w:val="Compact"/>
              <w:spacing w:line="240" w:lineRule="auto"/>
              <w:jc w:val="left"/>
            </w:pPr>
            <w:r>
              <w:rPr>
                <w:sz w:val="20"/>
              </w:rPr>
              <w:t xml:space="preserve">Cross-section, absolute</w:t>
            </w:r>
          </w:p>
        </w:tc>
        <w:tc>
          <w:tcPr/>
          <w:p>
            <w:pPr>
              <w:pStyle w:val="Compact"/>
              <w:spacing w:line="240" w:lineRule="auto"/>
              <w:jc w:val="left"/>
            </w:pPr>
            <w:r>
              <w:rPr>
                <w:sz w:val="20"/>
              </w:rPr>
              <w:t xml:space="preserve">All 73</w:t>
            </w:r>
          </w:p>
        </w:tc>
        <w:tc>
          <w:tcPr/>
          <w:p>
            <w:pPr>
              <w:pStyle w:val="Compact"/>
              <w:spacing w:line="240" w:lineRule="auto"/>
              <w:jc w:val="center"/>
            </w:pPr>
            <w:r>
              <w:rPr>
                <w:sz w:val="20"/>
              </w:rPr>
              <w:t xml:space="preserve">-0.0295*** (0.0091)</w:t>
            </w:r>
          </w:p>
        </w:tc>
        <w:tc>
          <w:tcPr/>
          <w:p>
            <w:pPr>
              <w:pStyle w:val="Compact"/>
              <w:spacing w:line="240" w:lineRule="auto"/>
              <w:jc w:val="right"/>
            </w:pPr>
            <w:r>
              <w:rPr>
                <w:sz w:val="20"/>
              </w:rPr>
              <w:t xml:space="preserve">3.4</w:t>
            </w:r>
          </w:p>
        </w:tc>
        <w:tc>
          <w:tcPr/>
          <w:p>
            <w:pPr>
              <w:pStyle w:val="Compact"/>
              <w:spacing w:line="240" w:lineRule="auto"/>
              <w:jc w:val="right"/>
            </w:pPr>
            <w:r>
              <w:rPr>
                <w:sz w:val="20"/>
              </w:rPr>
              <w:t xml:space="preserve">20.6</w:t>
            </w:r>
          </w:p>
        </w:tc>
        <w:tc>
          <w:tcPr/>
          <w:p>
            <w:pPr>
              <w:pStyle w:val="Compact"/>
              <w:spacing w:line="240" w:lineRule="auto"/>
              <w:jc w:val="right"/>
            </w:pPr>
            <w:r>
              <w:rPr>
                <w:sz w:val="20"/>
              </w:rPr>
              <w:t xml:space="preserve">73</w:t>
            </w:r>
          </w:p>
        </w:tc>
        <w:tc>
          <w:tcPr/>
          <w:p>
            <w:pPr>
              <w:pStyle w:val="Compact"/>
              <w:spacing w:line="240" w:lineRule="auto"/>
              <w:jc w:val="right"/>
            </w:pPr>
            <w:r>
              <w:rPr>
                <w:sz w:val="20"/>
              </w:rPr>
              <w:t xml:space="preserve">0.12</w:t>
            </w:r>
          </w:p>
        </w:tc>
      </w:tr>
      <w:tr>
        <w:tc>
          <w:tcPr/>
          <w:p>
            <w:pPr>
              <w:pStyle w:val="Compact"/>
              <w:spacing w:line="240" w:lineRule="auto"/>
              <w:jc w:val="left"/>
            </w:pPr>
            <w:r>
              <w:rPr>
                <w:sz w:val="20"/>
              </w:rPr>
              <w:t xml:space="preserve">Cross-section, prefecture FE</w:t>
            </w:r>
          </w:p>
        </w:tc>
        <w:tc>
          <w:tcPr/>
          <w:p>
            <w:pPr>
              <w:pStyle w:val="Compact"/>
              <w:spacing w:line="240" w:lineRule="auto"/>
              <w:jc w:val="left"/>
            </w:pPr>
            <w:r>
              <w:rPr>
                <w:sz w:val="20"/>
              </w:rPr>
              <w:t xml:space="preserve">All 73</w:t>
            </w:r>
          </w:p>
        </w:tc>
        <w:tc>
          <w:tcPr/>
          <w:p>
            <w:pPr>
              <w:pStyle w:val="Compact"/>
              <w:spacing w:line="240" w:lineRule="auto"/>
              <w:jc w:val="center"/>
            </w:pPr>
            <w:r>
              <w:rPr>
                <w:sz w:val="20"/>
              </w:rPr>
              <w:t xml:space="preserve">-0.0255** (0.0100)</w:t>
            </w:r>
          </w:p>
        </w:tc>
        <w:tc>
          <w:tcPr/>
          <w:p>
            <w:pPr>
              <w:pStyle w:val="Compact"/>
              <w:spacing w:line="240" w:lineRule="auto"/>
              <w:jc w:val="right"/>
            </w:pPr>
            <w:r>
              <w:rPr>
                <w:sz w:val="20"/>
              </w:rPr>
              <w:t xml:space="preserve">2.9</w:t>
            </w:r>
          </w:p>
        </w:tc>
        <w:tc>
          <w:tcPr/>
          <w:p>
            <w:pPr>
              <w:pStyle w:val="Compact"/>
              <w:spacing w:line="240" w:lineRule="auto"/>
              <w:jc w:val="right"/>
            </w:pPr>
            <w:r>
              <w:rPr>
                <w:sz w:val="20"/>
              </w:rPr>
              <w:t xml:space="preserve">24.3</w:t>
            </w:r>
          </w:p>
        </w:tc>
        <w:tc>
          <w:tcPr/>
          <w:p>
            <w:pPr>
              <w:pStyle w:val="Compact"/>
              <w:spacing w:line="240" w:lineRule="auto"/>
              <w:jc w:val="right"/>
            </w:pPr>
            <w:r>
              <w:rPr>
                <w:sz w:val="20"/>
              </w:rPr>
              <w:t xml:space="preserve">73</w:t>
            </w:r>
          </w:p>
        </w:tc>
        <w:tc>
          <w:tcPr/>
          <w:p>
            <w:pPr>
              <w:pStyle w:val="Compact"/>
              <w:spacing w:line="240" w:lineRule="auto"/>
              <w:jc w:val="right"/>
            </w:pPr>
            <w:r>
              <w:rPr>
                <w:sz w:val="20"/>
              </w:rPr>
              <w:t xml:space="preserve">0.33</w:t>
            </w:r>
          </w:p>
        </w:tc>
      </w:tr>
      <w:tr>
        <w:tc>
          <w:tcPr/>
          <w:p>
            <w:pPr>
              <w:pStyle w:val="Compact"/>
              <w:spacing w:line="240" w:lineRule="auto"/>
              <w:jc w:val="left"/>
            </w:pPr>
            <w:r>
              <w:rPr>
                <w:sz w:val="20"/>
              </w:rPr>
              <w:t xml:space="preserve">Cross-section, absolute</w:t>
            </w:r>
          </w:p>
        </w:tc>
        <w:tc>
          <w:tcPr/>
          <w:p>
            <w:pPr>
              <w:pStyle w:val="Compact"/>
              <w:spacing w:line="240" w:lineRule="auto"/>
              <w:jc w:val="left"/>
            </w:pPr>
            <w:r>
              <w:rPr>
                <w:sz w:val="20"/>
              </w:rPr>
              <w:t xml:space="preserve">Excl. re-based</w:t>
            </w:r>
          </w:p>
        </w:tc>
        <w:tc>
          <w:tcPr/>
          <w:p>
            <w:pPr>
              <w:pStyle w:val="Compact"/>
              <w:spacing w:line="240" w:lineRule="auto"/>
              <w:jc w:val="center"/>
            </w:pPr>
            <w:r>
              <w:rPr>
                <w:sz w:val="20"/>
              </w:rPr>
              <w:t xml:space="preserve">-0.0239*** (0.0074)</w:t>
            </w:r>
          </w:p>
        </w:tc>
        <w:tc>
          <w:tcPr/>
          <w:p>
            <w:pPr>
              <w:pStyle w:val="Compact"/>
              <w:spacing w:line="240" w:lineRule="auto"/>
              <w:jc w:val="right"/>
            </w:pPr>
            <w:r>
              <w:rPr>
                <w:sz w:val="20"/>
              </w:rPr>
              <w:t xml:space="preserve">2.7</w:t>
            </w:r>
          </w:p>
        </w:tc>
        <w:tc>
          <w:tcPr/>
          <w:p>
            <w:pPr>
              <w:pStyle w:val="Compact"/>
              <w:spacing w:line="240" w:lineRule="auto"/>
              <w:jc w:val="right"/>
            </w:pPr>
            <w:r>
              <w:rPr>
                <w:sz w:val="20"/>
              </w:rPr>
              <w:t xml:space="preserve">26.1</w:t>
            </w:r>
          </w:p>
        </w:tc>
        <w:tc>
          <w:tcPr/>
          <w:p>
            <w:pPr>
              <w:pStyle w:val="Compact"/>
              <w:spacing w:line="240" w:lineRule="auto"/>
              <w:jc w:val="right"/>
            </w:pPr>
            <w:r>
              <w:rPr>
                <w:sz w:val="20"/>
              </w:rPr>
              <w:t xml:space="preserve">71</w:t>
            </w:r>
          </w:p>
        </w:tc>
        <w:tc>
          <w:tcPr/>
          <w:p>
            <w:pPr>
              <w:pStyle w:val="Compact"/>
              <w:spacing w:line="240" w:lineRule="auto"/>
              <w:jc w:val="right"/>
            </w:pPr>
            <w:r>
              <w:rPr>
                <w:sz w:val="20"/>
              </w:rPr>
              <w:t xml:space="preserve">0.11</w:t>
            </w:r>
          </w:p>
        </w:tc>
      </w:tr>
      <w:tr>
        <w:tc>
          <w:tcPr/>
          <w:p>
            <w:pPr>
              <w:pStyle w:val="Compact"/>
              <w:spacing w:line="240" w:lineRule="auto"/>
              <w:jc w:val="left"/>
            </w:pPr>
            <w:r>
              <w:rPr>
                <w:sz w:val="20"/>
              </w:rPr>
              <w:t xml:space="preserve">Cross-section, prefecture FE</w:t>
            </w:r>
          </w:p>
        </w:tc>
        <w:tc>
          <w:tcPr/>
          <w:p>
            <w:pPr>
              <w:pStyle w:val="Compact"/>
              <w:spacing w:line="240" w:lineRule="auto"/>
              <w:jc w:val="left"/>
            </w:pPr>
            <w:r>
              <w:rPr>
                <w:sz w:val="20"/>
              </w:rPr>
              <w:t xml:space="preserve">Excl. re-based</w:t>
            </w:r>
          </w:p>
        </w:tc>
        <w:tc>
          <w:tcPr/>
          <w:p>
            <w:pPr>
              <w:pStyle w:val="Compact"/>
              <w:spacing w:line="240" w:lineRule="auto"/>
              <w:jc w:val="center"/>
            </w:pPr>
            <w:r>
              <w:rPr>
                <w:sz w:val="20"/>
              </w:rPr>
              <w:t xml:space="preserve">-0.0200** (0.0083)</w:t>
            </w:r>
          </w:p>
        </w:tc>
        <w:tc>
          <w:tcPr/>
          <w:p>
            <w:pPr>
              <w:pStyle w:val="Compact"/>
              <w:spacing w:line="240" w:lineRule="auto"/>
              <w:jc w:val="right"/>
            </w:pPr>
            <w:r>
              <w:rPr>
                <w:sz w:val="20"/>
              </w:rPr>
              <w:t xml:space="preserve">2.2</w:t>
            </w:r>
          </w:p>
        </w:tc>
        <w:tc>
          <w:tcPr/>
          <w:p>
            <w:pPr>
              <w:pStyle w:val="Compact"/>
              <w:spacing w:line="240" w:lineRule="auto"/>
              <w:jc w:val="right"/>
            </w:pPr>
            <w:r>
              <w:rPr>
                <w:sz w:val="20"/>
              </w:rPr>
              <w:t xml:space="preserve">31.7</w:t>
            </w:r>
          </w:p>
        </w:tc>
        <w:tc>
          <w:tcPr/>
          <w:p>
            <w:pPr>
              <w:pStyle w:val="Compact"/>
              <w:spacing w:line="240" w:lineRule="auto"/>
              <w:jc w:val="right"/>
            </w:pPr>
            <w:r>
              <w:rPr>
                <w:sz w:val="20"/>
              </w:rPr>
              <w:t xml:space="preserve">71</w:t>
            </w:r>
          </w:p>
        </w:tc>
        <w:tc>
          <w:tcPr/>
          <w:p>
            <w:pPr>
              <w:pStyle w:val="Compact"/>
              <w:spacing w:line="240" w:lineRule="auto"/>
              <w:jc w:val="right"/>
            </w:pPr>
            <w:r>
              <w:rPr>
                <w:sz w:val="20"/>
              </w:rPr>
              <w:t xml:space="preserve">0.28</w:t>
            </w:r>
          </w:p>
        </w:tc>
      </w:tr>
      <w:tr>
        <w:tc>
          <w:tcPr/>
          <w:p>
            <w:pPr>
              <w:pStyle w:val="Compact"/>
              <w:spacing w:line="240" w:lineRule="auto"/>
              <w:jc w:val="left"/>
            </w:pPr>
            <w:r>
              <w:rPr>
                <w:sz w:val="20"/>
              </w:rPr>
              <w:t xml:space="preserve">Panel, year FE</w:t>
            </w:r>
          </w:p>
        </w:tc>
        <w:tc>
          <w:tcPr/>
          <w:p>
            <w:pPr>
              <w:pStyle w:val="Compact"/>
              <w:spacing w:line="240" w:lineRule="auto"/>
              <w:jc w:val="left"/>
            </w:pPr>
            <w:r>
              <w:rPr>
                <w:sz w:val="20"/>
              </w:rPr>
              <w:t xml:space="preserve">All 73</w:t>
            </w:r>
          </w:p>
        </w:tc>
        <w:tc>
          <w:tcPr/>
          <w:p>
            <w:pPr>
              <w:pStyle w:val="Compact"/>
              <w:spacing w:line="240" w:lineRule="auto"/>
              <w:jc w:val="center"/>
            </w:pPr>
            <w:r>
              <w:rPr>
                <w:sz w:val="20"/>
              </w:rPr>
              <w:t xml:space="preserve">-0.0413*** (0.0117)</w:t>
            </w:r>
          </w:p>
        </w:tc>
        <w:tc>
          <w:tcPr/>
          <w:p>
            <w:pPr>
              <w:pStyle w:val="Compact"/>
              <w:spacing w:line="240" w:lineRule="auto"/>
              <w:jc w:val="right"/>
            </w:pPr>
            <w:r>
              <w:rPr>
                <w:sz w:val="20"/>
              </w:rPr>
              <w:t xml:space="preserve">4.2</w:t>
            </w:r>
          </w:p>
        </w:tc>
        <w:tc>
          <w:tcPr/>
          <w:p>
            <w:pPr>
              <w:pStyle w:val="Compact"/>
              <w:spacing w:line="240" w:lineRule="auto"/>
              <w:jc w:val="right"/>
            </w:pPr>
            <w:r>
              <w:rPr>
                <w:sz w:val="20"/>
              </w:rPr>
              <w:t xml:space="preserve">16.4</w:t>
            </w:r>
          </w:p>
        </w:tc>
        <w:tc>
          <w:tcPr/>
          <w:p>
            <w:pPr>
              <w:pStyle w:val="Compact"/>
              <w:spacing w:line="240" w:lineRule="auto"/>
              <w:jc w:val="right"/>
            </w:pPr>
            <w:r>
              <w:rPr>
                <w:sz w:val="20"/>
              </w:rPr>
              <w:t xml:space="preserve">584</w:t>
            </w:r>
          </w:p>
        </w:tc>
        <w:tc>
          <w:tcPr/>
          <w:p>
            <w:pPr>
              <w:pStyle w:val="Compact"/>
              <w:spacing w:line="240" w:lineRule="auto"/>
              <w:jc w:val="right"/>
            </w:pPr>
            <w:r>
              <w:rPr>
                <w:sz w:val="20"/>
              </w:rPr>
              <w:t xml:space="preserve">0.08</w:t>
            </w:r>
          </w:p>
        </w:tc>
      </w:tr>
      <w:tr>
        <w:tc>
          <w:tcPr/>
          <w:p>
            <w:pPr>
              <w:pStyle w:val="Compact"/>
              <w:spacing w:line="240" w:lineRule="auto"/>
              <w:jc w:val="left"/>
            </w:pPr>
            <w:r>
              <w:rPr>
                <w:sz w:val="20"/>
              </w:rPr>
              <w:t xml:space="preserve">Panel, prefecture + year FE</w:t>
            </w:r>
          </w:p>
        </w:tc>
        <w:tc>
          <w:tcPr/>
          <w:p>
            <w:pPr>
              <w:pStyle w:val="Compact"/>
              <w:spacing w:line="240" w:lineRule="auto"/>
              <w:jc w:val="left"/>
            </w:pPr>
            <w:r>
              <w:rPr>
                <w:sz w:val="20"/>
              </w:rPr>
              <w:t xml:space="preserve">All 73</w:t>
            </w:r>
          </w:p>
        </w:tc>
        <w:tc>
          <w:tcPr/>
          <w:p>
            <w:pPr>
              <w:pStyle w:val="Compact"/>
              <w:spacing w:line="240" w:lineRule="auto"/>
              <w:jc w:val="center"/>
            </w:pPr>
            <w:r>
              <w:rPr>
                <w:sz w:val="20"/>
              </w:rPr>
              <w:t xml:space="preserve">-0.0554*** (0.0158)</w:t>
            </w:r>
          </w:p>
        </w:tc>
        <w:tc>
          <w:tcPr/>
          <w:p>
            <w:pPr>
              <w:pStyle w:val="Compact"/>
              <w:spacing w:line="240" w:lineRule="auto"/>
              <w:jc w:val="right"/>
            </w:pPr>
            <w:r>
              <w:rPr>
                <w:sz w:val="20"/>
              </w:rPr>
              <w:t xml:space="preserve">5.7</w:t>
            </w:r>
          </w:p>
        </w:tc>
        <w:tc>
          <w:tcPr/>
          <w:p>
            <w:pPr>
              <w:pStyle w:val="Compact"/>
              <w:spacing w:line="240" w:lineRule="auto"/>
              <w:jc w:val="right"/>
            </w:pPr>
            <w:r>
              <w:rPr>
                <w:sz w:val="20"/>
              </w:rPr>
              <w:t xml:space="preserve">12.2</w:t>
            </w:r>
          </w:p>
        </w:tc>
        <w:tc>
          <w:tcPr/>
          <w:p>
            <w:pPr>
              <w:pStyle w:val="Compact"/>
              <w:spacing w:line="240" w:lineRule="auto"/>
              <w:jc w:val="right"/>
            </w:pPr>
            <w:r>
              <w:rPr>
                <w:sz w:val="20"/>
              </w:rPr>
              <w:t xml:space="preserve">584</w:t>
            </w:r>
          </w:p>
        </w:tc>
        <w:tc>
          <w:tcPr/>
          <w:p>
            <w:pPr>
              <w:pStyle w:val="Compact"/>
              <w:spacing w:line="240" w:lineRule="auto"/>
              <w:jc w:val="right"/>
            </w:pPr>
            <w:r>
              <w:rPr>
                <w:sz w:val="20"/>
              </w:rPr>
              <w:t xml:space="preserve">0.10</w:t>
            </w:r>
          </w:p>
        </w:tc>
      </w:tr>
      <w:tr>
        <w:tc>
          <w:tcPr/>
          <w:p>
            <w:pPr>
              <w:pStyle w:val="Compact"/>
              <w:spacing w:line="240" w:lineRule="auto"/>
              <w:jc w:val="left"/>
            </w:pPr>
            <w:r>
              <w:rPr>
                <w:sz w:val="20"/>
              </w:rPr>
              <w:t xml:space="preserve">Panel, county + year FE†</w:t>
            </w:r>
          </w:p>
        </w:tc>
        <w:tc>
          <w:tcPr/>
          <w:p>
            <w:pPr>
              <w:pStyle w:val="Compact"/>
              <w:spacing w:line="240" w:lineRule="auto"/>
              <w:jc w:val="left"/>
            </w:pPr>
            <w:r>
              <w:rPr>
                <w:sz w:val="20"/>
              </w:rPr>
              <w:t xml:space="preserve">All 73</w:t>
            </w:r>
          </w:p>
        </w:tc>
        <w:tc>
          <w:tcPr/>
          <w:p>
            <w:pPr>
              <w:pStyle w:val="Compact"/>
              <w:spacing w:line="240" w:lineRule="auto"/>
              <w:jc w:val="center"/>
            </w:pPr>
            <w:r>
              <w:rPr>
                <w:sz w:val="20"/>
              </w:rPr>
              <w:t xml:space="preserve">-0.3990*** (0.0617)</w:t>
            </w:r>
          </w:p>
        </w:tc>
        <w:tc>
          <w:tcPr/>
          <w:p>
            <w:pPr>
              <w:pStyle w:val="Compact"/>
              <w:spacing w:line="240" w:lineRule="auto"/>
              <w:jc w:val="right"/>
            </w:pPr>
            <w:r>
              <w:rPr>
                <w:sz w:val="20"/>
              </w:rPr>
              <w:t xml:space="preserve">50.9</w:t>
            </w:r>
          </w:p>
        </w:tc>
        <w:tc>
          <w:tcPr/>
          <w:p>
            <w:pPr>
              <w:pStyle w:val="Compact"/>
              <w:spacing w:line="240" w:lineRule="auto"/>
              <w:jc w:val="right"/>
            </w:pPr>
            <w:r>
              <w:rPr>
                <w:sz w:val="20"/>
              </w:rPr>
              <w:t xml:space="preserve">1.4</w:t>
            </w:r>
          </w:p>
        </w:tc>
        <w:tc>
          <w:tcPr/>
          <w:p>
            <w:pPr>
              <w:pStyle w:val="Compact"/>
              <w:spacing w:line="240" w:lineRule="auto"/>
              <w:jc w:val="right"/>
            </w:pPr>
            <w:r>
              <w:rPr>
                <w:sz w:val="20"/>
              </w:rPr>
              <w:t xml:space="preserve">584</w:t>
            </w:r>
          </w:p>
        </w:tc>
        <w:tc>
          <w:tcPr/>
          <w:p>
            <w:pPr>
              <w:pStyle w:val="Compact"/>
              <w:spacing w:line="240" w:lineRule="auto"/>
              <w:jc w:val="right"/>
            </w:pPr>
            <w:r>
              <w:rPr>
                <w:sz w:val="20"/>
              </w:rPr>
              <w:t xml:space="preserve">0.32</w:t>
            </w:r>
          </w:p>
        </w:tc>
      </w:tr>
    </w:tbl>
    <w:p>
      <w:pPr>
        <w:pStyle w:val="BodyText"/>
      </w:pPr>
      <w:r>
        <w:rPr>
          <w:iCs/>
          <w:i/>
        </w:rPr>
        <w:t xml:space="preserve">Notes:</w:t>
      </w:r>
      <w:r>
        <w:t xml:space="preserve"> </w:t>
      </w:r>
      <w:r>
        <w:t xml:space="preserve">λ is the implied annual speed of convergence. Cross-section: Eq. (5), average annual log growth 2016–2024 on log GDP per capita in 2016, with heteroskedasticity-robust standard errors. Annual panel: annual log growth on lagged log GDP per capita, with standard errors clustered by county. † Subject to the bias described by Nickell (1981); not interpretable as a convergence speed. ***</w:t>
      </w:r>
      <w:r>
        <w:t xml:space="preserve"> </w:t>
      </w:r>
      <w:r>
        <w:rPr>
          <w:iCs/>
          <w:i/>
        </w:rPr>
        <w:t xml:space="preserve">p</w:t>
      </w:r>
      <w:r>
        <w:t xml:space="preserve"> </w:t>
      </w:r>
      <w:r>
        <w:t xml:space="preserve">&lt; 0.01, **</w:t>
      </w:r>
      <w:r>
        <w:t xml:space="preserve"> </w:t>
      </w:r>
      <w:r>
        <w:rPr>
          <w:iCs/>
          <w:i/>
        </w:rPr>
        <w:t xml:space="preserve">p</w:t>
      </w:r>
      <w:r>
        <w:t xml:space="preserve"> </w:t>
      </w:r>
      <w:r>
        <w:t xml:space="preserve">&lt; 0.05, *</w:t>
      </w:r>
      <w:r>
        <w:t xml:space="preserve"> </w:t>
      </w:r>
      <w:r>
        <w:rPr>
          <w:iCs/>
          <w:i/>
        </w:rPr>
        <w:t xml:space="preserve">p</w:t>
      </w:r>
      <w:r>
        <w:t xml:space="preserve"> </w:t>
      </w:r>
      <w:r>
        <w:t xml:space="preserve">&lt; 0.1.</w:t>
      </w:r>
    </w:p>
    <w:p>
      <w:pPr>
        <w:pStyle w:val="BodyText"/>
      </w:pPr>
      <w:r>
        <w:t xml:space="preserve">β-convergence is not matched by σ-convergence. The standard deviation of log GDP per capita was 0.530 in 2016, rose to 0.569 in 2020 and returned to 0.532 in 2024. The population-weighted Gini moved from 0.331 to 0.345 (Table 2). Poorer counties grew faster on average, but new county-specific shocks offset the reduction in dispersion that mean reversion alone would produce. This is the configuration emphasised by Quah (1993) and Friedman (1992). In fiscal terms, a transfer system that stabilises spending levels (Section 4.1) has coexisted with an output distribution whose dispersion has not narrowed.</w:t>
      </w:r>
    </w:p>
    <w:bookmarkEnd w:id="37"/>
    <w:bookmarkStart w:id="41" w:name="asymmetric-cyclical-adjustment"/>
    <w:p>
      <w:pPr>
        <w:pStyle w:val="Heading2"/>
      </w:pPr>
      <w:r>
        <w:t xml:space="preserve">4.4. Asymmetric cyclical adjustment</w:t>
      </w:r>
    </w:p>
    <w:p>
      <w:pPr>
        <w:pStyle w:val="FirstParagraph"/>
      </w:pPr>
      <w:r>
        <w:t xml:space="preserve">Table 5 and Fig. 3 report Eq. (6). Over the sample there are 584 annual changes in county GDP, of which 24 are declines, clustered in 2019, 2022 and 2024. Columns (1)–(4) show that county expenditure is insulated from local fluctuations. With county and year effects, the elasticity of expenditure with respect to output increases is 0.06, and the elasticity with respect to output decreases is -0.21. Neither is significantly different from zero, and symmetry is not rejected (</w:t>
      </w:r>
      <w:r>
        <w:rPr>
          <w:iCs/>
          <w:i/>
        </w:rPr>
        <w:t xml:space="preserve">p</w:t>
      </w:r>
      <w:r>
        <w:t xml:space="preserve"> </w:t>
      </w:r>
      <w:r>
        <w:t xml:space="preserve">= 0.44). The same holds for own revenue as the driver (0.04 and -0.01,</w:t>
      </w:r>
      <w:r>
        <w:t xml:space="preserve"> </w:t>
      </w:r>
      <w:r>
        <w:rPr>
          <w:iCs/>
          <w:i/>
        </w:rPr>
        <w:t xml:space="preserve">p</w:t>
      </w:r>
      <w:r>
        <w:t xml:space="preserve"> </w:t>
      </w:r>
      <w:r>
        <w:t xml:space="preserve">= 0.57). There is therefore no sign of the spending asymmetry found for US local governments, either a stronger response to increases or a ratchet that prevents cuts. County spending in Tibet appears to be set largely independently of the local economy, and region-wide year effects explain most of its variation.</w:t>
      </w:r>
    </w:p>
    <w:p>
      <w:pPr>
        <w:pStyle w:val="BodyText"/>
      </w:pPr>
      <w:r>
        <w:rPr>
          <w:iCs/>
          <w:i/>
        </w:rPr>
        <w:t xml:space="preserve">Table 5. Asymmetric responses of expenditure and own revenue to changes in output and own revenue.</w:t>
      </w:r>
    </w:p>
    <w:tbl>
      <w:tblPr>
        <w:tblStyle w:val="Table"/>
        <w:tblW w:type="pct" w:w="5000"/>
        <w:tblLayout w:type="autofit"/>
        <w:tblLook w:firstRow="1" w:lastRow="0" w:firstColumn="0" w:lastColumn="0" w:noHBand="0" w:noVBand="0" w:val="0020"/>
        <w:jc w:val="start"/>
      </w:tblPr>
      <w:tblGrid>
        <w:gridCol w:w="2678"/>
        <w:gridCol w:w="1048"/>
        <w:gridCol w:w="1048"/>
        <w:gridCol w:w="1048"/>
        <w:gridCol w:w="1048"/>
        <w:gridCol w:w="1048"/>
      </w:tblGrid>
      <w:tr>
        <w:trPr>
          <w:tblHeader w:val="true"/>
        </w:trPr>
        <w:tc>
          <w:tcPr/>
          <w:p>
            <w:pPr>
              <w:pStyle w:val="Compact"/>
              <w:spacing w:line="240" w:lineRule="auto"/>
            </w:pPr>
          </w:p>
        </w:tc>
        <w:tc>
          <w:tcPr/>
          <w:p>
            <w:pPr>
              <w:pStyle w:val="Compact"/>
              <w:spacing w:line="240" w:lineRule="auto"/>
              <w:jc w:val="center"/>
            </w:pPr>
            <w:r>
              <w:rPr>
                <w:sz w:val="20"/>
              </w:rPr>
              <w:t xml:space="preserve">(1) Exp.</w:t>
            </w:r>
          </w:p>
        </w:tc>
        <w:tc>
          <w:tcPr/>
          <w:p>
            <w:pPr>
              <w:pStyle w:val="Compact"/>
              <w:spacing w:line="240" w:lineRule="auto"/>
              <w:jc w:val="center"/>
            </w:pPr>
            <w:r>
              <w:rPr>
                <w:sz w:val="20"/>
              </w:rPr>
              <w:t xml:space="preserve">(2) Exp.</w:t>
            </w:r>
          </w:p>
        </w:tc>
        <w:tc>
          <w:tcPr/>
          <w:p>
            <w:pPr>
              <w:pStyle w:val="Compact"/>
              <w:spacing w:line="240" w:lineRule="auto"/>
              <w:jc w:val="center"/>
            </w:pPr>
            <w:r>
              <w:rPr>
                <w:sz w:val="20"/>
              </w:rPr>
              <w:t xml:space="preserve">(3) Exp.</w:t>
            </w:r>
          </w:p>
        </w:tc>
        <w:tc>
          <w:tcPr/>
          <w:p>
            <w:pPr>
              <w:pStyle w:val="Compact"/>
              <w:spacing w:line="240" w:lineRule="auto"/>
              <w:jc w:val="center"/>
            </w:pPr>
            <w:r>
              <w:rPr>
                <w:sz w:val="20"/>
              </w:rPr>
              <w:t xml:space="preserve">(4) Exp.</w:t>
            </w:r>
          </w:p>
        </w:tc>
        <w:tc>
          <w:tcPr/>
          <w:p>
            <w:pPr>
              <w:pStyle w:val="Compact"/>
              <w:spacing w:line="240" w:lineRule="auto"/>
              <w:jc w:val="center"/>
            </w:pPr>
            <w:r>
              <w:rPr>
                <w:sz w:val="20"/>
              </w:rPr>
              <w:t xml:space="preserve">(5) Own revenue</w:t>
            </w:r>
          </w:p>
        </w:tc>
      </w:tr>
      <w:tr>
        <w:tc>
          <w:tcPr/>
          <w:p>
            <w:pPr>
              <w:pStyle w:val="Compact"/>
              <w:spacing w:line="240" w:lineRule="auto"/>
              <w:jc w:val="left"/>
            </w:pPr>
            <w:r>
              <w:rPr>
                <w:sz w:val="20"/>
              </w:rPr>
              <w:t xml:space="preserve">Δln GDP⁺</w:t>
            </w:r>
          </w:p>
        </w:tc>
        <w:tc>
          <w:tcPr/>
          <w:p>
            <w:pPr>
              <w:pStyle w:val="Compact"/>
              <w:spacing w:line="240" w:lineRule="auto"/>
              <w:jc w:val="center"/>
            </w:pPr>
            <w:r>
              <w:rPr>
                <w:sz w:val="20"/>
              </w:rPr>
              <w:t xml:space="preserve">0.087</w:t>
            </w:r>
          </w:p>
        </w:tc>
        <w:tc>
          <w:tcPr/>
          <w:p>
            <w:pPr>
              <w:pStyle w:val="Compact"/>
              <w:spacing w:line="240" w:lineRule="auto"/>
              <w:jc w:val="center"/>
            </w:pPr>
            <w:r>
              <w:rPr>
                <w:sz w:val="20"/>
              </w:rPr>
              <w:t xml:space="preserve">0.057</w:t>
            </w:r>
          </w:p>
        </w:tc>
        <w:tc>
          <w:tcPr/>
          <w:p>
            <w:pPr>
              <w:pStyle w:val="Compact"/>
              <w:spacing w:line="240" w:lineRule="auto"/>
            </w:pPr>
          </w:p>
        </w:tc>
        <w:tc>
          <w:tcPr/>
          <w:p>
            <w:pPr>
              <w:pStyle w:val="Compact"/>
              <w:spacing w:line="240" w:lineRule="auto"/>
              <w:jc w:val="center"/>
            </w:pPr>
            <w:r>
              <w:rPr>
                <w:sz w:val="20"/>
              </w:rPr>
              <w:t xml:space="preserve">0.005</w:t>
            </w:r>
          </w:p>
        </w:tc>
        <w:tc>
          <w:tcPr/>
          <w:p>
            <w:pPr>
              <w:pStyle w:val="Compact"/>
              <w:spacing w:line="240" w:lineRule="auto"/>
              <w:jc w:val="center"/>
            </w:pPr>
            <w:r>
              <w:rPr>
                <w:sz w:val="20"/>
              </w:rPr>
              <w:t xml:space="preserve">0.376***</w:t>
            </w:r>
          </w:p>
        </w:tc>
      </w:tr>
      <w:tr>
        <w:tc>
          <w:tcPr/>
          <w:p>
            <w:pPr>
              <w:pStyle w:val="Compact"/>
              <w:spacing w:line="240" w:lineRule="auto"/>
            </w:pPr>
          </w:p>
        </w:tc>
        <w:tc>
          <w:tcPr/>
          <w:p>
            <w:pPr>
              <w:pStyle w:val="Compact"/>
              <w:spacing w:line="240" w:lineRule="auto"/>
              <w:jc w:val="center"/>
            </w:pPr>
            <w:r>
              <w:rPr>
                <w:sz w:val="20"/>
              </w:rPr>
              <w:t xml:space="preserve">(0.087)</w:t>
            </w:r>
          </w:p>
        </w:tc>
        <w:tc>
          <w:tcPr/>
          <w:p>
            <w:pPr>
              <w:pStyle w:val="Compact"/>
              <w:spacing w:line="240" w:lineRule="auto"/>
              <w:jc w:val="center"/>
            </w:pPr>
            <w:r>
              <w:rPr>
                <w:sz w:val="20"/>
              </w:rPr>
              <w:t xml:space="preserve">(0.094)</w:t>
            </w:r>
          </w:p>
        </w:tc>
        <w:tc>
          <w:tcPr/>
          <w:p>
            <w:pPr>
              <w:pStyle w:val="Compact"/>
              <w:spacing w:line="240" w:lineRule="auto"/>
            </w:pPr>
          </w:p>
        </w:tc>
        <w:tc>
          <w:tcPr/>
          <w:p>
            <w:pPr>
              <w:pStyle w:val="Compact"/>
              <w:spacing w:line="240" w:lineRule="auto"/>
              <w:jc w:val="center"/>
            </w:pPr>
            <w:r>
              <w:rPr>
                <w:sz w:val="20"/>
              </w:rPr>
              <w:t xml:space="preserve">(0.082)</w:t>
            </w:r>
          </w:p>
        </w:tc>
        <w:tc>
          <w:tcPr/>
          <w:p>
            <w:pPr>
              <w:pStyle w:val="Compact"/>
              <w:spacing w:line="240" w:lineRule="auto"/>
              <w:jc w:val="center"/>
            </w:pPr>
            <w:r>
              <w:rPr>
                <w:sz w:val="20"/>
              </w:rPr>
              <w:t xml:space="preserve">(0.097)</w:t>
            </w:r>
          </w:p>
        </w:tc>
      </w:tr>
      <w:tr>
        <w:tc>
          <w:tcPr/>
          <w:p>
            <w:pPr>
              <w:pStyle w:val="Compact"/>
              <w:spacing w:line="240" w:lineRule="auto"/>
              <w:jc w:val="left"/>
            </w:pPr>
            <w:r>
              <w:rPr>
                <w:sz w:val="20"/>
              </w:rPr>
              <w:t xml:space="preserve">Δln GDP⁻</w:t>
            </w:r>
          </w:p>
        </w:tc>
        <w:tc>
          <w:tcPr/>
          <w:p>
            <w:pPr>
              <w:pStyle w:val="Compact"/>
              <w:spacing w:line="240" w:lineRule="auto"/>
              <w:jc w:val="center"/>
            </w:pPr>
            <w:r>
              <w:rPr>
                <w:sz w:val="20"/>
              </w:rPr>
              <w:t xml:space="preserve">-0.240</w:t>
            </w:r>
          </w:p>
        </w:tc>
        <w:tc>
          <w:tcPr/>
          <w:p>
            <w:pPr>
              <w:pStyle w:val="Compact"/>
              <w:spacing w:line="240" w:lineRule="auto"/>
              <w:jc w:val="center"/>
            </w:pPr>
            <w:r>
              <w:rPr>
                <w:sz w:val="20"/>
              </w:rPr>
              <w:t xml:space="preserve">-0.205</w:t>
            </w:r>
          </w:p>
        </w:tc>
        <w:tc>
          <w:tcPr/>
          <w:p>
            <w:pPr>
              <w:pStyle w:val="Compact"/>
              <w:spacing w:line="240" w:lineRule="auto"/>
            </w:pPr>
          </w:p>
        </w:tc>
        <w:tc>
          <w:tcPr/>
          <w:p>
            <w:pPr>
              <w:pStyle w:val="Compact"/>
              <w:spacing w:line="240" w:lineRule="auto"/>
              <w:jc w:val="center"/>
            </w:pPr>
            <w:r>
              <w:rPr>
                <w:sz w:val="20"/>
              </w:rPr>
              <w:t xml:space="preserve">-0.172</w:t>
            </w:r>
          </w:p>
        </w:tc>
        <w:tc>
          <w:tcPr/>
          <w:p>
            <w:pPr>
              <w:pStyle w:val="Compact"/>
              <w:spacing w:line="240" w:lineRule="auto"/>
              <w:jc w:val="center"/>
            </w:pPr>
            <w:r>
              <w:rPr>
                <w:sz w:val="20"/>
              </w:rPr>
              <w:t xml:space="preserve">-1.366**</w:t>
            </w:r>
          </w:p>
        </w:tc>
      </w:tr>
      <w:tr>
        <w:tc>
          <w:tcPr/>
          <w:p>
            <w:pPr>
              <w:pStyle w:val="Compact"/>
              <w:spacing w:line="240" w:lineRule="auto"/>
            </w:pPr>
          </w:p>
        </w:tc>
        <w:tc>
          <w:tcPr/>
          <w:p>
            <w:pPr>
              <w:pStyle w:val="Compact"/>
              <w:spacing w:line="240" w:lineRule="auto"/>
              <w:jc w:val="center"/>
            </w:pPr>
            <w:r>
              <w:rPr>
                <w:sz w:val="20"/>
              </w:rPr>
              <w:t xml:space="preserve">(0.251)</w:t>
            </w:r>
          </w:p>
        </w:tc>
        <w:tc>
          <w:tcPr/>
          <w:p>
            <w:pPr>
              <w:pStyle w:val="Compact"/>
              <w:spacing w:line="240" w:lineRule="auto"/>
              <w:jc w:val="center"/>
            </w:pPr>
            <w:r>
              <w:rPr>
                <w:sz w:val="20"/>
              </w:rPr>
              <w:t xml:space="preserve">(0.313)</w:t>
            </w:r>
          </w:p>
        </w:tc>
        <w:tc>
          <w:tcPr/>
          <w:p>
            <w:pPr>
              <w:pStyle w:val="Compact"/>
              <w:spacing w:line="240" w:lineRule="auto"/>
            </w:pPr>
          </w:p>
        </w:tc>
        <w:tc>
          <w:tcPr/>
          <w:p>
            <w:pPr>
              <w:pStyle w:val="Compact"/>
              <w:spacing w:line="240" w:lineRule="auto"/>
              <w:jc w:val="center"/>
            </w:pPr>
            <w:r>
              <w:rPr>
                <w:sz w:val="20"/>
              </w:rPr>
              <w:t xml:space="preserve">(0.312)</w:t>
            </w:r>
          </w:p>
        </w:tc>
        <w:tc>
          <w:tcPr/>
          <w:p>
            <w:pPr>
              <w:pStyle w:val="Compact"/>
              <w:spacing w:line="240" w:lineRule="auto"/>
              <w:jc w:val="center"/>
            </w:pPr>
            <w:r>
              <w:rPr>
                <w:sz w:val="20"/>
              </w:rPr>
              <w:t xml:space="preserve">(0.586)</w:t>
            </w:r>
          </w:p>
        </w:tc>
      </w:tr>
      <w:tr>
        <w:tc>
          <w:tcPr/>
          <w:p>
            <w:pPr>
              <w:pStyle w:val="Compact"/>
              <w:spacing w:line="240" w:lineRule="auto"/>
              <w:jc w:val="left"/>
            </w:pPr>
            <w:r>
              <w:rPr>
                <w:sz w:val="20"/>
              </w:rPr>
              <w:t xml:space="preserve">Δln own revenue⁺</w:t>
            </w:r>
          </w:p>
        </w:tc>
        <w:tc>
          <w:tcPr/>
          <w:p>
            <w:pPr>
              <w:pStyle w:val="Compact"/>
              <w:spacing w:line="240" w:lineRule="auto"/>
            </w:pPr>
          </w:p>
        </w:tc>
        <w:tc>
          <w:tcPr/>
          <w:p>
            <w:pPr>
              <w:pStyle w:val="Compact"/>
              <w:spacing w:line="240" w:lineRule="auto"/>
            </w:pPr>
          </w:p>
        </w:tc>
        <w:tc>
          <w:tcPr/>
          <w:p>
            <w:pPr>
              <w:pStyle w:val="Compact"/>
              <w:spacing w:line="240" w:lineRule="auto"/>
              <w:jc w:val="center"/>
            </w:pPr>
            <w:r>
              <w:rPr>
                <w:sz w:val="20"/>
              </w:rPr>
              <w:t xml:space="preserve">0.037</w:t>
            </w:r>
          </w:p>
        </w:tc>
        <w:tc>
          <w:tcPr/>
          <w:p>
            <w:pPr>
              <w:pStyle w:val="Compact"/>
              <w:spacing w:line="240" w:lineRule="auto"/>
              <w:jc w:val="center"/>
            </w:pPr>
            <w:r>
              <w:rPr>
                <w:sz w:val="20"/>
              </w:rPr>
              <w:t xml:space="preserve">0.035</w:t>
            </w:r>
          </w:p>
        </w:tc>
        <w:tc>
          <w:tcPr/>
          <w:p>
            <w:pPr>
              <w:pStyle w:val="Compact"/>
              <w:spacing w:line="240" w:lineRule="auto"/>
            </w:pPr>
          </w:p>
        </w:tc>
      </w:tr>
      <w:tr>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jc w:val="center"/>
            </w:pPr>
            <w:r>
              <w:rPr>
                <w:sz w:val="20"/>
              </w:rPr>
              <w:t xml:space="preserve">(0.037)</w:t>
            </w:r>
          </w:p>
        </w:tc>
        <w:tc>
          <w:tcPr/>
          <w:p>
            <w:pPr>
              <w:pStyle w:val="Compact"/>
              <w:spacing w:line="240" w:lineRule="auto"/>
              <w:jc w:val="center"/>
            </w:pPr>
            <w:r>
              <w:rPr>
                <w:sz w:val="20"/>
              </w:rPr>
              <w:t xml:space="preserve">(0.037)</w:t>
            </w:r>
          </w:p>
        </w:tc>
        <w:tc>
          <w:tcPr/>
          <w:p>
            <w:pPr>
              <w:pStyle w:val="Compact"/>
              <w:spacing w:line="240" w:lineRule="auto"/>
            </w:pPr>
          </w:p>
        </w:tc>
      </w:tr>
      <w:tr>
        <w:tc>
          <w:tcPr/>
          <w:p>
            <w:pPr>
              <w:pStyle w:val="Compact"/>
              <w:spacing w:line="240" w:lineRule="auto"/>
              <w:jc w:val="left"/>
            </w:pPr>
            <w:r>
              <w:rPr>
                <w:sz w:val="20"/>
              </w:rPr>
              <w:t xml:space="preserve">Δln own revenue⁻</w:t>
            </w:r>
          </w:p>
        </w:tc>
        <w:tc>
          <w:tcPr/>
          <w:p>
            <w:pPr>
              <w:pStyle w:val="Compact"/>
              <w:spacing w:line="240" w:lineRule="auto"/>
            </w:pPr>
          </w:p>
        </w:tc>
        <w:tc>
          <w:tcPr/>
          <w:p>
            <w:pPr>
              <w:pStyle w:val="Compact"/>
              <w:spacing w:line="240" w:lineRule="auto"/>
            </w:pPr>
          </w:p>
        </w:tc>
        <w:tc>
          <w:tcPr/>
          <w:p>
            <w:pPr>
              <w:pStyle w:val="Compact"/>
              <w:spacing w:line="240" w:lineRule="auto"/>
              <w:jc w:val="center"/>
            </w:pPr>
            <w:r>
              <w:rPr>
                <w:sz w:val="20"/>
              </w:rPr>
              <w:t xml:space="preserve">-0.011</w:t>
            </w:r>
          </w:p>
        </w:tc>
        <w:tc>
          <w:tcPr/>
          <w:p>
            <w:pPr>
              <w:pStyle w:val="Compact"/>
              <w:spacing w:line="240" w:lineRule="auto"/>
              <w:jc w:val="center"/>
            </w:pPr>
            <w:r>
              <w:rPr>
                <w:sz w:val="20"/>
              </w:rPr>
              <w:t xml:space="preserve">-0.010</w:t>
            </w:r>
          </w:p>
        </w:tc>
        <w:tc>
          <w:tcPr/>
          <w:p>
            <w:pPr>
              <w:pStyle w:val="Compact"/>
              <w:spacing w:line="240" w:lineRule="auto"/>
            </w:pPr>
          </w:p>
        </w:tc>
      </w:tr>
      <w:tr>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jc w:val="center"/>
            </w:pPr>
            <w:r>
              <w:rPr>
                <w:sz w:val="20"/>
              </w:rPr>
              <w:t xml:space="preserve">(0.067)</w:t>
            </w:r>
          </w:p>
        </w:tc>
        <w:tc>
          <w:tcPr/>
          <w:p>
            <w:pPr>
              <w:pStyle w:val="Compact"/>
              <w:spacing w:line="240" w:lineRule="auto"/>
              <w:jc w:val="center"/>
            </w:pPr>
            <w:r>
              <w:rPr>
                <w:sz w:val="20"/>
              </w:rPr>
              <w:t xml:space="preserve">(0.067)</w:t>
            </w:r>
          </w:p>
        </w:tc>
        <w:tc>
          <w:tcPr/>
          <w:p>
            <w:pPr>
              <w:pStyle w:val="Compact"/>
              <w:spacing w:line="240" w:lineRule="auto"/>
            </w:pPr>
          </w:p>
        </w:tc>
      </w:tr>
      <w:tr>
        <w:tc>
          <w:tcPr/>
          <w:p>
            <w:pPr>
              <w:pStyle w:val="Compact"/>
              <w:spacing w:line="240" w:lineRule="auto"/>
              <w:jc w:val="left"/>
            </w:pPr>
            <w:r>
              <w:rPr>
                <w:sz w:val="20"/>
              </w:rPr>
              <w:t xml:space="preserve">Wald</w:t>
            </w:r>
            <w:r>
              <w:rPr>
                <w:sz w:val="20"/>
              </w:rPr>
              <w:t xml:space="preserve"> </w:t>
            </w:r>
            <w:r>
              <w:rPr>
                <w:iCs/>
                <w:i/>
                <w:sz w:val="20"/>
              </w:rPr>
              <w:t xml:space="preserve">p</w:t>
            </w:r>
            <w:r>
              <w:rPr>
                <w:sz w:val="20"/>
              </w:rPr>
              <w:t xml:space="preserve">, GDP β⁺ = β⁻</w:t>
            </w:r>
          </w:p>
        </w:tc>
        <w:tc>
          <w:tcPr/>
          <w:p>
            <w:pPr>
              <w:pStyle w:val="Compact"/>
              <w:spacing w:line="240" w:lineRule="auto"/>
              <w:jc w:val="center"/>
            </w:pPr>
            <w:r>
              <w:rPr>
                <w:sz w:val="20"/>
              </w:rPr>
              <w:t xml:space="preserve">0.221</w:t>
            </w:r>
          </w:p>
        </w:tc>
        <w:tc>
          <w:tcPr/>
          <w:p>
            <w:pPr>
              <w:pStyle w:val="Compact"/>
              <w:spacing w:line="240" w:lineRule="auto"/>
              <w:jc w:val="center"/>
            </w:pPr>
            <w:r>
              <w:rPr>
                <w:sz w:val="20"/>
              </w:rPr>
              <w:t xml:space="preserve">0.435</w:t>
            </w:r>
          </w:p>
        </w:tc>
        <w:tc>
          <w:tcPr/>
          <w:p>
            <w:pPr>
              <w:pStyle w:val="Compact"/>
              <w:spacing w:line="240" w:lineRule="auto"/>
            </w:pPr>
          </w:p>
        </w:tc>
        <w:tc>
          <w:tcPr/>
          <w:p>
            <w:pPr>
              <w:pStyle w:val="Compact"/>
              <w:spacing w:line="240" w:lineRule="auto"/>
              <w:jc w:val="center"/>
            </w:pPr>
            <w:r>
              <w:rPr>
                <w:sz w:val="20"/>
              </w:rPr>
              <w:t xml:space="preserve">0.585</w:t>
            </w:r>
          </w:p>
        </w:tc>
        <w:tc>
          <w:tcPr/>
          <w:p>
            <w:pPr>
              <w:pStyle w:val="Compact"/>
              <w:spacing w:line="240" w:lineRule="auto"/>
              <w:jc w:val="center"/>
            </w:pPr>
            <w:r>
              <w:rPr>
                <w:sz w:val="20"/>
              </w:rPr>
              <w:t xml:space="preserve">0.003</w:t>
            </w:r>
          </w:p>
        </w:tc>
      </w:tr>
      <w:tr>
        <w:tc>
          <w:tcPr/>
          <w:p>
            <w:pPr>
              <w:pStyle w:val="Compact"/>
              <w:spacing w:line="240" w:lineRule="auto"/>
              <w:jc w:val="left"/>
            </w:pPr>
            <w:r>
              <w:rPr>
                <w:sz w:val="20"/>
              </w:rPr>
              <w:t xml:space="preserve">Wald</w:t>
            </w:r>
            <w:r>
              <w:rPr>
                <w:sz w:val="20"/>
              </w:rPr>
              <w:t xml:space="preserve"> </w:t>
            </w:r>
            <w:r>
              <w:rPr>
                <w:iCs/>
                <w:i/>
                <w:sz w:val="20"/>
              </w:rPr>
              <w:t xml:space="preserve">p</w:t>
            </w:r>
            <w:r>
              <w:rPr>
                <w:sz w:val="20"/>
              </w:rPr>
              <w:t xml:space="preserve">, own revenue β⁺ = β⁻</w:t>
            </w:r>
          </w:p>
        </w:tc>
        <w:tc>
          <w:tcPr/>
          <w:p>
            <w:pPr>
              <w:pStyle w:val="Compact"/>
              <w:spacing w:line="240" w:lineRule="auto"/>
            </w:pPr>
          </w:p>
        </w:tc>
        <w:tc>
          <w:tcPr/>
          <w:p>
            <w:pPr>
              <w:pStyle w:val="Compact"/>
              <w:spacing w:line="240" w:lineRule="auto"/>
            </w:pPr>
          </w:p>
        </w:tc>
        <w:tc>
          <w:tcPr/>
          <w:p>
            <w:pPr>
              <w:pStyle w:val="Compact"/>
              <w:spacing w:line="240" w:lineRule="auto"/>
              <w:jc w:val="center"/>
            </w:pPr>
            <w:r>
              <w:rPr>
                <w:sz w:val="20"/>
              </w:rPr>
              <w:t xml:space="preserve">0.570</w:t>
            </w:r>
          </w:p>
        </w:tc>
        <w:tc>
          <w:tcPr/>
          <w:p>
            <w:pPr>
              <w:pStyle w:val="Compact"/>
              <w:spacing w:line="240" w:lineRule="auto"/>
              <w:jc w:val="center"/>
            </w:pPr>
            <w:r>
              <w:rPr>
                <w:sz w:val="20"/>
              </w:rPr>
              <w:t xml:space="preserve">0.595</w:t>
            </w:r>
          </w:p>
        </w:tc>
        <w:tc>
          <w:tcPr/>
          <w:p>
            <w:pPr>
              <w:pStyle w:val="Compact"/>
              <w:spacing w:line="240" w:lineRule="auto"/>
            </w:pPr>
          </w:p>
        </w:tc>
      </w:tr>
      <w:tr>
        <w:tc>
          <w:tcPr/>
          <w:p>
            <w:pPr>
              <w:pStyle w:val="Compact"/>
              <w:spacing w:line="240" w:lineRule="auto"/>
              <w:jc w:val="left"/>
            </w:pPr>
            <w:r>
              <w:rPr>
                <w:sz w:val="20"/>
              </w:rPr>
              <w:t xml:space="preserve">County FE</w:t>
            </w:r>
          </w:p>
        </w:tc>
        <w:tc>
          <w:tcPr/>
          <w:p>
            <w:pPr>
              <w:pStyle w:val="Compact"/>
              <w:spacing w:line="240" w:lineRule="auto"/>
              <w:jc w:val="center"/>
            </w:pPr>
            <w:r>
              <w:rPr>
                <w:sz w:val="20"/>
              </w:rPr>
              <w:t xml:space="preserve">No</w:t>
            </w:r>
          </w:p>
        </w:tc>
        <w:tc>
          <w:tcPr/>
          <w:p>
            <w:pPr>
              <w:pStyle w:val="Compact"/>
              <w:spacing w:line="240" w:lineRule="auto"/>
              <w:jc w:val="center"/>
            </w:pPr>
            <w:r>
              <w:rPr>
                <w:sz w:val="20"/>
              </w:rPr>
              <w:t xml:space="preserve">Yes</w:t>
            </w:r>
          </w:p>
        </w:tc>
        <w:tc>
          <w:tcPr/>
          <w:p>
            <w:pPr>
              <w:pStyle w:val="Compact"/>
              <w:spacing w:line="240" w:lineRule="auto"/>
              <w:jc w:val="center"/>
            </w:pPr>
            <w:r>
              <w:rPr>
                <w:sz w:val="20"/>
              </w:rPr>
              <w:t xml:space="preserve">Yes</w:t>
            </w:r>
          </w:p>
        </w:tc>
        <w:tc>
          <w:tcPr/>
          <w:p>
            <w:pPr>
              <w:pStyle w:val="Compact"/>
              <w:spacing w:line="240" w:lineRule="auto"/>
              <w:jc w:val="center"/>
            </w:pPr>
            <w:r>
              <w:rPr>
                <w:sz w:val="20"/>
              </w:rPr>
              <w:t xml:space="preserve">Yes</w:t>
            </w:r>
          </w:p>
        </w:tc>
        <w:tc>
          <w:tcPr/>
          <w:p>
            <w:pPr>
              <w:pStyle w:val="Compact"/>
              <w:spacing w:line="240" w:lineRule="auto"/>
              <w:jc w:val="center"/>
            </w:pPr>
            <w:r>
              <w:rPr>
                <w:sz w:val="20"/>
              </w:rPr>
              <w:t xml:space="preserve">Yes</w:t>
            </w:r>
          </w:p>
        </w:tc>
      </w:tr>
      <w:tr>
        <w:tc>
          <w:tcPr/>
          <w:p>
            <w:pPr>
              <w:pStyle w:val="Compact"/>
              <w:spacing w:line="240" w:lineRule="auto"/>
              <w:jc w:val="left"/>
            </w:pPr>
            <w:r>
              <w:rPr>
                <w:sz w:val="20"/>
              </w:rPr>
              <w:t xml:space="preserve">Year FE</w:t>
            </w:r>
          </w:p>
        </w:tc>
        <w:tc>
          <w:tcPr/>
          <w:p>
            <w:pPr>
              <w:pStyle w:val="Compact"/>
              <w:spacing w:line="240" w:lineRule="auto"/>
              <w:jc w:val="center"/>
            </w:pPr>
            <w:r>
              <w:rPr>
                <w:sz w:val="20"/>
              </w:rPr>
              <w:t xml:space="preserve">Yes</w:t>
            </w:r>
          </w:p>
        </w:tc>
        <w:tc>
          <w:tcPr/>
          <w:p>
            <w:pPr>
              <w:pStyle w:val="Compact"/>
              <w:spacing w:line="240" w:lineRule="auto"/>
              <w:jc w:val="center"/>
            </w:pPr>
            <w:r>
              <w:rPr>
                <w:sz w:val="20"/>
              </w:rPr>
              <w:t xml:space="preserve">Yes</w:t>
            </w:r>
          </w:p>
        </w:tc>
        <w:tc>
          <w:tcPr/>
          <w:p>
            <w:pPr>
              <w:pStyle w:val="Compact"/>
              <w:spacing w:line="240" w:lineRule="auto"/>
              <w:jc w:val="center"/>
            </w:pPr>
            <w:r>
              <w:rPr>
                <w:sz w:val="20"/>
              </w:rPr>
              <w:t xml:space="preserve">Yes</w:t>
            </w:r>
          </w:p>
        </w:tc>
        <w:tc>
          <w:tcPr/>
          <w:p>
            <w:pPr>
              <w:pStyle w:val="Compact"/>
              <w:spacing w:line="240" w:lineRule="auto"/>
              <w:jc w:val="center"/>
            </w:pPr>
            <w:r>
              <w:rPr>
                <w:sz w:val="20"/>
              </w:rPr>
              <w:t xml:space="preserve">Yes</w:t>
            </w:r>
          </w:p>
        </w:tc>
        <w:tc>
          <w:tcPr/>
          <w:p>
            <w:pPr>
              <w:pStyle w:val="Compact"/>
              <w:spacing w:line="240" w:lineRule="auto"/>
              <w:jc w:val="center"/>
            </w:pPr>
            <w:r>
              <w:rPr>
                <w:sz w:val="20"/>
              </w:rPr>
              <w:t xml:space="preserve">Yes</w:t>
            </w:r>
          </w:p>
        </w:tc>
      </w:tr>
      <w:tr>
        <w:tc>
          <w:tcPr/>
          <w:p>
            <w:pPr>
              <w:pStyle w:val="Compact"/>
              <w:spacing w:line="240" w:lineRule="auto"/>
              <w:jc w:val="left"/>
            </w:pPr>
            <w:r>
              <w:rPr>
                <w:iCs/>
                <w:i/>
                <w:sz w:val="20"/>
              </w:rPr>
              <w:t xml:space="preserve">N</w:t>
            </w:r>
            <w:r>
              <w:rPr>
                <w:sz w:val="20"/>
              </w:rPr>
              <w:t xml:space="preserve"> </w:t>
            </w:r>
            <w:r>
              <w:rPr>
                <w:sz w:val="20"/>
              </w:rPr>
              <w:t xml:space="preserve">(counties)</w:t>
            </w:r>
          </w:p>
        </w:tc>
        <w:tc>
          <w:tcPr/>
          <w:p>
            <w:pPr>
              <w:pStyle w:val="Compact"/>
              <w:spacing w:line="240" w:lineRule="auto"/>
              <w:jc w:val="center"/>
            </w:pPr>
            <w:r>
              <w:rPr>
                <w:sz w:val="20"/>
              </w:rPr>
              <w:t xml:space="preserve">568 (73)</w:t>
            </w:r>
          </w:p>
        </w:tc>
        <w:tc>
          <w:tcPr/>
          <w:p>
            <w:pPr>
              <w:pStyle w:val="Compact"/>
              <w:spacing w:line="240" w:lineRule="auto"/>
              <w:jc w:val="center"/>
            </w:pPr>
            <w:r>
              <w:rPr>
                <w:sz w:val="20"/>
              </w:rPr>
              <w:t xml:space="preserve">568 (73)</w:t>
            </w:r>
          </w:p>
        </w:tc>
        <w:tc>
          <w:tcPr/>
          <w:p>
            <w:pPr>
              <w:pStyle w:val="Compact"/>
              <w:spacing w:line="240" w:lineRule="auto"/>
              <w:jc w:val="center"/>
            </w:pPr>
            <w:r>
              <w:rPr>
                <w:sz w:val="20"/>
              </w:rPr>
              <w:t xml:space="preserve">536 (73)</w:t>
            </w:r>
          </w:p>
        </w:tc>
        <w:tc>
          <w:tcPr/>
          <w:p>
            <w:pPr>
              <w:pStyle w:val="Compact"/>
              <w:spacing w:line="240" w:lineRule="auto"/>
              <w:jc w:val="center"/>
            </w:pPr>
            <w:r>
              <w:rPr>
                <w:sz w:val="20"/>
              </w:rPr>
              <w:t xml:space="preserve">536 (73)</w:t>
            </w:r>
          </w:p>
        </w:tc>
        <w:tc>
          <w:tcPr/>
          <w:p>
            <w:pPr>
              <w:pStyle w:val="Compact"/>
              <w:spacing w:line="240" w:lineRule="auto"/>
              <w:jc w:val="center"/>
            </w:pPr>
            <w:r>
              <w:rPr>
                <w:sz w:val="20"/>
              </w:rPr>
              <w:t xml:space="preserve">552 (73)</w:t>
            </w:r>
          </w:p>
        </w:tc>
      </w:tr>
      <w:tr>
        <w:tc>
          <w:tcPr/>
          <w:p>
            <w:pPr>
              <w:pStyle w:val="Compact"/>
              <w:spacing w:line="240" w:lineRule="auto"/>
              <w:jc w:val="left"/>
            </w:pPr>
            <w:r>
              <w:rPr>
                <w:iCs/>
                <w:i/>
                <w:sz w:val="20"/>
              </w:rPr>
              <w:t xml:space="preserve">R</w:t>
            </w:r>
            <w:r>
              <w:rPr>
                <w:sz w:val="20"/>
              </w:rPr>
              <w:t xml:space="preserve">²</w:t>
            </w:r>
          </w:p>
        </w:tc>
        <w:tc>
          <w:tcPr/>
          <w:p>
            <w:pPr>
              <w:pStyle w:val="Compact"/>
              <w:spacing w:line="240" w:lineRule="auto"/>
              <w:jc w:val="center"/>
            </w:pPr>
            <w:r>
              <w:rPr>
                <w:sz w:val="20"/>
              </w:rPr>
              <w:t xml:space="preserve">0.30</w:t>
            </w:r>
          </w:p>
        </w:tc>
        <w:tc>
          <w:tcPr/>
          <w:p>
            <w:pPr>
              <w:pStyle w:val="Compact"/>
              <w:spacing w:line="240" w:lineRule="auto"/>
              <w:jc w:val="center"/>
            </w:pPr>
            <w:r>
              <w:rPr>
                <w:sz w:val="20"/>
              </w:rPr>
              <w:t xml:space="preserve">0.34</w:t>
            </w:r>
          </w:p>
        </w:tc>
        <w:tc>
          <w:tcPr/>
          <w:p>
            <w:pPr>
              <w:pStyle w:val="Compact"/>
              <w:spacing w:line="240" w:lineRule="auto"/>
              <w:jc w:val="center"/>
            </w:pPr>
            <w:r>
              <w:rPr>
                <w:sz w:val="20"/>
              </w:rPr>
              <w:t xml:space="preserve">0.36</w:t>
            </w:r>
          </w:p>
        </w:tc>
        <w:tc>
          <w:tcPr/>
          <w:p>
            <w:pPr>
              <w:pStyle w:val="Compact"/>
              <w:spacing w:line="240" w:lineRule="auto"/>
              <w:jc w:val="center"/>
            </w:pPr>
            <w:r>
              <w:rPr>
                <w:sz w:val="20"/>
              </w:rPr>
              <w:t xml:space="preserve">0.36</w:t>
            </w:r>
          </w:p>
        </w:tc>
        <w:tc>
          <w:tcPr/>
          <w:p>
            <w:pPr>
              <w:pStyle w:val="Compact"/>
              <w:spacing w:line="240" w:lineRule="auto"/>
              <w:jc w:val="center"/>
            </w:pPr>
            <w:r>
              <w:rPr>
                <w:sz w:val="20"/>
              </w:rPr>
              <w:t xml:space="preserve">0.19</w:t>
            </w:r>
          </w:p>
        </w:tc>
      </w:tr>
    </w:tbl>
    <w:p>
      <w:pPr>
        <w:pStyle w:val="BodyText"/>
      </w:pPr>
      <w:r>
        <w:rPr>
          <w:iCs/>
          <w:i/>
        </w:rPr>
        <w:t xml:space="preserve">Notes:</w:t>
      </w:r>
      <w:r>
        <w:t xml:space="preserve"> </w:t>
      </w:r>
      <w:r>
        <w:t xml:space="preserve">Estimates of Eq. (6). The dependent variable is the annual change in log total expenditure (columns 1–4,</w:t>
      </w:r>
      <w:r>
        <w:t xml:space="preserve"> </w:t>
      </w:r>
      <w:r>
        <w:t xml:space="preserve">“</w:t>
      </w:r>
      <w:r>
        <w:t xml:space="preserve">Exp.</w:t>
      </w:r>
      <w:r>
        <w:t xml:space="preserve">”</w:t>
      </w:r>
      <w:r>
        <w:t xml:space="preserve">) or log own revenue (column 5). Δln GDP⁺ and Δln GDP⁻ are the positive and negative parts of the annual change in log GDP; Δln own revenue⁺ and Δln own revenue⁻ are defined in the same way. Standard errors clustered by county in parentheses. ***</w:t>
      </w:r>
      <w:r>
        <w:t xml:space="preserve"> </w:t>
      </w:r>
      <w:r>
        <w:rPr>
          <w:iCs/>
          <w:i/>
        </w:rPr>
        <w:t xml:space="preserve">p</w:t>
      </w:r>
      <w:r>
        <w:t xml:space="preserve"> </w:t>
      </w:r>
      <w:r>
        <w:t xml:space="preserve">&lt; 0.01, **</w:t>
      </w:r>
      <w:r>
        <w:t xml:space="preserve"> </w:t>
      </w:r>
      <w:r>
        <w:rPr>
          <w:iCs/>
          <w:i/>
        </w:rPr>
        <w:t xml:space="preserve">p</w:t>
      </w:r>
      <w:r>
        <w:t xml:space="preserve"> </w:t>
      </w:r>
      <w:r>
        <w:t xml:space="preserve">&lt; 0.05, *</w:t>
      </w:r>
      <w:r>
        <w:t xml:space="preserve"> </w:t>
      </w:r>
      <w:r>
        <w:rPr>
          <w:iCs/>
          <w:i/>
        </w:rPr>
        <w:t xml:space="preserve">p</w:t>
      </w:r>
      <w:r>
        <w:t xml:space="preserve"> </w:t>
      </w:r>
      <w:r>
        <w:t xml:space="preserve">&lt; 0.1.</w:t>
      </w:r>
    </w:p>
    <w:p>
      <w:pPr>
        <w:pStyle w:val="CaptionedFigure"/>
      </w:pPr>
      <w:r>
        <w:drawing>
          <wp:inline>
            <wp:extent cx="3733800" cy="2489200"/>
            <wp:effectExtent b="0" l="0" r="0" t="0"/>
            <wp:docPr descr="Fig. 3. Point estimates and 95% confidence intervals of the responses to increases (Δ &gt; 0) and decreases (Δ &lt; 0) in the driver variable, from Table 5, columns (2), (3) and (5). All models include county and year fixed effects; standard errors are clustered by county." title="" id="39" name="Picture"/>
            <a:graphic>
              <a:graphicData uri="http://schemas.openxmlformats.org/drawingml/2006/picture">
                <pic:pic>
                  <pic:nvPicPr>
                    <pic:cNvPr descr="Figure_3.png" id="40" name="Picture"/>
                    <pic:cNvPicPr>
                      <a:picLocks noChangeArrowheads="1" noChangeAspect="1"/>
                    </pic:cNvPicPr>
                  </pic:nvPicPr>
                  <pic:blipFill>
                    <a:blip r:embed="rId3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Fig. 3. Point estimates and 95% confidence intervals of the responses to increases (Δ &gt; 0) and decreases (Δ &lt; 0) in the driver variable, from Table 5, columns (2), (3) and (5). All models include county and year fixed effects; standard errors are clustered by county.</w:t>
      </w:r>
    </w:p>
    <w:p>
      <w:pPr>
        <w:pStyle w:val="BodyText"/>
      </w:pPr>
      <w:r>
        <w:t xml:space="preserve">Own revenue behaves very differently (column 5). When output rises, own revenue rises with an elasticity of 0.38 (standard error 0.10). When output falls, the coefficient is -1.37 (standard error 0.59). The negative sign means that, in the 23 county-years with an output decline and observed revenue, own revenue tended to</w:t>
      </w:r>
      <w:r>
        <w:t xml:space="preserve"> </w:t>
      </w:r>
      <w:r>
        <w:rPr>
          <w:iCs/>
          <w:i/>
        </w:rPr>
        <w:t xml:space="preserve">rise</w:t>
      </w:r>
      <w:r>
        <w:t xml:space="preserve"> </w:t>
      </w:r>
      <w:r>
        <w:t xml:space="preserve">rather than fall. Symmetry is rejected at</w:t>
      </w:r>
      <w:r>
        <w:t xml:space="preserve"> </w:t>
      </w:r>
      <w:r>
        <w:rPr>
          <w:iCs/>
          <w:i/>
        </w:rPr>
        <w:t xml:space="preserve">p</w:t>
      </w:r>
      <w:r>
        <w:t xml:space="preserve"> </w:t>
      </w:r>
      <w:r>
        <w:t xml:space="preserve">= 0.003. Local revenue is thus procyclical in expansions but not in contractions. A one-per-cent fall in output is associated with no loss of revenue, and if anything with additional collection.</w:t>
      </w:r>
    </w:p>
    <w:p>
      <w:pPr>
        <w:pStyle w:val="BodyText"/>
      </w:pPr>
      <w:r>
        <w:t xml:space="preserve">Because the negative-change coefficient rests on a small number of contraction episodes, I check whether any single episode drives it. Dropping each contraction observation in turn yields coefficients between -1.64 and -0.94, and the largest</w:t>
      </w:r>
      <w:r>
        <w:t xml:space="preserve"> </w:t>
      </w:r>
      <w:r>
        <w:rPr>
          <w:iCs/>
          <w:i/>
        </w:rPr>
        <w:t xml:space="preserve">p</w:t>
      </w:r>
      <w:r>
        <w:t xml:space="preserve">-value for the symmetry test across these regressions is 0.042 (Appendix B). The asymmetry is therefore not the product of one county-year. Its magnitude should nevertheless be read with caution given the small number of contractions.</w:t>
      </w:r>
    </w:p>
    <w:bookmarkEnd w:id="41"/>
    <w:bookmarkStart w:id="42" w:name="robustness"/>
    <w:p>
      <w:pPr>
        <w:pStyle w:val="Heading2"/>
      </w:pPr>
      <w:r>
        <w:t xml:space="preserve">4.5. Robustness</w:t>
      </w:r>
    </w:p>
    <w:p>
      <w:pPr>
        <w:pStyle w:val="FirstParagraph"/>
      </w:pPr>
      <w:r>
        <w:t xml:space="preserve">Table 6 re-estimates the asymmetry models under alternative samples and treatments. These include excluding the two counties with re-based GDP, excluding Lhasa prefecture, excluding the pandemic years 2020–2022, winsorising all changes at the 2.5th and 97.5th percentiles, using the uncleaned raw data, and using expenditure per capita instead of total expenditure. Across all specifications, the coefficient on output declines in the revenue equation lies between -1.27 and -1.90, and symmetry is rejected at</w:t>
      </w:r>
      <w:r>
        <w:t xml:space="preserve"> </w:t>
      </w:r>
      <w:r>
        <w:rPr>
          <w:iCs/>
          <w:i/>
        </w:rPr>
        <w:t xml:space="preserve">p</w:t>
      </w:r>
      <w:r>
        <w:t xml:space="preserve"> </w:t>
      </w:r>
      <w:r>
        <w:t xml:space="preserve">≤ 0.047. The insulation of expenditure is equally robust: no specification rejects symmetry for expenditure at the 5% level (smallest</w:t>
      </w:r>
      <w:r>
        <w:t xml:space="preserve"> </w:t>
      </w:r>
      <w:r>
        <w:rPr>
          <w:iCs/>
          <w:i/>
        </w:rPr>
        <w:t xml:space="preserve">p</w:t>
      </w:r>
      <w:r>
        <w:t xml:space="preserve"> </w:t>
      </w:r>
      <w:r>
        <w:t xml:space="preserve">= 0.09). Splitting the sample by counties’ average self-sufficiency (Appendix B, Table B.1) yields the same conclusion for expenditure in both groups. Excluding the two re-based counties leaves the level of output inequality almost unchanged but moderates the decline in its between-prefecture share, which then falls from 40.3% in 2016 to 35.3% in 2024; the 2019 drop in Table 2 is largely due to the re-basing of Seni’s GDP.</w:t>
      </w:r>
    </w:p>
    <w:p>
      <w:pPr>
        <w:pStyle w:val="BodyText"/>
      </w:pPr>
      <w:r>
        <w:rPr>
          <w:iCs/>
          <w:i/>
        </w:rPr>
        <w:t xml:space="preserve">Table 6. Robustness of the asymmetric-adjustment results.</w:t>
      </w:r>
    </w:p>
    <w:tbl>
      <w:tblPr>
        <w:tblStyle w:val="Table"/>
        <w:tblW w:type="pct" w:w="5000"/>
        <w:tblLayout w:type="autofit"/>
        <w:tblLook w:firstRow="1" w:lastRow="0" w:firstColumn="0" w:lastColumn="0" w:noHBand="0" w:noVBand="0" w:val="0020"/>
        <w:jc w:val="start"/>
      </w:tblPr>
      <w:tblGrid>
        <w:gridCol w:w="2061"/>
        <w:gridCol w:w="2061"/>
        <w:gridCol w:w="1301"/>
        <w:gridCol w:w="1301"/>
        <w:gridCol w:w="650"/>
        <w:gridCol w:w="542"/>
      </w:tblGrid>
      <w:tr>
        <w:trPr>
          <w:tblHeader w:val="true"/>
        </w:trPr>
        <w:tc>
          <w:tcPr/>
          <w:p>
            <w:pPr>
              <w:pStyle w:val="Compact"/>
              <w:spacing w:line="240" w:lineRule="auto"/>
              <w:jc w:val="left"/>
            </w:pPr>
            <w:r>
              <w:rPr>
                <w:sz w:val="20"/>
              </w:rPr>
              <w:t xml:space="preserve">Sample / treatment</w:t>
            </w:r>
          </w:p>
        </w:tc>
        <w:tc>
          <w:tcPr/>
          <w:p>
            <w:pPr>
              <w:pStyle w:val="Compact"/>
              <w:spacing w:line="240" w:lineRule="auto"/>
              <w:jc w:val="left"/>
            </w:pPr>
            <w:r>
              <w:rPr>
                <w:sz w:val="20"/>
              </w:rPr>
              <w:t xml:space="preserve">Equation</w:t>
            </w:r>
          </w:p>
        </w:tc>
        <w:tc>
          <w:tcPr/>
          <w:p>
            <w:pPr>
              <w:pStyle w:val="Compact"/>
              <w:spacing w:line="240" w:lineRule="auto"/>
              <w:jc w:val="center"/>
            </w:pPr>
            <w:r>
              <w:rPr>
                <w:sz w:val="20"/>
              </w:rPr>
              <w:t xml:space="preserve">β⁺ (s.e.)</w:t>
            </w:r>
          </w:p>
        </w:tc>
        <w:tc>
          <w:tcPr/>
          <w:p>
            <w:pPr>
              <w:pStyle w:val="Compact"/>
              <w:spacing w:line="240" w:lineRule="auto"/>
              <w:jc w:val="center"/>
            </w:pPr>
            <w:r>
              <w:rPr>
                <w:sz w:val="20"/>
              </w:rPr>
              <w:t xml:space="preserve">β⁻ (s.e.)</w:t>
            </w:r>
          </w:p>
        </w:tc>
        <w:tc>
          <w:tcPr/>
          <w:p>
            <w:pPr>
              <w:pStyle w:val="Compact"/>
              <w:spacing w:line="240" w:lineRule="auto"/>
              <w:jc w:val="right"/>
            </w:pPr>
            <w:r>
              <w:rPr>
                <w:sz w:val="20"/>
              </w:rPr>
              <w:t xml:space="preserve">Wald</w:t>
            </w:r>
            <w:r>
              <w:rPr>
                <w:sz w:val="20"/>
              </w:rPr>
              <w:t xml:space="preserve"> </w:t>
            </w:r>
            <w:r>
              <w:rPr>
                <w:iCs/>
                <w:i/>
                <w:sz w:val="20"/>
              </w:rPr>
              <w:t xml:space="preserve">p</w:t>
            </w:r>
          </w:p>
        </w:tc>
        <w:tc>
          <w:tcPr/>
          <w:p>
            <w:pPr>
              <w:pStyle w:val="Compact"/>
              <w:spacing w:line="240" w:lineRule="auto"/>
              <w:jc w:val="right"/>
            </w:pPr>
            <w:r>
              <w:rPr>
                <w:iCs/>
                <w:i/>
                <w:sz w:val="20"/>
              </w:rPr>
              <w:t xml:space="preserve">N</w:t>
            </w:r>
          </w:p>
        </w:tc>
      </w:tr>
      <w:tr>
        <w:tc>
          <w:tcPr/>
          <w:p>
            <w:pPr>
              <w:pStyle w:val="Compact"/>
              <w:spacing w:line="240" w:lineRule="auto"/>
              <w:jc w:val="left"/>
            </w:pPr>
            <w:r>
              <w:rPr>
                <w:sz w:val="20"/>
              </w:rPr>
              <w:t xml:space="preserve">baseline</w:t>
            </w:r>
          </w:p>
        </w:tc>
        <w:tc>
          <w:tcPr/>
          <w:p>
            <w:pPr>
              <w:pStyle w:val="Compact"/>
              <w:spacing w:line="240" w:lineRule="auto"/>
              <w:jc w:val="left"/>
            </w:pPr>
            <w:r>
              <w:rPr>
                <w:sz w:val="20"/>
              </w:rPr>
              <w:t xml:space="preserve">Expenditure ← GDP</w:t>
            </w:r>
          </w:p>
        </w:tc>
        <w:tc>
          <w:tcPr/>
          <w:p>
            <w:pPr>
              <w:pStyle w:val="Compact"/>
              <w:spacing w:line="240" w:lineRule="auto"/>
              <w:jc w:val="center"/>
            </w:pPr>
            <w:r>
              <w:rPr>
                <w:sz w:val="20"/>
              </w:rPr>
              <w:t xml:space="preserve">0.057 (0.094)</w:t>
            </w:r>
          </w:p>
        </w:tc>
        <w:tc>
          <w:tcPr/>
          <w:p>
            <w:pPr>
              <w:pStyle w:val="Compact"/>
              <w:spacing w:line="240" w:lineRule="auto"/>
              <w:jc w:val="center"/>
            </w:pPr>
            <w:r>
              <w:rPr>
                <w:sz w:val="20"/>
              </w:rPr>
              <w:t xml:space="preserve">-0.205 (0.313)</w:t>
            </w:r>
          </w:p>
        </w:tc>
        <w:tc>
          <w:tcPr/>
          <w:p>
            <w:pPr>
              <w:pStyle w:val="Compact"/>
              <w:spacing w:line="240" w:lineRule="auto"/>
              <w:jc w:val="right"/>
            </w:pPr>
            <w:r>
              <w:rPr>
                <w:sz w:val="20"/>
              </w:rPr>
              <w:t xml:space="preserve">0.435</w:t>
            </w:r>
          </w:p>
        </w:tc>
        <w:tc>
          <w:tcPr/>
          <w:p>
            <w:pPr>
              <w:pStyle w:val="Compact"/>
              <w:spacing w:line="240" w:lineRule="auto"/>
              <w:jc w:val="right"/>
            </w:pPr>
            <w:r>
              <w:rPr>
                <w:sz w:val="20"/>
              </w:rPr>
              <w:t xml:space="preserve">568</w:t>
            </w:r>
          </w:p>
        </w:tc>
      </w:tr>
      <w:tr>
        <w:tc>
          <w:tcPr/>
          <w:p>
            <w:pPr>
              <w:pStyle w:val="Compact"/>
              <w:spacing w:line="240" w:lineRule="auto"/>
              <w:jc w:val="left"/>
            </w:pPr>
            <w:r>
              <w:rPr>
                <w:sz w:val="20"/>
              </w:rPr>
              <w:t xml:space="preserve">baseline</w:t>
            </w:r>
          </w:p>
        </w:tc>
        <w:tc>
          <w:tcPr/>
          <w:p>
            <w:pPr>
              <w:pStyle w:val="Compact"/>
              <w:spacing w:line="240" w:lineRule="auto"/>
              <w:jc w:val="left"/>
            </w:pPr>
            <w:r>
              <w:rPr>
                <w:sz w:val="20"/>
              </w:rPr>
              <w:t xml:space="preserve">Expenditure ← own revenue</w:t>
            </w:r>
          </w:p>
        </w:tc>
        <w:tc>
          <w:tcPr/>
          <w:p>
            <w:pPr>
              <w:pStyle w:val="Compact"/>
              <w:spacing w:line="240" w:lineRule="auto"/>
              <w:jc w:val="center"/>
            </w:pPr>
            <w:r>
              <w:rPr>
                <w:sz w:val="20"/>
              </w:rPr>
              <w:t xml:space="preserve">0.037 (0.037)</w:t>
            </w:r>
          </w:p>
        </w:tc>
        <w:tc>
          <w:tcPr/>
          <w:p>
            <w:pPr>
              <w:pStyle w:val="Compact"/>
              <w:spacing w:line="240" w:lineRule="auto"/>
              <w:jc w:val="center"/>
            </w:pPr>
            <w:r>
              <w:rPr>
                <w:sz w:val="20"/>
              </w:rPr>
              <w:t xml:space="preserve">-0.011 (0.067)</w:t>
            </w:r>
          </w:p>
        </w:tc>
        <w:tc>
          <w:tcPr/>
          <w:p>
            <w:pPr>
              <w:pStyle w:val="Compact"/>
              <w:spacing w:line="240" w:lineRule="auto"/>
              <w:jc w:val="right"/>
            </w:pPr>
            <w:r>
              <w:rPr>
                <w:sz w:val="20"/>
              </w:rPr>
              <w:t xml:space="preserve">0.570</w:t>
            </w:r>
          </w:p>
        </w:tc>
        <w:tc>
          <w:tcPr/>
          <w:p>
            <w:pPr>
              <w:pStyle w:val="Compact"/>
              <w:spacing w:line="240" w:lineRule="auto"/>
              <w:jc w:val="right"/>
            </w:pPr>
            <w:r>
              <w:rPr>
                <w:sz w:val="20"/>
              </w:rPr>
              <w:t xml:space="preserve">536</w:t>
            </w:r>
          </w:p>
        </w:tc>
      </w:tr>
      <w:tr>
        <w:tc>
          <w:tcPr/>
          <w:p>
            <w:pPr>
              <w:pStyle w:val="Compact"/>
              <w:spacing w:line="240" w:lineRule="auto"/>
              <w:jc w:val="left"/>
            </w:pPr>
            <w:r>
              <w:rPr>
                <w:sz w:val="20"/>
              </w:rPr>
              <w:t xml:space="preserve">excl. level-shift counties</w:t>
            </w:r>
          </w:p>
        </w:tc>
        <w:tc>
          <w:tcPr/>
          <w:p>
            <w:pPr>
              <w:pStyle w:val="Compact"/>
              <w:spacing w:line="240" w:lineRule="auto"/>
              <w:jc w:val="left"/>
            </w:pPr>
            <w:r>
              <w:rPr>
                <w:sz w:val="20"/>
              </w:rPr>
              <w:t xml:space="preserve">Expenditure ← GDP</w:t>
            </w:r>
          </w:p>
        </w:tc>
        <w:tc>
          <w:tcPr/>
          <w:p>
            <w:pPr>
              <w:pStyle w:val="Compact"/>
              <w:spacing w:line="240" w:lineRule="auto"/>
              <w:jc w:val="center"/>
            </w:pPr>
            <w:r>
              <w:rPr>
                <w:sz w:val="20"/>
              </w:rPr>
              <w:t xml:space="preserve">0.224* (0.124)</w:t>
            </w:r>
          </w:p>
        </w:tc>
        <w:tc>
          <w:tcPr/>
          <w:p>
            <w:pPr>
              <w:pStyle w:val="Compact"/>
              <w:spacing w:line="240" w:lineRule="auto"/>
              <w:jc w:val="center"/>
            </w:pPr>
            <w:r>
              <w:rPr>
                <w:sz w:val="20"/>
              </w:rPr>
              <w:t xml:space="preserve">-0.377 (0.325)</w:t>
            </w:r>
          </w:p>
        </w:tc>
        <w:tc>
          <w:tcPr/>
          <w:p>
            <w:pPr>
              <w:pStyle w:val="Compact"/>
              <w:spacing w:line="240" w:lineRule="auto"/>
              <w:jc w:val="right"/>
            </w:pPr>
            <w:r>
              <w:rPr>
                <w:sz w:val="20"/>
              </w:rPr>
              <w:t xml:space="preserve">0.086</w:t>
            </w:r>
          </w:p>
        </w:tc>
        <w:tc>
          <w:tcPr/>
          <w:p>
            <w:pPr>
              <w:pStyle w:val="Compact"/>
              <w:spacing w:line="240" w:lineRule="auto"/>
              <w:jc w:val="right"/>
            </w:pPr>
            <w:r>
              <w:rPr>
                <w:sz w:val="20"/>
              </w:rPr>
              <w:t xml:space="preserve">553</w:t>
            </w:r>
          </w:p>
        </w:tc>
      </w:tr>
      <w:tr>
        <w:tc>
          <w:tcPr/>
          <w:p>
            <w:pPr>
              <w:pStyle w:val="Compact"/>
              <w:spacing w:line="240" w:lineRule="auto"/>
              <w:jc w:val="left"/>
            </w:pPr>
            <w:r>
              <w:rPr>
                <w:sz w:val="20"/>
              </w:rPr>
              <w:t xml:space="preserve">excl. level-shift counties</w:t>
            </w:r>
          </w:p>
        </w:tc>
        <w:tc>
          <w:tcPr/>
          <w:p>
            <w:pPr>
              <w:pStyle w:val="Compact"/>
              <w:spacing w:line="240" w:lineRule="auto"/>
              <w:jc w:val="left"/>
            </w:pPr>
            <w:r>
              <w:rPr>
                <w:sz w:val="20"/>
              </w:rPr>
              <w:t xml:space="preserve">Expenditure ← own revenue</w:t>
            </w:r>
          </w:p>
        </w:tc>
        <w:tc>
          <w:tcPr/>
          <w:p>
            <w:pPr>
              <w:pStyle w:val="Compact"/>
              <w:spacing w:line="240" w:lineRule="auto"/>
              <w:jc w:val="center"/>
            </w:pPr>
            <w:r>
              <w:rPr>
                <w:sz w:val="20"/>
              </w:rPr>
              <w:t xml:space="preserve">0.041 (0.037)</w:t>
            </w:r>
          </w:p>
        </w:tc>
        <w:tc>
          <w:tcPr/>
          <w:p>
            <w:pPr>
              <w:pStyle w:val="Compact"/>
              <w:spacing w:line="240" w:lineRule="auto"/>
              <w:jc w:val="center"/>
            </w:pPr>
            <w:r>
              <w:rPr>
                <w:sz w:val="20"/>
              </w:rPr>
              <w:t xml:space="preserve">-0.009 (0.068)</w:t>
            </w:r>
          </w:p>
        </w:tc>
        <w:tc>
          <w:tcPr/>
          <w:p>
            <w:pPr>
              <w:pStyle w:val="Compact"/>
              <w:spacing w:line="240" w:lineRule="auto"/>
              <w:jc w:val="right"/>
            </w:pPr>
            <w:r>
              <w:rPr>
                <w:sz w:val="20"/>
              </w:rPr>
              <w:t xml:space="preserve">0.564</w:t>
            </w:r>
          </w:p>
        </w:tc>
        <w:tc>
          <w:tcPr/>
          <w:p>
            <w:pPr>
              <w:pStyle w:val="Compact"/>
              <w:spacing w:line="240" w:lineRule="auto"/>
              <w:jc w:val="right"/>
            </w:pPr>
            <w:r>
              <w:rPr>
                <w:sz w:val="20"/>
              </w:rPr>
              <w:t xml:space="preserve">523</w:t>
            </w:r>
          </w:p>
        </w:tc>
      </w:tr>
      <w:tr>
        <w:tc>
          <w:tcPr/>
          <w:p>
            <w:pPr>
              <w:pStyle w:val="Compact"/>
              <w:spacing w:line="240" w:lineRule="auto"/>
              <w:jc w:val="left"/>
            </w:pPr>
            <w:r>
              <w:rPr>
                <w:sz w:val="20"/>
              </w:rPr>
              <w:t xml:space="preserve">excl. Lhasa prefecture</w:t>
            </w:r>
          </w:p>
        </w:tc>
        <w:tc>
          <w:tcPr/>
          <w:p>
            <w:pPr>
              <w:pStyle w:val="Compact"/>
              <w:spacing w:line="240" w:lineRule="auto"/>
              <w:jc w:val="left"/>
            </w:pPr>
            <w:r>
              <w:rPr>
                <w:sz w:val="20"/>
              </w:rPr>
              <w:t xml:space="preserve">Expenditure ← GDP</w:t>
            </w:r>
          </w:p>
        </w:tc>
        <w:tc>
          <w:tcPr/>
          <w:p>
            <w:pPr>
              <w:pStyle w:val="Compact"/>
              <w:spacing w:line="240" w:lineRule="auto"/>
              <w:jc w:val="center"/>
            </w:pPr>
            <w:r>
              <w:rPr>
                <w:sz w:val="20"/>
              </w:rPr>
              <w:t xml:space="preserve">0.008 (0.072)</w:t>
            </w:r>
          </w:p>
        </w:tc>
        <w:tc>
          <w:tcPr/>
          <w:p>
            <w:pPr>
              <w:pStyle w:val="Compact"/>
              <w:spacing w:line="240" w:lineRule="auto"/>
              <w:jc w:val="center"/>
            </w:pPr>
            <w:r>
              <w:rPr>
                <w:sz w:val="20"/>
              </w:rPr>
              <w:t xml:space="preserve">-0.596 (0.567)</w:t>
            </w:r>
          </w:p>
        </w:tc>
        <w:tc>
          <w:tcPr/>
          <w:p>
            <w:pPr>
              <w:pStyle w:val="Compact"/>
              <w:spacing w:line="240" w:lineRule="auto"/>
              <w:jc w:val="right"/>
            </w:pPr>
            <w:r>
              <w:rPr>
                <w:sz w:val="20"/>
              </w:rPr>
              <w:t xml:space="preserve">0.283</w:t>
            </w:r>
          </w:p>
        </w:tc>
        <w:tc>
          <w:tcPr/>
          <w:p>
            <w:pPr>
              <w:pStyle w:val="Compact"/>
              <w:spacing w:line="240" w:lineRule="auto"/>
              <w:jc w:val="right"/>
            </w:pPr>
            <w:r>
              <w:rPr>
                <w:sz w:val="20"/>
              </w:rPr>
              <w:t xml:space="preserve">512</w:t>
            </w:r>
          </w:p>
        </w:tc>
      </w:tr>
      <w:tr>
        <w:tc>
          <w:tcPr/>
          <w:p>
            <w:pPr>
              <w:pStyle w:val="Compact"/>
              <w:spacing w:line="240" w:lineRule="auto"/>
              <w:jc w:val="left"/>
            </w:pPr>
            <w:r>
              <w:rPr>
                <w:sz w:val="20"/>
              </w:rPr>
              <w:t xml:space="preserve">excl. Lhasa prefecture</w:t>
            </w:r>
          </w:p>
        </w:tc>
        <w:tc>
          <w:tcPr/>
          <w:p>
            <w:pPr>
              <w:pStyle w:val="Compact"/>
              <w:spacing w:line="240" w:lineRule="auto"/>
              <w:jc w:val="left"/>
            </w:pPr>
            <w:r>
              <w:rPr>
                <w:sz w:val="20"/>
              </w:rPr>
              <w:t xml:space="preserve">Expenditure ← own revenue</w:t>
            </w:r>
          </w:p>
        </w:tc>
        <w:tc>
          <w:tcPr/>
          <w:p>
            <w:pPr>
              <w:pStyle w:val="Compact"/>
              <w:spacing w:line="240" w:lineRule="auto"/>
              <w:jc w:val="center"/>
            </w:pPr>
            <w:r>
              <w:rPr>
                <w:sz w:val="20"/>
              </w:rPr>
              <w:t xml:space="preserve">0.036 (0.035)</w:t>
            </w:r>
          </w:p>
        </w:tc>
        <w:tc>
          <w:tcPr/>
          <w:p>
            <w:pPr>
              <w:pStyle w:val="Compact"/>
              <w:spacing w:line="240" w:lineRule="auto"/>
              <w:jc w:val="center"/>
            </w:pPr>
            <w:r>
              <w:rPr>
                <w:sz w:val="20"/>
              </w:rPr>
              <w:t xml:space="preserve">-0.044 (0.066)</w:t>
            </w:r>
          </w:p>
        </w:tc>
        <w:tc>
          <w:tcPr/>
          <w:p>
            <w:pPr>
              <w:pStyle w:val="Compact"/>
              <w:spacing w:line="240" w:lineRule="auto"/>
              <w:jc w:val="right"/>
            </w:pPr>
            <w:r>
              <w:rPr>
                <w:sz w:val="20"/>
              </w:rPr>
              <w:t xml:space="preserve">0.348</w:t>
            </w:r>
          </w:p>
        </w:tc>
        <w:tc>
          <w:tcPr/>
          <w:p>
            <w:pPr>
              <w:pStyle w:val="Compact"/>
              <w:spacing w:line="240" w:lineRule="auto"/>
              <w:jc w:val="right"/>
            </w:pPr>
            <w:r>
              <w:rPr>
                <w:sz w:val="20"/>
              </w:rPr>
              <w:t xml:space="preserve">484</w:t>
            </w:r>
          </w:p>
        </w:tc>
      </w:tr>
      <w:tr>
        <w:tc>
          <w:tcPr/>
          <w:p>
            <w:pPr>
              <w:pStyle w:val="Compact"/>
              <w:spacing w:line="240" w:lineRule="auto"/>
              <w:jc w:val="left"/>
            </w:pPr>
            <w:r>
              <w:rPr>
                <w:sz w:val="20"/>
              </w:rPr>
              <w:t xml:space="preserve">excl. 2020-2022</w:t>
            </w:r>
          </w:p>
        </w:tc>
        <w:tc>
          <w:tcPr/>
          <w:p>
            <w:pPr>
              <w:pStyle w:val="Compact"/>
              <w:spacing w:line="240" w:lineRule="auto"/>
              <w:jc w:val="left"/>
            </w:pPr>
            <w:r>
              <w:rPr>
                <w:sz w:val="20"/>
              </w:rPr>
              <w:t xml:space="preserve">Expenditure ← GDP</w:t>
            </w:r>
          </w:p>
        </w:tc>
        <w:tc>
          <w:tcPr/>
          <w:p>
            <w:pPr>
              <w:pStyle w:val="Compact"/>
              <w:spacing w:line="240" w:lineRule="auto"/>
              <w:jc w:val="center"/>
            </w:pPr>
            <w:r>
              <w:rPr>
                <w:sz w:val="20"/>
              </w:rPr>
              <w:t xml:space="preserve">0.188 (0.163)</w:t>
            </w:r>
          </w:p>
        </w:tc>
        <w:tc>
          <w:tcPr/>
          <w:p>
            <w:pPr>
              <w:pStyle w:val="Compact"/>
              <w:spacing w:line="240" w:lineRule="auto"/>
              <w:jc w:val="center"/>
            </w:pPr>
            <w:r>
              <w:rPr>
                <w:sz w:val="20"/>
              </w:rPr>
              <w:t xml:space="preserve">-0.360 (0.353)</w:t>
            </w:r>
          </w:p>
        </w:tc>
        <w:tc>
          <w:tcPr/>
          <w:p>
            <w:pPr>
              <w:pStyle w:val="Compact"/>
              <w:spacing w:line="240" w:lineRule="auto"/>
              <w:jc w:val="right"/>
            </w:pPr>
            <w:r>
              <w:rPr>
                <w:sz w:val="20"/>
              </w:rPr>
              <w:t xml:space="preserve">0.204</w:t>
            </w:r>
          </w:p>
        </w:tc>
        <w:tc>
          <w:tcPr/>
          <w:p>
            <w:pPr>
              <w:pStyle w:val="Compact"/>
              <w:spacing w:line="240" w:lineRule="auto"/>
              <w:jc w:val="right"/>
            </w:pPr>
            <w:r>
              <w:rPr>
                <w:sz w:val="20"/>
              </w:rPr>
              <w:t xml:space="preserve">351</w:t>
            </w:r>
          </w:p>
        </w:tc>
      </w:tr>
      <w:tr>
        <w:tc>
          <w:tcPr/>
          <w:p>
            <w:pPr>
              <w:pStyle w:val="Compact"/>
              <w:spacing w:line="240" w:lineRule="auto"/>
              <w:jc w:val="left"/>
            </w:pPr>
            <w:r>
              <w:rPr>
                <w:sz w:val="20"/>
              </w:rPr>
              <w:t xml:space="preserve">excl. 2020-2022</w:t>
            </w:r>
          </w:p>
        </w:tc>
        <w:tc>
          <w:tcPr/>
          <w:p>
            <w:pPr>
              <w:pStyle w:val="Compact"/>
              <w:spacing w:line="240" w:lineRule="auto"/>
              <w:jc w:val="left"/>
            </w:pPr>
            <w:r>
              <w:rPr>
                <w:sz w:val="20"/>
              </w:rPr>
              <w:t xml:space="preserve">Expenditure ← own revenue</w:t>
            </w:r>
          </w:p>
        </w:tc>
        <w:tc>
          <w:tcPr/>
          <w:p>
            <w:pPr>
              <w:pStyle w:val="Compact"/>
              <w:spacing w:line="240" w:lineRule="auto"/>
              <w:jc w:val="center"/>
            </w:pPr>
            <w:r>
              <w:rPr>
                <w:sz w:val="20"/>
              </w:rPr>
              <w:t xml:space="preserve">0.060 (0.060)</w:t>
            </w:r>
          </w:p>
        </w:tc>
        <w:tc>
          <w:tcPr/>
          <w:p>
            <w:pPr>
              <w:pStyle w:val="Compact"/>
              <w:spacing w:line="240" w:lineRule="auto"/>
              <w:jc w:val="center"/>
            </w:pPr>
            <w:r>
              <w:rPr>
                <w:sz w:val="20"/>
              </w:rPr>
              <w:t xml:space="preserve">0.068 (0.135)</w:t>
            </w:r>
          </w:p>
        </w:tc>
        <w:tc>
          <w:tcPr/>
          <w:p>
            <w:pPr>
              <w:pStyle w:val="Compact"/>
              <w:spacing w:line="240" w:lineRule="auto"/>
              <w:jc w:val="right"/>
            </w:pPr>
            <w:r>
              <w:rPr>
                <w:sz w:val="20"/>
              </w:rPr>
              <w:t xml:space="preserve">0.963</w:t>
            </w:r>
          </w:p>
        </w:tc>
        <w:tc>
          <w:tcPr/>
          <w:p>
            <w:pPr>
              <w:pStyle w:val="Compact"/>
              <w:spacing w:line="240" w:lineRule="auto"/>
              <w:jc w:val="right"/>
            </w:pPr>
            <w:r>
              <w:rPr>
                <w:sz w:val="20"/>
              </w:rPr>
              <w:t xml:space="preserve">323</w:t>
            </w:r>
          </w:p>
        </w:tc>
      </w:tr>
      <w:tr>
        <w:tc>
          <w:tcPr/>
          <w:p>
            <w:pPr>
              <w:pStyle w:val="Compact"/>
              <w:spacing w:line="240" w:lineRule="auto"/>
              <w:jc w:val="left"/>
            </w:pPr>
            <w:r>
              <w:rPr>
                <w:sz w:val="20"/>
              </w:rPr>
              <w:t xml:space="preserve">winsorised 2.5/97.5</w:t>
            </w:r>
          </w:p>
        </w:tc>
        <w:tc>
          <w:tcPr/>
          <w:p>
            <w:pPr>
              <w:pStyle w:val="Compact"/>
              <w:spacing w:line="240" w:lineRule="auto"/>
              <w:jc w:val="left"/>
            </w:pPr>
            <w:r>
              <w:rPr>
                <w:sz w:val="20"/>
              </w:rPr>
              <w:t xml:space="preserve">Expenditure ← GDP</w:t>
            </w:r>
          </w:p>
        </w:tc>
        <w:tc>
          <w:tcPr/>
          <w:p>
            <w:pPr>
              <w:pStyle w:val="Compact"/>
              <w:spacing w:line="240" w:lineRule="auto"/>
              <w:jc w:val="center"/>
            </w:pPr>
            <w:r>
              <w:rPr>
                <w:sz w:val="20"/>
              </w:rPr>
              <w:t xml:space="preserve">0.149 (0.124)</w:t>
            </w:r>
          </w:p>
        </w:tc>
        <w:tc>
          <w:tcPr/>
          <w:p>
            <w:pPr>
              <w:pStyle w:val="Compact"/>
              <w:spacing w:line="240" w:lineRule="auto"/>
              <w:jc w:val="center"/>
            </w:pPr>
            <w:r>
              <w:rPr>
                <w:sz w:val="20"/>
              </w:rPr>
              <w:t xml:space="preserve">-0.631 (1.171)</w:t>
            </w:r>
          </w:p>
        </w:tc>
        <w:tc>
          <w:tcPr/>
          <w:p>
            <w:pPr>
              <w:pStyle w:val="Compact"/>
              <w:spacing w:line="240" w:lineRule="auto"/>
              <w:jc w:val="right"/>
            </w:pPr>
            <w:r>
              <w:rPr>
                <w:sz w:val="20"/>
              </w:rPr>
              <w:t xml:space="preserve">0.518</w:t>
            </w:r>
          </w:p>
        </w:tc>
        <w:tc>
          <w:tcPr/>
          <w:p>
            <w:pPr>
              <w:pStyle w:val="Compact"/>
              <w:spacing w:line="240" w:lineRule="auto"/>
              <w:jc w:val="right"/>
            </w:pPr>
            <w:r>
              <w:rPr>
                <w:sz w:val="20"/>
              </w:rPr>
              <w:t xml:space="preserve">568</w:t>
            </w:r>
          </w:p>
        </w:tc>
      </w:tr>
      <w:tr>
        <w:tc>
          <w:tcPr/>
          <w:p>
            <w:pPr>
              <w:pStyle w:val="Compact"/>
              <w:spacing w:line="240" w:lineRule="auto"/>
              <w:jc w:val="left"/>
            </w:pPr>
            <w:r>
              <w:rPr>
                <w:sz w:val="20"/>
              </w:rPr>
              <w:t xml:space="preserve">winsorised 2.5/97.5</w:t>
            </w:r>
          </w:p>
        </w:tc>
        <w:tc>
          <w:tcPr/>
          <w:p>
            <w:pPr>
              <w:pStyle w:val="Compact"/>
              <w:spacing w:line="240" w:lineRule="auto"/>
              <w:jc w:val="left"/>
            </w:pPr>
            <w:r>
              <w:rPr>
                <w:sz w:val="20"/>
              </w:rPr>
              <w:t xml:space="preserve">Expenditure ← own revenue</w:t>
            </w:r>
          </w:p>
        </w:tc>
        <w:tc>
          <w:tcPr/>
          <w:p>
            <w:pPr>
              <w:pStyle w:val="Compact"/>
              <w:spacing w:line="240" w:lineRule="auto"/>
              <w:jc w:val="center"/>
            </w:pPr>
            <w:r>
              <w:rPr>
                <w:sz w:val="20"/>
              </w:rPr>
              <w:t xml:space="preserve">0.034 (0.045)</w:t>
            </w:r>
          </w:p>
        </w:tc>
        <w:tc>
          <w:tcPr/>
          <w:p>
            <w:pPr>
              <w:pStyle w:val="Compact"/>
              <w:spacing w:line="240" w:lineRule="auto"/>
              <w:jc w:val="center"/>
            </w:pPr>
            <w:r>
              <w:rPr>
                <w:sz w:val="20"/>
              </w:rPr>
              <w:t xml:space="preserve">-0.004 (0.075)</w:t>
            </w:r>
          </w:p>
        </w:tc>
        <w:tc>
          <w:tcPr/>
          <w:p>
            <w:pPr>
              <w:pStyle w:val="Compact"/>
              <w:spacing w:line="240" w:lineRule="auto"/>
              <w:jc w:val="right"/>
            </w:pPr>
            <w:r>
              <w:rPr>
                <w:sz w:val="20"/>
              </w:rPr>
              <w:t xml:space="preserve">0.709</w:t>
            </w:r>
          </w:p>
        </w:tc>
        <w:tc>
          <w:tcPr/>
          <w:p>
            <w:pPr>
              <w:pStyle w:val="Compact"/>
              <w:spacing w:line="240" w:lineRule="auto"/>
              <w:jc w:val="right"/>
            </w:pPr>
            <w:r>
              <w:rPr>
                <w:sz w:val="20"/>
              </w:rPr>
              <w:t xml:space="preserve">536</w:t>
            </w:r>
          </w:p>
        </w:tc>
      </w:tr>
      <w:tr>
        <w:tc>
          <w:tcPr/>
          <w:p>
            <w:pPr>
              <w:pStyle w:val="Compact"/>
              <w:spacing w:line="240" w:lineRule="auto"/>
              <w:jc w:val="left"/>
            </w:pPr>
            <w:r>
              <w:rPr>
                <w:sz w:val="20"/>
              </w:rPr>
              <w:t xml:space="preserve">uncleaned raw data</w:t>
            </w:r>
          </w:p>
        </w:tc>
        <w:tc>
          <w:tcPr/>
          <w:p>
            <w:pPr>
              <w:pStyle w:val="Compact"/>
              <w:spacing w:line="240" w:lineRule="auto"/>
              <w:jc w:val="left"/>
            </w:pPr>
            <w:r>
              <w:rPr>
                <w:sz w:val="20"/>
              </w:rPr>
              <w:t xml:space="preserve">Expenditure ← GDP</w:t>
            </w:r>
          </w:p>
        </w:tc>
        <w:tc>
          <w:tcPr/>
          <w:p>
            <w:pPr>
              <w:pStyle w:val="Compact"/>
              <w:spacing w:line="240" w:lineRule="auto"/>
              <w:jc w:val="center"/>
            </w:pPr>
            <w:r>
              <w:rPr>
                <w:sz w:val="20"/>
              </w:rPr>
              <w:t xml:space="preserve">0.091 (0.079)</w:t>
            </w:r>
          </w:p>
        </w:tc>
        <w:tc>
          <w:tcPr/>
          <w:p>
            <w:pPr>
              <w:pStyle w:val="Compact"/>
              <w:spacing w:line="240" w:lineRule="auto"/>
              <w:jc w:val="center"/>
            </w:pPr>
            <w:r>
              <w:rPr>
                <w:sz w:val="20"/>
              </w:rPr>
              <w:t xml:space="preserve">-0.173 (0.324)</w:t>
            </w:r>
          </w:p>
        </w:tc>
        <w:tc>
          <w:tcPr/>
          <w:p>
            <w:pPr>
              <w:pStyle w:val="Compact"/>
              <w:spacing w:line="240" w:lineRule="auto"/>
              <w:jc w:val="right"/>
            </w:pPr>
            <w:r>
              <w:rPr>
                <w:sz w:val="20"/>
              </w:rPr>
              <w:t xml:space="preserve">0.437</w:t>
            </w:r>
          </w:p>
        </w:tc>
        <w:tc>
          <w:tcPr/>
          <w:p>
            <w:pPr>
              <w:pStyle w:val="Compact"/>
              <w:spacing w:line="240" w:lineRule="auto"/>
              <w:jc w:val="right"/>
            </w:pPr>
            <w:r>
              <w:rPr>
                <w:sz w:val="20"/>
              </w:rPr>
              <w:t xml:space="preserve">571</w:t>
            </w:r>
          </w:p>
        </w:tc>
      </w:tr>
      <w:tr>
        <w:tc>
          <w:tcPr/>
          <w:p>
            <w:pPr>
              <w:pStyle w:val="Compact"/>
              <w:spacing w:line="240" w:lineRule="auto"/>
              <w:jc w:val="left"/>
            </w:pPr>
            <w:r>
              <w:rPr>
                <w:sz w:val="20"/>
              </w:rPr>
              <w:t xml:space="preserve">uncleaned raw data</w:t>
            </w:r>
          </w:p>
        </w:tc>
        <w:tc>
          <w:tcPr/>
          <w:p>
            <w:pPr>
              <w:pStyle w:val="Compact"/>
              <w:spacing w:line="240" w:lineRule="auto"/>
              <w:jc w:val="left"/>
            </w:pPr>
            <w:r>
              <w:rPr>
                <w:sz w:val="20"/>
              </w:rPr>
              <w:t xml:space="preserve">Expenditure ← own revenue</w:t>
            </w:r>
          </w:p>
        </w:tc>
        <w:tc>
          <w:tcPr/>
          <w:p>
            <w:pPr>
              <w:pStyle w:val="Compact"/>
              <w:spacing w:line="240" w:lineRule="auto"/>
              <w:jc w:val="center"/>
            </w:pPr>
            <w:r>
              <w:rPr>
                <w:sz w:val="20"/>
              </w:rPr>
              <w:t xml:space="preserve">-0.009 (0.036)</w:t>
            </w:r>
          </w:p>
        </w:tc>
        <w:tc>
          <w:tcPr/>
          <w:p>
            <w:pPr>
              <w:pStyle w:val="Compact"/>
              <w:spacing w:line="240" w:lineRule="auto"/>
              <w:jc w:val="center"/>
            </w:pPr>
            <w:r>
              <w:rPr>
                <w:sz w:val="20"/>
              </w:rPr>
              <w:t xml:space="preserve">0.046 (0.049)</w:t>
            </w:r>
          </w:p>
        </w:tc>
        <w:tc>
          <w:tcPr/>
          <w:p>
            <w:pPr>
              <w:pStyle w:val="Compact"/>
              <w:spacing w:line="240" w:lineRule="auto"/>
              <w:jc w:val="right"/>
            </w:pPr>
            <w:r>
              <w:rPr>
                <w:sz w:val="20"/>
              </w:rPr>
              <w:t xml:space="preserve">0.302</w:t>
            </w:r>
          </w:p>
        </w:tc>
        <w:tc>
          <w:tcPr/>
          <w:p>
            <w:pPr>
              <w:pStyle w:val="Compact"/>
              <w:spacing w:line="240" w:lineRule="auto"/>
              <w:jc w:val="right"/>
            </w:pPr>
            <w:r>
              <w:rPr>
                <w:sz w:val="20"/>
              </w:rPr>
              <w:t xml:space="preserve">553</w:t>
            </w:r>
          </w:p>
        </w:tc>
      </w:tr>
      <w:tr>
        <w:tc>
          <w:tcPr/>
          <w:p>
            <w:pPr>
              <w:pStyle w:val="Compact"/>
              <w:spacing w:line="240" w:lineRule="auto"/>
              <w:jc w:val="left"/>
            </w:pPr>
            <w:r>
              <w:rPr>
                <w:sz w:val="20"/>
              </w:rPr>
              <w:t xml:space="preserve">baseline</w:t>
            </w:r>
          </w:p>
        </w:tc>
        <w:tc>
          <w:tcPr/>
          <w:p>
            <w:pPr>
              <w:pStyle w:val="Compact"/>
              <w:spacing w:line="240" w:lineRule="auto"/>
              <w:jc w:val="left"/>
            </w:pPr>
            <w:r>
              <w:rPr>
                <w:sz w:val="20"/>
              </w:rPr>
              <w:t xml:space="preserve">Expenditure p.c. ← GDP</w:t>
            </w:r>
          </w:p>
        </w:tc>
        <w:tc>
          <w:tcPr/>
          <w:p>
            <w:pPr>
              <w:pStyle w:val="Compact"/>
              <w:spacing w:line="240" w:lineRule="auto"/>
              <w:jc w:val="center"/>
            </w:pPr>
            <w:r>
              <w:rPr>
                <w:sz w:val="20"/>
              </w:rPr>
              <w:t xml:space="preserve">0.107 (0.085)</w:t>
            </w:r>
          </w:p>
        </w:tc>
        <w:tc>
          <w:tcPr/>
          <w:p>
            <w:pPr>
              <w:pStyle w:val="Compact"/>
              <w:spacing w:line="240" w:lineRule="auto"/>
              <w:jc w:val="center"/>
            </w:pPr>
            <w:r>
              <w:rPr>
                <w:sz w:val="20"/>
              </w:rPr>
              <w:t xml:space="preserve">-0.815 (0.532)</w:t>
            </w:r>
          </w:p>
        </w:tc>
        <w:tc>
          <w:tcPr/>
          <w:p>
            <w:pPr>
              <w:pStyle w:val="Compact"/>
              <w:spacing w:line="240" w:lineRule="auto"/>
              <w:jc w:val="right"/>
            </w:pPr>
            <w:r>
              <w:rPr>
                <w:sz w:val="20"/>
              </w:rPr>
              <w:t xml:space="preserve">0.105</w:t>
            </w:r>
          </w:p>
        </w:tc>
        <w:tc>
          <w:tcPr/>
          <w:p>
            <w:pPr>
              <w:pStyle w:val="Compact"/>
              <w:spacing w:line="240" w:lineRule="auto"/>
              <w:jc w:val="right"/>
            </w:pPr>
            <w:r>
              <w:rPr>
                <w:sz w:val="20"/>
              </w:rPr>
              <w:t xml:space="preserve">568</w:t>
            </w:r>
          </w:p>
        </w:tc>
      </w:tr>
      <w:tr>
        <w:tc>
          <w:tcPr/>
          <w:p>
            <w:pPr>
              <w:pStyle w:val="Compact"/>
              <w:spacing w:line="240" w:lineRule="auto"/>
              <w:jc w:val="left"/>
            </w:pPr>
            <w:r>
              <w:rPr>
                <w:sz w:val="20"/>
              </w:rPr>
              <w:t xml:space="preserve">baseline</w:t>
            </w:r>
          </w:p>
        </w:tc>
        <w:tc>
          <w:tcPr/>
          <w:p>
            <w:pPr>
              <w:pStyle w:val="Compact"/>
              <w:spacing w:line="240" w:lineRule="auto"/>
              <w:jc w:val="left"/>
            </w:pPr>
            <w:r>
              <w:rPr>
                <w:sz w:val="20"/>
              </w:rPr>
              <w:t xml:space="preserve">Own revenue ← GDP</w:t>
            </w:r>
          </w:p>
        </w:tc>
        <w:tc>
          <w:tcPr/>
          <w:p>
            <w:pPr>
              <w:pStyle w:val="Compact"/>
              <w:spacing w:line="240" w:lineRule="auto"/>
              <w:jc w:val="center"/>
            </w:pPr>
            <w:r>
              <w:rPr>
                <w:sz w:val="20"/>
              </w:rPr>
              <w:t xml:space="preserve">0.376*** (0.097)</w:t>
            </w:r>
          </w:p>
        </w:tc>
        <w:tc>
          <w:tcPr/>
          <w:p>
            <w:pPr>
              <w:pStyle w:val="Compact"/>
              <w:spacing w:line="240" w:lineRule="auto"/>
              <w:jc w:val="center"/>
            </w:pPr>
            <w:r>
              <w:rPr>
                <w:sz w:val="20"/>
              </w:rPr>
              <w:t xml:space="preserve">-1.366** (0.586)</w:t>
            </w:r>
          </w:p>
        </w:tc>
        <w:tc>
          <w:tcPr/>
          <w:p>
            <w:pPr>
              <w:pStyle w:val="Compact"/>
              <w:spacing w:line="240" w:lineRule="auto"/>
              <w:jc w:val="right"/>
            </w:pPr>
            <w:r>
              <w:rPr>
                <w:sz w:val="20"/>
              </w:rPr>
              <w:t xml:space="preserve">0.003</w:t>
            </w:r>
          </w:p>
        </w:tc>
        <w:tc>
          <w:tcPr/>
          <w:p>
            <w:pPr>
              <w:pStyle w:val="Compact"/>
              <w:spacing w:line="240" w:lineRule="auto"/>
              <w:jc w:val="right"/>
            </w:pPr>
            <w:r>
              <w:rPr>
                <w:sz w:val="20"/>
              </w:rPr>
              <w:t xml:space="preserve">552</w:t>
            </w:r>
          </w:p>
        </w:tc>
      </w:tr>
      <w:tr>
        <w:tc>
          <w:tcPr/>
          <w:p>
            <w:pPr>
              <w:pStyle w:val="Compact"/>
              <w:spacing w:line="240" w:lineRule="auto"/>
              <w:jc w:val="left"/>
            </w:pPr>
            <w:r>
              <w:rPr>
                <w:sz w:val="20"/>
              </w:rPr>
              <w:t xml:space="preserve">excl. level-shift counties</w:t>
            </w:r>
          </w:p>
        </w:tc>
        <w:tc>
          <w:tcPr/>
          <w:p>
            <w:pPr>
              <w:pStyle w:val="Compact"/>
              <w:spacing w:line="240" w:lineRule="auto"/>
              <w:jc w:val="left"/>
            </w:pPr>
            <w:r>
              <w:rPr>
                <w:sz w:val="20"/>
              </w:rPr>
              <w:t xml:space="preserve">Own revenue ← GDP</w:t>
            </w:r>
          </w:p>
        </w:tc>
        <w:tc>
          <w:tcPr/>
          <w:p>
            <w:pPr>
              <w:pStyle w:val="Compact"/>
              <w:spacing w:line="240" w:lineRule="auto"/>
              <w:jc w:val="center"/>
            </w:pPr>
            <w:r>
              <w:rPr>
                <w:sz w:val="20"/>
              </w:rPr>
              <w:t xml:space="preserve">0.378** (0.185)</w:t>
            </w:r>
          </w:p>
        </w:tc>
        <w:tc>
          <w:tcPr/>
          <w:p>
            <w:pPr>
              <w:pStyle w:val="Compact"/>
              <w:spacing w:line="240" w:lineRule="auto"/>
              <w:jc w:val="center"/>
            </w:pPr>
            <w:r>
              <w:rPr>
                <w:sz w:val="20"/>
              </w:rPr>
              <w:t xml:space="preserve">-1.323** (0.614)</w:t>
            </w:r>
          </w:p>
        </w:tc>
        <w:tc>
          <w:tcPr/>
          <w:p>
            <w:pPr>
              <w:pStyle w:val="Compact"/>
              <w:spacing w:line="240" w:lineRule="auto"/>
              <w:jc w:val="right"/>
            </w:pPr>
            <w:r>
              <w:rPr>
                <w:sz w:val="20"/>
              </w:rPr>
              <w:t xml:space="preserve">0.010</w:t>
            </w:r>
          </w:p>
        </w:tc>
        <w:tc>
          <w:tcPr/>
          <w:p>
            <w:pPr>
              <w:pStyle w:val="Compact"/>
              <w:spacing w:line="240" w:lineRule="auto"/>
              <w:jc w:val="right"/>
            </w:pPr>
            <w:r>
              <w:rPr>
                <w:sz w:val="20"/>
              </w:rPr>
              <w:t xml:space="preserve">538</w:t>
            </w:r>
          </w:p>
        </w:tc>
      </w:tr>
      <w:tr>
        <w:tc>
          <w:tcPr/>
          <w:p>
            <w:pPr>
              <w:pStyle w:val="Compact"/>
              <w:spacing w:line="240" w:lineRule="auto"/>
              <w:jc w:val="left"/>
            </w:pPr>
            <w:r>
              <w:rPr>
                <w:sz w:val="20"/>
              </w:rPr>
              <w:t xml:space="preserve">excl. Lhasa prefecture</w:t>
            </w:r>
          </w:p>
        </w:tc>
        <w:tc>
          <w:tcPr/>
          <w:p>
            <w:pPr>
              <w:pStyle w:val="Compact"/>
              <w:spacing w:line="240" w:lineRule="auto"/>
              <w:jc w:val="left"/>
            </w:pPr>
            <w:r>
              <w:rPr>
                <w:sz w:val="20"/>
              </w:rPr>
              <w:t xml:space="preserve">Own revenue ← GDP</w:t>
            </w:r>
          </w:p>
        </w:tc>
        <w:tc>
          <w:tcPr/>
          <w:p>
            <w:pPr>
              <w:pStyle w:val="Compact"/>
              <w:spacing w:line="240" w:lineRule="auto"/>
              <w:jc w:val="center"/>
            </w:pPr>
            <w:r>
              <w:rPr>
                <w:sz w:val="20"/>
              </w:rPr>
              <w:t xml:space="preserve">0.372*** (0.096)</w:t>
            </w:r>
          </w:p>
        </w:tc>
        <w:tc>
          <w:tcPr/>
          <w:p>
            <w:pPr>
              <w:pStyle w:val="Compact"/>
              <w:spacing w:line="240" w:lineRule="auto"/>
              <w:jc w:val="center"/>
            </w:pPr>
            <w:r>
              <w:rPr>
                <w:sz w:val="20"/>
              </w:rPr>
              <w:t xml:space="preserve">-1.750*** (0.588)</w:t>
            </w:r>
          </w:p>
        </w:tc>
        <w:tc>
          <w:tcPr/>
          <w:p>
            <w:pPr>
              <w:pStyle w:val="Compact"/>
              <w:spacing w:line="240" w:lineRule="auto"/>
              <w:jc w:val="right"/>
            </w:pPr>
            <w:r>
              <w:rPr>
                <w:sz w:val="20"/>
              </w:rPr>
              <w:t xml:space="preserve">0.000</w:t>
            </w:r>
          </w:p>
        </w:tc>
        <w:tc>
          <w:tcPr/>
          <w:p>
            <w:pPr>
              <w:pStyle w:val="Compact"/>
              <w:spacing w:line="240" w:lineRule="auto"/>
              <w:jc w:val="right"/>
            </w:pPr>
            <w:r>
              <w:rPr>
                <w:sz w:val="20"/>
              </w:rPr>
              <w:t xml:space="preserve">500</w:t>
            </w:r>
          </w:p>
        </w:tc>
      </w:tr>
      <w:tr>
        <w:tc>
          <w:tcPr/>
          <w:p>
            <w:pPr>
              <w:pStyle w:val="Compact"/>
              <w:spacing w:line="240" w:lineRule="auto"/>
              <w:jc w:val="left"/>
            </w:pPr>
            <w:r>
              <w:rPr>
                <w:sz w:val="20"/>
              </w:rPr>
              <w:t xml:space="preserve">excl. 2020-2022</w:t>
            </w:r>
          </w:p>
        </w:tc>
        <w:tc>
          <w:tcPr/>
          <w:p>
            <w:pPr>
              <w:pStyle w:val="Compact"/>
              <w:spacing w:line="240" w:lineRule="auto"/>
              <w:jc w:val="left"/>
            </w:pPr>
            <w:r>
              <w:rPr>
                <w:sz w:val="20"/>
              </w:rPr>
              <w:t xml:space="preserve">Own revenue ← GDP</w:t>
            </w:r>
          </w:p>
        </w:tc>
        <w:tc>
          <w:tcPr/>
          <w:p>
            <w:pPr>
              <w:pStyle w:val="Compact"/>
              <w:spacing w:line="240" w:lineRule="auto"/>
              <w:jc w:val="center"/>
            </w:pPr>
            <w:r>
              <w:rPr>
                <w:sz w:val="20"/>
              </w:rPr>
              <w:t xml:space="preserve">0.409* (0.244)</w:t>
            </w:r>
          </w:p>
        </w:tc>
        <w:tc>
          <w:tcPr/>
          <w:p>
            <w:pPr>
              <w:pStyle w:val="Compact"/>
              <w:spacing w:line="240" w:lineRule="auto"/>
              <w:jc w:val="center"/>
            </w:pPr>
            <w:r>
              <w:rPr>
                <w:sz w:val="20"/>
              </w:rPr>
              <w:t xml:space="preserve">-1.334 (0.842)</w:t>
            </w:r>
          </w:p>
        </w:tc>
        <w:tc>
          <w:tcPr/>
          <w:p>
            <w:pPr>
              <w:pStyle w:val="Compact"/>
              <w:spacing w:line="240" w:lineRule="auto"/>
              <w:jc w:val="right"/>
            </w:pPr>
            <w:r>
              <w:rPr>
                <w:sz w:val="20"/>
              </w:rPr>
              <w:t xml:space="preserve">0.047</w:t>
            </w:r>
          </w:p>
        </w:tc>
        <w:tc>
          <w:tcPr/>
          <w:p>
            <w:pPr>
              <w:pStyle w:val="Compact"/>
              <w:spacing w:line="240" w:lineRule="auto"/>
              <w:jc w:val="right"/>
            </w:pPr>
            <w:r>
              <w:rPr>
                <w:sz w:val="20"/>
              </w:rPr>
              <w:t xml:space="preserve">337</w:t>
            </w:r>
          </w:p>
        </w:tc>
      </w:tr>
      <w:tr>
        <w:tc>
          <w:tcPr/>
          <w:p>
            <w:pPr>
              <w:pStyle w:val="Compact"/>
              <w:spacing w:line="240" w:lineRule="auto"/>
              <w:jc w:val="left"/>
            </w:pPr>
            <w:r>
              <w:rPr>
                <w:sz w:val="20"/>
              </w:rPr>
              <w:t xml:space="preserve">winsorised 2.5/97.5</w:t>
            </w:r>
          </w:p>
        </w:tc>
        <w:tc>
          <w:tcPr/>
          <w:p>
            <w:pPr>
              <w:pStyle w:val="Compact"/>
              <w:spacing w:line="240" w:lineRule="auto"/>
              <w:jc w:val="left"/>
            </w:pPr>
            <w:r>
              <w:rPr>
                <w:sz w:val="20"/>
              </w:rPr>
              <w:t xml:space="preserve">Own revenue ← GDP</w:t>
            </w:r>
          </w:p>
        </w:tc>
        <w:tc>
          <w:tcPr/>
          <w:p>
            <w:pPr>
              <w:pStyle w:val="Compact"/>
              <w:spacing w:line="240" w:lineRule="auto"/>
              <w:jc w:val="center"/>
            </w:pPr>
            <w:r>
              <w:rPr>
                <w:sz w:val="20"/>
              </w:rPr>
              <w:t xml:space="preserve">0.326*** (0.086)</w:t>
            </w:r>
          </w:p>
        </w:tc>
        <w:tc>
          <w:tcPr/>
          <w:p>
            <w:pPr>
              <w:pStyle w:val="Compact"/>
              <w:spacing w:line="240" w:lineRule="auto"/>
              <w:jc w:val="center"/>
            </w:pPr>
            <w:r>
              <w:rPr>
                <w:sz w:val="20"/>
              </w:rPr>
              <w:t xml:space="preserve">-1.270** (0.581)</w:t>
            </w:r>
          </w:p>
        </w:tc>
        <w:tc>
          <w:tcPr/>
          <w:p>
            <w:pPr>
              <w:pStyle w:val="Compact"/>
              <w:spacing w:line="240" w:lineRule="auto"/>
              <w:jc w:val="right"/>
            </w:pPr>
            <w:r>
              <w:rPr>
                <w:sz w:val="20"/>
              </w:rPr>
              <w:t xml:space="preserve">0.006</w:t>
            </w:r>
          </w:p>
        </w:tc>
        <w:tc>
          <w:tcPr/>
          <w:p>
            <w:pPr>
              <w:pStyle w:val="Compact"/>
              <w:spacing w:line="240" w:lineRule="auto"/>
              <w:jc w:val="right"/>
            </w:pPr>
            <w:r>
              <w:rPr>
                <w:sz w:val="20"/>
              </w:rPr>
              <w:t xml:space="preserve">552</w:t>
            </w:r>
          </w:p>
        </w:tc>
      </w:tr>
      <w:tr>
        <w:tc>
          <w:tcPr/>
          <w:p>
            <w:pPr>
              <w:pStyle w:val="Compact"/>
              <w:spacing w:line="240" w:lineRule="auto"/>
              <w:jc w:val="left"/>
            </w:pPr>
            <w:r>
              <w:rPr>
                <w:sz w:val="20"/>
              </w:rPr>
              <w:t xml:space="preserve">uncleaned raw data</w:t>
            </w:r>
          </w:p>
        </w:tc>
        <w:tc>
          <w:tcPr/>
          <w:p>
            <w:pPr>
              <w:pStyle w:val="Compact"/>
              <w:spacing w:line="240" w:lineRule="auto"/>
              <w:jc w:val="left"/>
            </w:pPr>
            <w:r>
              <w:rPr>
                <w:sz w:val="20"/>
              </w:rPr>
              <w:t xml:space="preserve">Own revenue ← GDP</w:t>
            </w:r>
          </w:p>
        </w:tc>
        <w:tc>
          <w:tcPr/>
          <w:p>
            <w:pPr>
              <w:pStyle w:val="Compact"/>
              <w:spacing w:line="240" w:lineRule="auto"/>
              <w:jc w:val="center"/>
            </w:pPr>
            <w:r>
              <w:rPr>
                <w:sz w:val="20"/>
              </w:rPr>
              <w:t xml:space="preserve">0.372*** (0.128)</w:t>
            </w:r>
          </w:p>
        </w:tc>
        <w:tc>
          <w:tcPr/>
          <w:p>
            <w:pPr>
              <w:pStyle w:val="Compact"/>
              <w:spacing w:line="240" w:lineRule="auto"/>
              <w:jc w:val="center"/>
            </w:pPr>
            <w:r>
              <w:rPr>
                <w:sz w:val="20"/>
              </w:rPr>
              <w:t xml:space="preserve">-1.896*** (0.629)</w:t>
            </w:r>
          </w:p>
        </w:tc>
        <w:tc>
          <w:tcPr/>
          <w:p>
            <w:pPr>
              <w:pStyle w:val="Compact"/>
              <w:spacing w:line="240" w:lineRule="auto"/>
              <w:jc w:val="right"/>
            </w:pPr>
            <w:r>
              <w:rPr>
                <w:sz w:val="20"/>
              </w:rPr>
              <w:t xml:space="preserve">0.001</w:t>
            </w:r>
          </w:p>
        </w:tc>
        <w:tc>
          <w:tcPr/>
          <w:p>
            <w:pPr>
              <w:pStyle w:val="Compact"/>
              <w:spacing w:line="240" w:lineRule="auto"/>
              <w:jc w:val="right"/>
            </w:pPr>
            <w:r>
              <w:rPr>
                <w:sz w:val="20"/>
              </w:rPr>
              <w:t xml:space="preserve">566</w:t>
            </w:r>
          </w:p>
        </w:tc>
      </w:tr>
    </w:tbl>
    <w:p>
      <w:pPr>
        <w:pStyle w:val="BodyText"/>
      </w:pPr>
      <w:r>
        <w:rPr>
          <w:iCs/>
          <w:i/>
        </w:rPr>
        <w:t xml:space="preserve">Notes:</w:t>
      </w:r>
      <w:r>
        <w:t xml:space="preserve"> </w:t>
      </w:r>
      <w:r>
        <w:t xml:space="preserve">Each row is a separate estimate of Eq. (6) with county and year fixed effects. β⁺ and β⁻ are the coefficients on the positive and negative parts of the change in the driver (GDP or own revenue). Standard errors clustered by county in parentheses. ***</w:t>
      </w:r>
      <w:r>
        <w:t xml:space="preserve"> </w:t>
      </w:r>
      <w:r>
        <w:rPr>
          <w:iCs/>
          <w:i/>
        </w:rPr>
        <w:t xml:space="preserve">p</w:t>
      </w:r>
      <w:r>
        <w:t xml:space="preserve"> </w:t>
      </w:r>
      <w:r>
        <w:t xml:space="preserve">&lt; 0.01, **</w:t>
      </w:r>
      <w:r>
        <w:t xml:space="preserve"> </w:t>
      </w:r>
      <w:r>
        <w:rPr>
          <w:iCs/>
          <w:i/>
        </w:rPr>
        <w:t xml:space="preserve">p</w:t>
      </w:r>
      <w:r>
        <w:t xml:space="preserve"> </w:t>
      </w:r>
      <w:r>
        <w:t xml:space="preserve">&lt; 0.05, *</w:t>
      </w:r>
      <w:r>
        <w:t xml:space="preserve"> </w:t>
      </w:r>
      <w:r>
        <w:rPr>
          <w:iCs/>
          <w:i/>
        </w:rPr>
        <w:t xml:space="preserve">p</w:t>
      </w:r>
      <w:r>
        <w:t xml:space="preserve"> </w:t>
      </w:r>
      <w:r>
        <w:t xml:space="preserve">&lt; 0.1.</w:t>
      </w:r>
    </w:p>
    <w:bookmarkEnd w:id="42"/>
    <w:bookmarkEnd w:id="43"/>
    <w:bookmarkStart w:id="47" w:name="discussion"/>
    <w:p>
      <w:pPr>
        <w:pStyle w:val="Heading1"/>
      </w:pPr>
      <w:r>
        <w:t xml:space="preserve">5. Discussion</w:t>
      </w:r>
    </w:p>
    <w:bookmarkStart w:id="44" w:name="interpretation"/>
    <w:p>
      <w:pPr>
        <w:pStyle w:val="Heading2"/>
      </w:pPr>
      <w:r>
        <w:t xml:space="preserve">5.1. Interpretation</w:t>
      </w:r>
    </w:p>
    <w:p>
      <w:pPr>
        <w:pStyle w:val="FirstParagraph"/>
      </w:pPr>
      <w:r>
        <w:t xml:space="preserve">The three asymmetries fit together. The transfer system in Tibet decouples county spending from county output in levels (Section 4.2) and in changes (Section 4.4). It also compresses the distribution of spending well below that of fiscal capacity (Section 4.1). In this sense, transfers act as insurance for public spending. A county whose economy contracts does not experience a corresponding fall in its budget, and a county whose economy booms does not receive a proportional increase in spending. This insurance function is distinct from the equalisation of economic opportunities. The persistence of output dispersion (Section 4.3) shows that stabilising spending has not, over this period, narrowed the gaps in output between counties.</w:t>
      </w:r>
    </w:p>
    <w:p>
      <w:pPr>
        <w:pStyle w:val="BodyText"/>
      </w:pPr>
      <w:r>
        <w:t xml:space="preserve">The asymmetry on the revenue side is consistent with the incentive structure described in the literature on Chinese local public finance. If county governments face revenue targets or are evaluated on revenue performance, a fall in the tax base calls for greater collection effort, a reallocation toward non-tax revenue, or a one-off asset sale (Lü &amp; Landry, 2014; Chen, 2017). Any of these would sustain measured revenue when output falls. The result is notable because Lü and Landry (2014) find that the competitive extraction mechanism does not operate in ethnic minority regions in their 1999–2006 sample. The present evidence suggests that downward revenue rigidity nonetheless characterises Tibet’s counties in the more recent period. Two alternative explanations deserve mention. First, some recorded GDP declines may reflect statistical revisions rather than real contractions, especially in 2019, when county accounts may have been affected by the revisions that followed the Fourth National Economic Census. Pure measurement error of this kind would bias the coefficient on output declines toward zero, so it cannot generate the negative estimate. It may, however, affect its magnitude. Second, own revenue partly funds public employment and investment that enter GDP, so the two series are jointly determined. This feedback runs in the direction of a positive co-movement and so also works against the asymmetry found.</w:t>
      </w:r>
    </w:p>
    <w:p>
      <w:pPr>
        <w:pStyle w:val="BodyText"/>
      </w:pPr>
      <w:r>
        <w:t xml:space="preserve">The finding has an asymmetric-burden interpretation. In a downturn, the region-wide transfer system protects county spending, but the local share of the adjustment falls on the local tax base through steady or higher collection. If collection effort rises when local incomes fall, local revenue policy is procyclical in downturns, which is the opposite of what stabilisation would require.</w:t>
      </w:r>
    </w:p>
    <w:bookmarkEnd w:id="44"/>
    <w:bookmarkStart w:id="45" w:name="policy-implications"/>
    <w:p>
      <w:pPr>
        <w:pStyle w:val="Heading2"/>
      </w:pPr>
      <w:r>
        <w:t xml:space="preserve">5.2. Policy implications</w:t>
      </w:r>
    </w:p>
    <w:p>
      <w:pPr>
        <w:pStyle w:val="FirstParagraph"/>
      </w:pPr>
      <w:r>
        <w:t xml:space="preserve">Three implications follow, with the caution appropriate to descriptive evidence. First, transfer formulas in such regions could be evaluated on two criteria rather than one: equalisation of spending capacity and the stabilisation of local revenue effort. Allowing county revenue targets to adjust automatically to measured output, for example, would reduce the incentive to raise collection during contractions. Second, the decline in the equalisation ratio after 2022 deserves monitoring. If it reflects a shift toward project-based allocation, the distribution of spending may increasingly follow administrative capacity to prepare projects rather than need. Third, since output dispersion did not narrow despite heavy transfers, policies aimed at county economic convergence probably require instruments other than budget transfers, such as connective infrastructure, market access and human capital, whose effects the present data cannot evaluate.</w:t>
      </w:r>
    </w:p>
    <w:bookmarkEnd w:id="45"/>
    <w:bookmarkStart w:id="46" w:name="limitations"/>
    <w:p>
      <w:pPr>
        <w:pStyle w:val="Heading2"/>
      </w:pPr>
      <w:r>
        <w:t xml:space="preserve">5.3. Limitations</w:t>
      </w:r>
    </w:p>
    <w:p>
      <w:pPr>
        <w:pStyle w:val="FirstParagraph"/>
      </w:pPr>
      <w:r>
        <w:t xml:space="preserve">The analysis has several limitations. The fiscal data do not distinguish types of transfer, so the implied transfer (expenditure minus own revenue) combines formula-based equalisation with earmarked and project funds. The panel is short, and contractions are rare, which limits the precision of the negative-change estimates. Per-capita values use registered rather than resident population, and the urban core of Lhasa (Chengguan District) lacks population and fiscal data. Finally, the estimates describe co-movements and do not identify the causal effect of transfers on output or on revenue effort. Data on the composition of transfers and on tax versus non-tax revenue would allow the mechanisms proposed in Section 5.1 to be tested directly.</w:t>
      </w:r>
    </w:p>
    <w:bookmarkEnd w:id="46"/>
    <w:bookmarkEnd w:id="47"/>
    <w:bookmarkStart w:id="48" w:name="conclusion"/>
    <w:p>
      <w:pPr>
        <w:pStyle w:val="Heading1"/>
      </w:pPr>
      <w:r>
        <w:t xml:space="preserve">6. Conclusion</w:t>
      </w:r>
    </w:p>
    <w:p>
      <w:pPr>
        <w:pStyle w:val="FirstParagraph"/>
      </w:pPr>
      <w:r>
        <w:t xml:space="preserve">This paper has documented three asymmetries in the public finances of Tibet’s counties over 2016–2024. Fiscal capacity is far more unequally distributed than public spending, and the degree to which spending inequality is compressed relative to capacity rose during 2018–2022 and fell afterwards. County spending is insulated from local output in both directions, whereas own revenue rises with output but does not fall when output falls. Output per capita shows β-convergence but no σ-convergence. Taken together, the evidence characterises transfers in a highly dependent periphery as insurance for spending levels rather than as an equaliser of growth, with the local side of downturn adjustment borne asymmetrically by revenue collection. The same diagnostic framework, which compares the inequality and cyclical behaviour of capacity, spending and output, can be applied to other transfer-dependent regions where the relationship between local economies and local budgets is shaped by intergovernmental rules.</w:t>
      </w:r>
    </w:p>
    <w:bookmarkEnd w:id="48"/>
    <w:bookmarkStart w:id="49"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Claude (Anthropic) in order to assist with data cleaning scripts, statistical computation, drafting and language editing. After using this tool, the author reviewed and edited the content as needed and takes full responsibility for the content of the published article.</w:t>
      </w:r>
    </w:p>
    <w:bookmarkEnd w:id="49"/>
    <w:bookmarkStart w:id="51" w:name="references"/>
    <w:p>
      <w:pPr>
        <w:pStyle w:val="Heading1"/>
      </w:pPr>
      <w:r>
        <w:t xml:space="preserve">References</w:t>
      </w:r>
    </w:p>
    <w:bookmarkStart w:id="50" w:name="refs"/>
    <w:p>
      <w:pPr>
        <w:pStyle w:val="Bibliography"/>
      </w:pPr>
      <w:r>
        <w:t xml:space="preserve">Akita, T. (2003). Decomposing regional income inequality in China and Indonesia using two-stage nested Theil decomposition method.</w:t>
      </w:r>
      <w:r>
        <w:t xml:space="preserve"> </w:t>
      </w:r>
      <w:r>
        <w:rPr>
          <w:iCs/>
          <w:i/>
        </w:rPr>
        <w:t xml:space="preserve">The Annals of Regional Science, 37</w:t>
      </w:r>
      <w:r>
        <w:t xml:space="preserve">(1), 55–77.</w:t>
      </w:r>
    </w:p>
    <w:p>
      <w:pPr>
        <w:pStyle w:val="Bibliography"/>
      </w:pPr>
      <w:r>
        <w:t xml:space="preserve">Barro, R. J., &amp; Sala-i-Martin, X. (1992). Convergence.</w:t>
      </w:r>
      <w:r>
        <w:t xml:space="preserve"> </w:t>
      </w:r>
      <w:r>
        <w:rPr>
          <w:iCs/>
          <w:i/>
        </w:rPr>
        <w:t xml:space="preserve">Journal of Political Economy, 100</w:t>
      </w:r>
      <w:r>
        <w:t xml:space="preserve">(2), 223–251.</w:t>
      </w:r>
    </w:p>
    <w:p>
      <w:pPr>
        <w:pStyle w:val="Bibliography"/>
      </w:pPr>
      <w:r>
        <w:t xml:space="preserve">Cameron, A. C., &amp; Miller, D. L. (2015). A practitioner’s guide to cluster-robust inference.</w:t>
      </w:r>
      <w:r>
        <w:t xml:space="preserve"> </w:t>
      </w:r>
      <w:r>
        <w:rPr>
          <w:iCs/>
          <w:i/>
        </w:rPr>
        <w:t xml:space="preserve">Journal of Human Resources, 50</w:t>
      </w:r>
      <w:r>
        <w:t xml:space="preserve">(2), 317–372.</w:t>
      </w:r>
    </w:p>
    <w:p>
      <w:pPr>
        <w:pStyle w:val="Bibliography"/>
      </w:pPr>
      <w:r>
        <w:t xml:space="preserve">Chen, S. X. (2017). The effect of a fiscal squeeze on tax enforcement: Evidence from a natural experiment in China.</w:t>
      </w:r>
      <w:r>
        <w:t xml:space="preserve"> </w:t>
      </w:r>
      <w:r>
        <w:rPr>
          <w:iCs/>
          <w:i/>
        </w:rPr>
        <w:t xml:space="preserve">Journal of Public Economics, 147</w:t>
      </w:r>
      <w:r>
        <w:t xml:space="preserve">, 62–76. https://doi.org/10.1016/j.jpubeco.2017.01.001</w:t>
      </w:r>
    </w:p>
    <w:p>
      <w:pPr>
        <w:pStyle w:val="Bibliography"/>
      </w:pPr>
      <w:r>
        <w:t xml:space="preserve">Fischer, A. M. (2014).</w:t>
      </w:r>
      <w:r>
        <w:t xml:space="preserve"> </w:t>
      </w:r>
      <w:r>
        <w:rPr>
          <w:iCs/>
          <w:i/>
        </w:rPr>
        <w:t xml:space="preserve">The disempowered development of Tibet in China: A study in the economics of marginalization</w:t>
      </w:r>
      <w:r>
        <w:t xml:space="preserve">. Lexington Books.</w:t>
      </w:r>
    </w:p>
    <w:p>
      <w:pPr>
        <w:pStyle w:val="Bibliography"/>
      </w:pPr>
      <w:r>
        <w:t xml:space="preserve">Friedman, M. (1992). Do old fallacies ever die?</w:t>
      </w:r>
      <w:r>
        <w:t xml:space="preserve"> </w:t>
      </w:r>
      <w:r>
        <w:rPr>
          <w:iCs/>
          <w:i/>
        </w:rPr>
        <w:t xml:space="preserve">Journal of Economic Literature, 30</w:t>
      </w:r>
      <w:r>
        <w:t xml:space="preserve">(4), 2129–2132.</w:t>
      </w:r>
    </w:p>
    <w:p>
      <w:pPr>
        <w:pStyle w:val="Bibliography"/>
      </w:pPr>
      <w:r>
        <w:t xml:space="preserve">Gamkhar, S., &amp; Oates, W. E. (1996). Asymmetries in the response to increases and decreases in intergovernmental grants: Some empirical findings.</w:t>
      </w:r>
      <w:r>
        <w:t xml:space="preserve"> </w:t>
      </w:r>
      <w:r>
        <w:rPr>
          <w:iCs/>
          <w:i/>
        </w:rPr>
        <w:t xml:space="preserve">National Tax Journal, 49</w:t>
      </w:r>
      <w:r>
        <w:t xml:space="preserve">(4), 501–512.</w:t>
      </w:r>
    </w:p>
    <w:p>
      <w:pPr>
        <w:pStyle w:val="Bibliography"/>
      </w:pPr>
      <w:r>
        <w:t xml:space="preserve">Hines, J. R., &amp; Thaler, R. H. (1995). Anomalies: The flypaper effect.</w:t>
      </w:r>
      <w:r>
        <w:t xml:space="preserve"> </w:t>
      </w:r>
      <w:r>
        <w:rPr>
          <w:iCs/>
          <w:i/>
        </w:rPr>
        <w:t xml:space="preserve">Journal of Economic Perspectives, 9</w:t>
      </w:r>
      <w:r>
        <w:t xml:space="preserve">(4), 217–226.</w:t>
      </w:r>
    </w:p>
    <w:p>
      <w:pPr>
        <w:pStyle w:val="Bibliography"/>
      </w:pPr>
      <w:r>
        <w:t xml:space="preserve">Huang, B., &amp; Chen, K. (2012). Are intergovernmental transfers in China equalizing?</w:t>
      </w:r>
      <w:r>
        <w:t xml:space="preserve"> </w:t>
      </w:r>
      <w:r>
        <w:rPr>
          <w:iCs/>
          <w:i/>
        </w:rPr>
        <w:t xml:space="preserve">China Economic Review, 23</w:t>
      </w:r>
      <w:r>
        <w:t xml:space="preserve">(3), 534–551. https://doi.org/10.1016/j.chieco.2012.01.001</w:t>
      </w:r>
    </w:p>
    <w:p>
      <w:pPr>
        <w:pStyle w:val="Bibliography"/>
      </w:pPr>
      <w:r>
        <w:t xml:space="preserve">Kanbur, R., &amp; Zhang, X. (2005). Fifty years of regional inequality in China: A journey through central planning, reform, and openness.</w:t>
      </w:r>
      <w:r>
        <w:t xml:space="preserve"> </w:t>
      </w:r>
      <w:r>
        <w:rPr>
          <w:iCs/>
          <w:i/>
        </w:rPr>
        <w:t xml:space="preserve">Review of Development Economics, 9</w:t>
      </w:r>
      <w:r>
        <w:t xml:space="preserve">(1), 87–106.</w:t>
      </w:r>
    </w:p>
    <w:p>
      <w:pPr>
        <w:pStyle w:val="Bibliography"/>
      </w:pPr>
      <w:r>
        <w:t xml:space="preserve">Lü, X., &amp; Landry, P. F. (2014). Show me the money: Interjurisdiction political competition and fiscal extraction in China.</w:t>
      </w:r>
      <w:r>
        <w:t xml:space="preserve"> </w:t>
      </w:r>
      <w:r>
        <w:rPr>
          <w:iCs/>
          <w:i/>
        </w:rPr>
        <w:t xml:space="preserve">American Political Science Review, 108</w:t>
      </w:r>
      <w:r>
        <w:t xml:space="preserve">(3), 706–722.</w:t>
      </w:r>
    </w:p>
    <w:p>
      <w:pPr>
        <w:pStyle w:val="Bibliography"/>
      </w:pPr>
      <w:r>
        <w:t xml:space="preserve">Nickell, S. (1981). Biases in dynamic models with fixed effects.</w:t>
      </w:r>
      <w:r>
        <w:t xml:space="preserve"> </w:t>
      </w:r>
      <w:r>
        <w:rPr>
          <w:iCs/>
          <w:i/>
        </w:rPr>
        <w:t xml:space="preserve">Econometrica, 49</w:t>
      </w:r>
      <w:r>
        <w:t xml:space="preserve">(6), 1417–1426.</w:t>
      </w:r>
    </w:p>
    <w:p>
      <w:pPr>
        <w:pStyle w:val="Bibliography"/>
      </w:pPr>
      <w:r>
        <w:t xml:space="preserve">Oates, W. E. (1999). An essay on fiscal federalism.</w:t>
      </w:r>
      <w:r>
        <w:t xml:space="preserve"> </w:t>
      </w:r>
      <w:r>
        <w:rPr>
          <w:iCs/>
          <w:i/>
        </w:rPr>
        <w:t xml:space="preserve">Journal of Economic Literature, 37</w:t>
      </w:r>
      <w:r>
        <w:t xml:space="preserve">(3), 1120–1149.</w:t>
      </w:r>
    </w:p>
    <w:p>
      <w:pPr>
        <w:pStyle w:val="Bibliography"/>
      </w:pPr>
      <w:r>
        <w:t xml:space="preserve">Quah, D. (1993). Galton’s fallacy and tests of the convergence hypothesis.</w:t>
      </w:r>
      <w:r>
        <w:t xml:space="preserve"> </w:t>
      </w:r>
      <w:r>
        <w:rPr>
          <w:iCs/>
          <w:i/>
        </w:rPr>
        <w:t xml:space="preserve">The Scandinavian Journal of Economics, 95</w:t>
      </w:r>
      <w:r>
        <w:t xml:space="preserve">(4), 427–443.</w:t>
      </w:r>
    </w:p>
    <w:p>
      <w:pPr>
        <w:pStyle w:val="Bibliography"/>
      </w:pPr>
      <w:r>
        <w:t xml:space="preserve">Shen, C., Jin, J., &amp; Zou, H. (2012). Fiscal decentralization in China: History, impact, challenges and next steps.</w:t>
      </w:r>
      <w:r>
        <w:t xml:space="preserve"> </w:t>
      </w:r>
      <w:r>
        <w:rPr>
          <w:iCs/>
          <w:i/>
        </w:rPr>
        <w:t xml:space="preserve">Annals of Economics and Finance, 13</w:t>
      </w:r>
      <w:r>
        <w:t xml:space="preserve">(1), 1–51.</w:t>
      </w:r>
    </w:p>
    <w:p>
      <w:pPr>
        <w:pStyle w:val="Bibliography"/>
      </w:pPr>
      <w:r>
        <w:t xml:space="preserve">Shorrocks, A. F. (1980). The class of additively decomposable inequality measures.</w:t>
      </w:r>
      <w:r>
        <w:t xml:space="preserve"> </w:t>
      </w:r>
      <w:r>
        <w:rPr>
          <w:iCs/>
          <w:i/>
        </w:rPr>
        <w:t xml:space="preserve">Econometrica, 48</w:t>
      </w:r>
      <w:r>
        <w:t xml:space="preserve">(3), 613–625.</w:t>
      </w:r>
    </w:p>
    <w:p>
      <w:pPr>
        <w:pStyle w:val="Bibliography"/>
      </w:pPr>
      <w:r>
        <w:t xml:space="preserve">Stine, W. F. (1994). Is local government revenue response to federal aid symmetrical? Evidence from Pennsylvania county governments in an era of retrenchment.</w:t>
      </w:r>
      <w:r>
        <w:t xml:space="preserve"> </w:t>
      </w:r>
      <w:r>
        <w:rPr>
          <w:iCs/>
          <w:i/>
        </w:rPr>
        <w:t xml:space="preserve">National Tax Journal, 47</w:t>
      </w:r>
      <w:r>
        <w:t xml:space="preserve">(4), 799–816.</w:t>
      </w:r>
    </w:p>
    <w:p>
      <w:pPr>
        <w:pStyle w:val="Bibliography"/>
      </w:pPr>
      <w:r>
        <w:t xml:space="preserve">Tsui, K. (2005). Local tax system, intergovernmental transfers and China’s local fiscal disparities.</w:t>
      </w:r>
      <w:r>
        <w:t xml:space="preserve"> </w:t>
      </w:r>
      <w:r>
        <w:rPr>
          <w:iCs/>
          <w:i/>
        </w:rPr>
        <w:t xml:space="preserve">Journal of Comparative Economics, 33</w:t>
      </w:r>
      <w:r>
        <w:t xml:space="preserve">(1), 173–196.</w:t>
      </w:r>
    </w:p>
    <w:p>
      <w:pPr>
        <w:pStyle w:val="Bibliography"/>
      </w:pPr>
      <w:r>
        <w:t xml:space="preserve">Yang, X., Barros, L., Matthews, K., &amp; Meenagh, D. (2024). The dynamics of redistribution, inequality and growth across China’s regions.</w:t>
      </w:r>
      <w:r>
        <w:t xml:space="preserve"> </w:t>
      </w:r>
      <w:r>
        <w:rPr>
          <w:iCs/>
          <w:i/>
        </w:rPr>
        <w:t xml:space="preserve">Journal of Policy Modeling, 46</w:t>
      </w:r>
      <w:r>
        <w:t xml:space="preserve">(3), 613–637. https://doi.org/10.1016/j.jpolmod.2024.01.011</w:t>
      </w:r>
    </w:p>
    <w:bookmarkEnd w:id="50"/>
    <w:bookmarkEnd w:id="51"/>
    <w:bookmarkStart w:id="52" w:name="appendix-a.-data-cleaning"/>
    <w:p>
      <w:pPr>
        <w:pStyle w:val="Heading1"/>
      </w:pPr>
      <w:r>
        <w:t xml:space="preserve">Appendix A. Data cleaning</w:t>
      </w:r>
    </w:p>
    <w:p>
      <w:pPr>
        <w:pStyle w:val="FirstParagraph"/>
      </w:pPr>
      <w:r>
        <w:t xml:space="preserve">The rules described in Section 3.1 were applied mechanically before estimation and are implemented in the replication code supplied as supplementary material. Table A.1 lists every value they set to missing. The 2018 revenue values for five counties are close to the same counties’ 2018 expenditure and are roughly 20 to 40 times the same counties’ own revenue in 2017 and 2019, which indicates that the expenditure figure was entered in the revenue column. The cleaned panel, the cleaning log and the GDP of the 74 county-level units (including Chengguan District) are provided in the supplementary data file.</w:t>
      </w:r>
    </w:p>
    <w:p>
      <w:pPr>
        <w:pStyle w:val="BodyText"/>
      </w:pPr>
      <w:r>
        <w:rPr>
          <w:iCs/>
          <w:i/>
        </w:rPr>
        <w:t xml:space="preserve">Table A.1. Observations set to missing by the cleaning rules.</w:t>
      </w:r>
    </w:p>
    <w:tbl>
      <w:tblPr>
        <w:tblStyle w:val="Table"/>
        <w:tblW w:type="auto" w:w="0"/>
        <w:tblLayout w:type="autofi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40" w:lineRule="auto"/>
              <w:jc w:val="left"/>
            </w:pPr>
            <w:r>
              <w:rPr>
                <w:sz w:val="20"/>
              </w:rPr>
              <w:t xml:space="preserve">County</w:t>
            </w:r>
          </w:p>
        </w:tc>
        <w:tc>
          <w:tcPr/>
          <w:p>
            <w:pPr>
              <w:pStyle w:val="Compact"/>
              <w:spacing w:line="240" w:lineRule="auto"/>
              <w:jc w:val="right"/>
            </w:pPr>
            <w:r>
              <w:rPr>
                <w:sz w:val="20"/>
              </w:rPr>
              <w:t xml:space="preserve">Year</w:t>
            </w:r>
          </w:p>
        </w:tc>
        <w:tc>
          <w:tcPr/>
          <w:p>
            <w:pPr>
              <w:pStyle w:val="Compact"/>
              <w:spacing w:line="240" w:lineRule="auto"/>
              <w:jc w:val="left"/>
            </w:pPr>
            <w:r>
              <w:rPr>
                <w:sz w:val="20"/>
              </w:rPr>
              <w:t xml:space="preserve">Variable</w:t>
            </w:r>
          </w:p>
        </w:tc>
        <w:tc>
          <w:tcPr/>
          <w:p>
            <w:pPr>
              <w:pStyle w:val="Compact"/>
              <w:spacing w:line="240" w:lineRule="auto"/>
              <w:jc w:val="right"/>
            </w:pPr>
            <w:r>
              <w:rPr>
                <w:sz w:val="20"/>
              </w:rPr>
              <w:t xml:space="preserve">Reported value (10,000 yuan)</w:t>
            </w:r>
          </w:p>
        </w:tc>
        <w:tc>
          <w:tcPr/>
          <w:p>
            <w:pPr>
              <w:pStyle w:val="Compact"/>
              <w:spacing w:line="240" w:lineRule="auto"/>
              <w:jc w:val="left"/>
            </w:pPr>
            <w:r>
              <w:rPr>
                <w:sz w:val="20"/>
              </w:rPr>
              <w:t xml:space="preserve">Rule</w:t>
            </w:r>
          </w:p>
        </w:tc>
      </w:tr>
      <w:tr>
        <w:tc>
          <w:tcPr/>
          <w:p>
            <w:pPr>
              <w:pStyle w:val="Compact"/>
              <w:spacing w:line="240" w:lineRule="auto"/>
              <w:jc w:val="left"/>
            </w:pPr>
            <w:r>
              <w:rPr>
                <w:sz w:val="20"/>
              </w:rPr>
              <w:t xml:space="preserve">Damxung</w:t>
            </w:r>
          </w:p>
        </w:tc>
        <w:tc>
          <w:tcPr/>
          <w:p>
            <w:pPr>
              <w:pStyle w:val="Compact"/>
              <w:spacing w:line="240" w:lineRule="auto"/>
              <w:jc w:val="right"/>
            </w:pPr>
            <w:r>
              <w:rPr>
                <w:sz w:val="20"/>
              </w:rPr>
              <w:t xml:space="preserve">2022</w:t>
            </w:r>
          </w:p>
        </w:tc>
        <w:tc>
          <w:tcPr/>
          <w:p>
            <w:pPr>
              <w:pStyle w:val="Compact"/>
              <w:spacing w:line="240" w:lineRule="auto"/>
              <w:jc w:val="left"/>
            </w:pPr>
            <w:r>
              <w:rPr>
                <w:sz w:val="20"/>
              </w:rPr>
              <w:t xml:space="preserve">own revenue</w:t>
            </w:r>
          </w:p>
        </w:tc>
        <w:tc>
          <w:tcPr/>
          <w:p>
            <w:pPr>
              <w:pStyle w:val="Compact"/>
              <w:spacing w:line="240" w:lineRule="auto"/>
              <w:jc w:val="right"/>
            </w:pPr>
            <w:r>
              <w:rPr>
                <w:sz w:val="20"/>
              </w:rPr>
              <w:t xml:space="preserve">1,429</w:t>
            </w:r>
          </w:p>
        </w:tc>
        <w:tc>
          <w:tcPr/>
          <w:p>
            <w:pPr>
              <w:pStyle w:val="Compact"/>
              <w:spacing w:line="240" w:lineRule="auto"/>
              <w:jc w:val="left"/>
            </w:pPr>
            <w:r>
              <w:rPr>
                <w:sz w:val="20"/>
              </w:rPr>
              <w:t xml:space="preserve">R2 spike</w:t>
            </w:r>
          </w:p>
        </w:tc>
      </w:tr>
      <w:tr>
        <w:tc>
          <w:tcPr/>
          <w:p>
            <w:pPr>
              <w:pStyle w:val="Compact"/>
              <w:spacing w:line="240" w:lineRule="auto"/>
              <w:jc w:val="left"/>
            </w:pPr>
            <w:r>
              <w:rPr>
                <w:sz w:val="20"/>
              </w:rPr>
              <w:t xml:space="preserve">Rinbung</w:t>
            </w:r>
          </w:p>
        </w:tc>
        <w:tc>
          <w:tcPr/>
          <w:p>
            <w:pPr>
              <w:pStyle w:val="Compact"/>
              <w:spacing w:line="240" w:lineRule="auto"/>
              <w:jc w:val="right"/>
            </w:pPr>
            <w:r>
              <w:rPr>
                <w:sz w:val="20"/>
              </w:rPr>
              <w:t xml:space="preserve">2018</w:t>
            </w:r>
          </w:p>
        </w:tc>
        <w:tc>
          <w:tcPr/>
          <w:p>
            <w:pPr>
              <w:pStyle w:val="Compact"/>
              <w:spacing w:line="240" w:lineRule="auto"/>
              <w:jc w:val="left"/>
            </w:pPr>
            <w:r>
              <w:rPr>
                <w:sz w:val="20"/>
              </w:rPr>
              <w:t xml:space="preserve">own revenue</w:t>
            </w:r>
          </w:p>
        </w:tc>
        <w:tc>
          <w:tcPr/>
          <w:p>
            <w:pPr>
              <w:pStyle w:val="Compact"/>
              <w:spacing w:line="240" w:lineRule="auto"/>
              <w:jc w:val="right"/>
            </w:pPr>
            <w:r>
              <w:rPr>
                <w:sz w:val="20"/>
              </w:rPr>
              <w:t xml:space="preserve">86,280</w:t>
            </w:r>
          </w:p>
        </w:tc>
        <w:tc>
          <w:tcPr/>
          <w:p>
            <w:pPr>
              <w:pStyle w:val="Compact"/>
              <w:spacing w:line="240" w:lineRule="auto"/>
              <w:jc w:val="left"/>
            </w:pPr>
            <w:r>
              <w:rPr>
                <w:sz w:val="20"/>
              </w:rPr>
              <w:t xml:space="preserve">R2 spike</w:t>
            </w:r>
          </w:p>
        </w:tc>
      </w:tr>
      <w:tr>
        <w:tc>
          <w:tcPr/>
          <w:p>
            <w:pPr>
              <w:pStyle w:val="Compact"/>
              <w:spacing w:line="240" w:lineRule="auto"/>
              <w:jc w:val="left"/>
            </w:pPr>
            <w:r>
              <w:rPr>
                <w:sz w:val="20"/>
              </w:rPr>
              <w:t xml:space="preserve">Dinggyê</w:t>
            </w:r>
          </w:p>
        </w:tc>
        <w:tc>
          <w:tcPr/>
          <w:p>
            <w:pPr>
              <w:pStyle w:val="Compact"/>
              <w:spacing w:line="240" w:lineRule="auto"/>
              <w:jc w:val="right"/>
            </w:pPr>
            <w:r>
              <w:rPr>
                <w:sz w:val="20"/>
              </w:rPr>
              <w:t xml:space="preserve">2018</w:t>
            </w:r>
          </w:p>
        </w:tc>
        <w:tc>
          <w:tcPr/>
          <w:p>
            <w:pPr>
              <w:pStyle w:val="Compact"/>
              <w:spacing w:line="240" w:lineRule="auto"/>
              <w:jc w:val="left"/>
            </w:pPr>
            <w:r>
              <w:rPr>
                <w:sz w:val="20"/>
              </w:rPr>
              <w:t xml:space="preserve">own revenue</w:t>
            </w:r>
          </w:p>
        </w:tc>
        <w:tc>
          <w:tcPr/>
          <w:p>
            <w:pPr>
              <w:pStyle w:val="Compact"/>
              <w:spacing w:line="240" w:lineRule="auto"/>
              <w:jc w:val="right"/>
            </w:pPr>
            <w:r>
              <w:rPr>
                <w:sz w:val="20"/>
              </w:rPr>
              <w:t xml:space="preserve">87,763</w:t>
            </w:r>
          </w:p>
        </w:tc>
        <w:tc>
          <w:tcPr/>
          <w:p>
            <w:pPr>
              <w:pStyle w:val="Compact"/>
              <w:spacing w:line="240" w:lineRule="auto"/>
              <w:jc w:val="left"/>
            </w:pPr>
            <w:r>
              <w:rPr>
                <w:sz w:val="20"/>
              </w:rPr>
              <w:t xml:space="preserve">R2 spike</w:t>
            </w:r>
          </w:p>
        </w:tc>
      </w:tr>
      <w:tr>
        <w:tc>
          <w:tcPr/>
          <w:p>
            <w:pPr>
              <w:pStyle w:val="Compact"/>
              <w:spacing w:line="240" w:lineRule="auto"/>
              <w:jc w:val="left"/>
            </w:pPr>
            <w:r>
              <w:rPr>
                <w:sz w:val="20"/>
              </w:rPr>
              <w:t xml:space="preserve">Chanang</w:t>
            </w:r>
          </w:p>
        </w:tc>
        <w:tc>
          <w:tcPr/>
          <w:p>
            <w:pPr>
              <w:pStyle w:val="Compact"/>
              <w:spacing w:line="240" w:lineRule="auto"/>
              <w:jc w:val="right"/>
            </w:pPr>
            <w:r>
              <w:rPr>
                <w:sz w:val="20"/>
              </w:rPr>
              <w:t xml:space="preserve">2018</w:t>
            </w:r>
          </w:p>
        </w:tc>
        <w:tc>
          <w:tcPr/>
          <w:p>
            <w:pPr>
              <w:pStyle w:val="Compact"/>
              <w:spacing w:line="240" w:lineRule="auto"/>
              <w:jc w:val="left"/>
            </w:pPr>
            <w:r>
              <w:rPr>
                <w:sz w:val="20"/>
              </w:rPr>
              <w:t xml:space="preserve">own revenue</w:t>
            </w:r>
          </w:p>
        </w:tc>
        <w:tc>
          <w:tcPr/>
          <w:p>
            <w:pPr>
              <w:pStyle w:val="Compact"/>
              <w:spacing w:line="240" w:lineRule="auto"/>
              <w:jc w:val="right"/>
            </w:pPr>
            <w:r>
              <w:rPr>
                <w:sz w:val="20"/>
              </w:rPr>
              <w:t xml:space="preserve">88,002</w:t>
            </w:r>
          </w:p>
        </w:tc>
        <w:tc>
          <w:tcPr/>
          <w:p>
            <w:pPr>
              <w:pStyle w:val="Compact"/>
              <w:spacing w:line="240" w:lineRule="auto"/>
              <w:jc w:val="left"/>
            </w:pPr>
            <w:r>
              <w:rPr>
                <w:sz w:val="20"/>
              </w:rPr>
              <w:t xml:space="preserve">R2 spike</w:t>
            </w:r>
          </w:p>
        </w:tc>
      </w:tr>
      <w:tr>
        <w:tc>
          <w:tcPr/>
          <w:p>
            <w:pPr>
              <w:pStyle w:val="Compact"/>
              <w:spacing w:line="240" w:lineRule="auto"/>
              <w:jc w:val="left"/>
            </w:pPr>
            <w:r>
              <w:rPr>
                <w:sz w:val="20"/>
              </w:rPr>
              <w:t xml:space="preserve">Gonggar</w:t>
            </w:r>
          </w:p>
        </w:tc>
        <w:tc>
          <w:tcPr/>
          <w:p>
            <w:pPr>
              <w:pStyle w:val="Compact"/>
              <w:spacing w:line="240" w:lineRule="auto"/>
              <w:jc w:val="right"/>
            </w:pPr>
            <w:r>
              <w:rPr>
                <w:sz w:val="20"/>
              </w:rPr>
              <w:t xml:space="preserve">2022</w:t>
            </w:r>
          </w:p>
        </w:tc>
        <w:tc>
          <w:tcPr/>
          <w:p>
            <w:pPr>
              <w:pStyle w:val="Compact"/>
              <w:spacing w:line="240" w:lineRule="auto"/>
              <w:jc w:val="left"/>
            </w:pPr>
            <w:r>
              <w:rPr>
                <w:sz w:val="20"/>
              </w:rPr>
              <w:t xml:space="preserve">own revenue</w:t>
            </w:r>
          </w:p>
        </w:tc>
        <w:tc>
          <w:tcPr/>
          <w:p>
            <w:pPr>
              <w:pStyle w:val="Compact"/>
              <w:spacing w:line="240" w:lineRule="auto"/>
              <w:jc w:val="right"/>
            </w:pPr>
            <w:r>
              <w:rPr>
                <w:sz w:val="20"/>
              </w:rPr>
              <w:t xml:space="preserve">665</w:t>
            </w:r>
          </w:p>
        </w:tc>
        <w:tc>
          <w:tcPr/>
          <w:p>
            <w:pPr>
              <w:pStyle w:val="Compact"/>
              <w:spacing w:line="240" w:lineRule="auto"/>
              <w:jc w:val="left"/>
            </w:pPr>
            <w:r>
              <w:rPr>
                <w:sz w:val="20"/>
              </w:rPr>
              <w:t xml:space="preserve">R2 spike</w:t>
            </w:r>
          </w:p>
        </w:tc>
      </w:tr>
      <w:tr>
        <w:tc>
          <w:tcPr/>
          <w:p>
            <w:pPr>
              <w:pStyle w:val="Compact"/>
              <w:spacing w:line="240" w:lineRule="auto"/>
              <w:jc w:val="left"/>
            </w:pPr>
            <w:r>
              <w:rPr>
                <w:sz w:val="20"/>
              </w:rPr>
              <w:t xml:space="preserve">Lhozhag</w:t>
            </w:r>
          </w:p>
        </w:tc>
        <w:tc>
          <w:tcPr/>
          <w:p>
            <w:pPr>
              <w:pStyle w:val="Compact"/>
              <w:spacing w:line="240" w:lineRule="auto"/>
              <w:jc w:val="right"/>
            </w:pPr>
            <w:r>
              <w:rPr>
                <w:sz w:val="20"/>
              </w:rPr>
              <w:t xml:space="preserve">2018</w:t>
            </w:r>
          </w:p>
        </w:tc>
        <w:tc>
          <w:tcPr/>
          <w:p>
            <w:pPr>
              <w:pStyle w:val="Compact"/>
              <w:spacing w:line="240" w:lineRule="auto"/>
              <w:jc w:val="left"/>
            </w:pPr>
            <w:r>
              <w:rPr>
                <w:sz w:val="20"/>
              </w:rPr>
              <w:t xml:space="preserve">own revenue</w:t>
            </w:r>
          </w:p>
        </w:tc>
        <w:tc>
          <w:tcPr/>
          <w:p>
            <w:pPr>
              <w:pStyle w:val="Compact"/>
              <w:spacing w:line="240" w:lineRule="auto"/>
              <w:jc w:val="right"/>
            </w:pPr>
            <w:r>
              <w:rPr>
                <w:sz w:val="20"/>
              </w:rPr>
              <w:t xml:space="preserve">78,431</w:t>
            </w:r>
          </w:p>
        </w:tc>
        <w:tc>
          <w:tcPr/>
          <w:p>
            <w:pPr>
              <w:pStyle w:val="Compact"/>
              <w:spacing w:line="240" w:lineRule="auto"/>
              <w:jc w:val="left"/>
            </w:pPr>
            <w:r>
              <w:rPr>
                <w:sz w:val="20"/>
              </w:rPr>
              <w:t xml:space="preserve">R2 spike</w:t>
            </w:r>
          </w:p>
        </w:tc>
      </w:tr>
      <w:tr>
        <w:tc>
          <w:tcPr/>
          <w:p>
            <w:pPr>
              <w:pStyle w:val="Compact"/>
              <w:spacing w:line="240" w:lineRule="auto"/>
              <w:jc w:val="left"/>
            </w:pPr>
            <w:r>
              <w:rPr>
                <w:sz w:val="20"/>
              </w:rPr>
              <w:t xml:space="preserve">Zanda</w:t>
            </w:r>
          </w:p>
        </w:tc>
        <w:tc>
          <w:tcPr/>
          <w:p>
            <w:pPr>
              <w:pStyle w:val="Compact"/>
              <w:spacing w:line="240" w:lineRule="auto"/>
              <w:jc w:val="right"/>
            </w:pPr>
            <w:r>
              <w:rPr>
                <w:sz w:val="20"/>
              </w:rPr>
              <w:t xml:space="preserve">2018</w:t>
            </w:r>
          </w:p>
        </w:tc>
        <w:tc>
          <w:tcPr/>
          <w:p>
            <w:pPr>
              <w:pStyle w:val="Compact"/>
              <w:spacing w:line="240" w:lineRule="auto"/>
              <w:jc w:val="left"/>
            </w:pPr>
            <w:r>
              <w:rPr>
                <w:sz w:val="20"/>
              </w:rPr>
              <w:t xml:space="preserve">own revenue</w:t>
            </w:r>
          </w:p>
        </w:tc>
        <w:tc>
          <w:tcPr/>
          <w:p>
            <w:pPr>
              <w:pStyle w:val="Compact"/>
              <w:spacing w:line="240" w:lineRule="auto"/>
              <w:jc w:val="right"/>
            </w:pPr>
            <w:r>
              <w:rPr>
                <w:sz w:val="20"/>
              </w:rPr>
              <w:t xml:space="preserve">85,418</w:t>
            </w:r>
          </w:p>
        </w:tc>
        <w:tc>
          <w:tcPr/>
          <w:p>
            <w:pPr>
              <w:pStyle w:val="Compact"/>
              <w:spacing w:line="240" w:lineRule="auto"/>
              <w:jc w:val="left"/>
            </w:pPr>
            <w:r>
              <w:rPr>
                <w:sz w:val="20"/>
              </w:rPr>
              <w:t xml:space="preserve">R2 spike</w:t>
            </w:r>
          </w:p>
        </w:tc>
      </w:tr>
      <w:tr>
        <w:tc>
          <w:tcPr/>
          <w:p>
            <w:pPr>
              <w:pStyle w:val="Compact"/>
              <w:spacing w:line="240" w:lineRule="auto"/>
              <w:jc w:val="left"/>
            </w:pPr>
            <w:r>
              <w:rPr>
                <w:sz w:val="20"/>
              </w:rPr>
              <w:t xml:space="preserve">Gêrzê</w:t>
            </w:r>
          </w:p>
        </w:tc>
        <w:tc>
          <w:tcPr/>
          <w:p>
            <w:pPr>
              <w:pStyle w:val="Compact"/>
              <w:spacing w:line="240" w:lineRule="auto"/>
              <w:jc w:val="right"/>
            </w:pPr>
            <w:r>
              <w:rPr>
                <w:sz w:val="20"/>
              </w:rPr>
              <w:t xml:space="preserve">2024</w:t>
            </w:r>
          </w:p>
        </w:tc>
        <w:tc>
          <w:tcPr/>
          <w:p>
            <w:pPr>
              <w:pStyle w:val="Compact"/>
              <w:spacing w:line="240" w:lineRule="auto"/>
              <w:jc w:val="left"/>
            </w:pPr>
            <w:r>
              <w:rPr>
                <w:sz w:val="20"/>
              </w:rPr>
              <w:t xml:space="preserve">own revenue</w:t>
            </w:r>
          </w:p>
        </w:tc>
        <w:tc>
          <w:tcPr/>
          <w:p>
            <w:pPr>
              <w:pStyle w:val="Compact"/>
              <w:spacing w:line="240" w:lineRule="auto"/>
              <w:jc w:val="right"/>
            </w:pPr>
            <w:r>
              <w:rPr>
                <w:sz w:val="20"/>
              </w:rPr>
              <w:t xml:space="preserve">34,497</w:t>
            </w:r>
          </w:p>
        </w:tc>
        <w:tc>
          <w:tcPr/>
          <w:p>
            <w:pPr>
              <w:pStyle w:val="Compact"/>
              <w:spacing w:line="240" w:lineRule="auto"/>
              <w:jc w:val="left"/>
            </w:pPr>
            <w:r>
              <w:rPr>
                <w:sz w:val="20"/>
              </w:rPr>
              <w:t xml:space="preserve">R2 spike</w:t>
            </w:r>
          </w:p>
        </w:tc>
      </w:tr>
      <w:tr>
        <w:tc>
          <w:tcPr/>
          <w:p>
            <w:pPr>
              <w:pStyle w:val="Compact"/>
              <w:spacing w:line="240" w:lineRule="auto"/>
              <w:jc w:val="left"/>
            </w:pPr>
            <w:r>
              <w:rPr>
                <w:sz w:val="20"/>
              </w:rPr>
              <w:t xml:space="preserve">Gar</w:t>
            </w:r>
          </w:p>
        </w:tc>
        <w:tc>
          <w:tcPr/>
          <w:p>
            <w:pPr>
              <w:pStyle w:val="Compact"/>
              <w:spacing w:line="240" w:lineRule="auto"/>
              <w:jc w:val="right"/>
            </w:pPr>
            <w:r>
              <w:rPr>
                <w:sz w:val="20"/>
              </w:rPr>
              <w:t xml:space="preserve">2016</w:t>
            </w:r>
          </w:p>
        </w:tc>
        <w:tc>
          <w:tcPr/>
          <w:p>
            <w:pPr>
              <w:pStyle w:val="Compact"/>
              <w:spacing w:line="240" w:lineRule="auto"/>
              <w:jc w:val="left"/>
            </w:pPr>
            <w:r>
              <w:rPr>
                <w:sz w:val="20"/>
              </w:rPr>
              <w:t xml:space="preserve">expenditure</w:t>
            </w:r>
          </w:p>
        </w:tc>
        <w:tc>
          <w:tcPr/>
          <w:p>
            <w:pPr>
              <w:pStyle w:val="Compact"/>
              <w:spacing w:line="240" w:lineRule="auto"/>
              <w:jc w:val="right"/>
            </w:pPr>
            <w:r>
              <w:rPr>
                <w:sz w:val="20"/>
              </w:rPr>
              <w:t xml:space="preserve">466,076</w:t>
            </w:r>
          </w:p>
        </w:tc>
        <w:tc>
          <w:tcPr/>
          <w:p>
            <w:pPr>
              <w:pStyle w:val="Compact"/>
              <w:spacing w:line="240" w:lineRule="auto"/>
              <w:jc w:val="left"/>
            </w:pPr>
            <w:r>
              <w:rPr>
                <w:sz w:val="20"/>
              </w:rPr>
              <w:t xml:space="preserve">R2 spike</w:t>
            </w:r>
          </w:p>
        </w:tc>
      </w:tr>
      <w:tr>
        <w:tc>
          <w:tcPr/>
          <w:p>
            <w:pPr>
              <w:pStyle w:val="Compact"/>
              <w:spacing w:line="240" w:lineRule="auto"/>
              <w:jc w:val="left"/>
            </w:pPr>
            <w:r>
              <w:rPr>
                <w:sz w:val="20"/>
              </w:rPr>
              <w:t xml:space="preserve">Chanang</w:t>
            </w:r>
          </w:p>
        </w:tc>
        <w:tc>
          <w:tcPr/>
          <w:p>
            <w:pPr>
              <w:pStyle w:val="Compact"/>
              <w:spacing w:line="240" w:lineRule="auto"/>
              <w:jc w:val="right"/>
            </w:pPr>
            <w:r>
              <w:rPr>
                <w:sz w:val="20"/>
              </w:rPr>
              <w:t xml:space="preserve">2016</w:t>
            </w:r>
          </w:p>
        </w:tc>
        <w:tc>
          <w:tcPr/>
          <w:p>
            <w:pPr>
              <w:pStyle w:val="Compact"/>
              <w:spacing w:line="240" w:lineRule="auto"/>
              <w:jc w:val="left"/>
            </w:pPr>
            <w:r>
              <w:rPr>
                <w:sz w:val="20"/>
              </w:rPr>
              <w:t xml:space="preserve">own revenue</w:t>
            </w:r>
          </w:p>
        </w:tc>
        <w:tc>
          <w:tcPr/>
          <w:p>
            <w:pPr>
              <w:pStyle w:val="Compact"/>
              <w:spacing w:line="240" w:lineRule="auto"/>
              <w:jc w:val="right"/>
            </w:pPr>
            <w:r>
              <w:rPr>
                <w:sz w:val="20"/>
              </w:rPr>
              <w:t xml:space="preserve">76,777</w:t>
            </w:r>
          </w:p>
        </w:tc>
        <w:tc>
          <w:tcPr/>
          <w:p>
            <w:pPr>
              <w:pStyle w:val="Compact"/>
              <w:spacing w:line="240" w:lineRule="auto"/>
              <w:jc w:val="left"/>
            </w:pPr>
            <w:r>
              <w:rPr>
                <w:sz w:val="20"/>
              </w:rPr>
              <w:t xml:space="preserve">R3 mirror</w:t>
            </w:r>
          </w:p>
        </w:tc>
      </w:tr>
      <w:tr>
        <w:tc>
          <w:tcPr/>
          <w:p>
            <w:pPr>
              <w:pStyle w:val="Compact"/>
              <w:spacing w:line="240" w:lineRule="auto"/>
              <w:jc w:val="left"/>
            </w:pPr>
            <w:r>
              <w:rPr>
                <w:sz w:val="20"/>
              </w:rPr>
              <w:t xml:space="preserve">Bayi</w:t>
            </w:r>
          </w:p>
        </w:tc>
        <w:tc>
          <w:tcPr/>
          <w:p>
            <w:pPr>
              <w:pStyle w:val="Compact"/>
              <w:spacing w:line="240" w:lineRule="auto"/>
              <w:jc w:val="right"/>
            </w:pPr>
            <w:r>
              <w:rPr>
                <w:sz w:val="20"/>
              </w:rPr>
              <w:t xml:space="preserve">2018</w:t>
            </w:r>
          </w:p>
        </w:tc>
        <w:tc>
          <w:tcPr/>
          <w:p>
            <w:pPr>
              <w:pStyle w:val="Compact"/>
              <w:spacing w:line="240" w:lineRule="auto"/>
              <w:jc w:val="left"/>
            </w:pPr>
            <w:r>
              <w:rPr>
                <w:sz w:val="20"/>
              </w:rPr>
              <w:t xml:space="preserve">expenditure</w:t>
            </w:r>
          </w:p>
        </w:tc>
        <w:tc>
          <w:tcPr/>
          <w:p>
            <w:pPr>
              <w:pStyle w:val="Compact"/>
              <w:spacing w:line="240" w:lineRule="auto"/>
              <w:jc w:val="right"/>
            </w:pPr>
            <w:r>
              <w:rPr>
                <w:sz w:val="20"/>
              </w:rPr>
              <w:t xml:space="preserve">24,179</w:t>
            </w:r>
          </w:p>
        </w:tc>
        <w:tc>
          <w:tcPr/>
          <w:p>
            <w:pPr>
              <w:pStyle w:val="Compact"/>
              <w:spacing w:line="240" w:lineRule="auto"/>
              <w:jc w:val="left"/>
            </w:pPr>
            <w:r>
              <w:rPr>
                <w:sz w:val="20"/>
              </w:rPr>
              <w:t xml:space="preserve">R4 exp&lt;rev</w:t>
            </w:r>
          </w:p>
        </w:tc>
      </w:tr>
    </w:tbl>
    <w:p>
      <w:pPr>
        <w:pStyle w:val="BodyText"/>
      </w:pPr>
      <w:r>
        <w:rPr>
          <w:iCs/>
          <w:i/>
        </w:rPr>
        <w:t xml:space="preserve">Notes:</w:t>
      </w:r>
      <w:r>
        <w:t xml:space="preserve"> </w:t>
      </w:r>
      <w:r>
        <w:t xml:space="preserve">R2 spike: the value differs by a factor of more than four from both adjacent years in the same direction (for end years, from the adjacent year and the county median). R3 mirror: own revenue is at least 80% of expenditure in a county whose median self-sufficiency is below 20%. R4: expenditure below own revenue.</w:t>
      </w:r>
    </w:p>
    <w:bookmarkEnd w:id="52"/>
    <w:bookmarkStart w:id="53" w:name="appendix-b.-additional-results"/>
    <w:p>
      <w:pPr>
        <w:pStyle w:val="Heading1"/>
      </w:pPr>
      <w:r>
        <w:t xml:space="preserve">Appendix B. Additional results</w:t>
      </w:r>
    </w:p>
    <w:p>
      <w:pPr>
        <w:pStyle w:val="FirstParagraph"/>
      </w:pPr>
      <w:r>
        <w:rPr>
          <w:iCs/>
          <w:i/>
        </w:rPr>
        <w:t xml:space="preserve">Table B.1. Expenditure responses by county self-sufficiency.</w:t>
      </w:r>
    </w:p>
    <w:tbl>
      <w:tblPr>
        <w:tblStyle w:val="Table"/>
        <w:tblW w:type="pct" w:w="5000"/>
        <w:tblLayout w:type="autofit"/>
        <w:tblLook w:firstRow="1" w:lastRow="0" w:firstColumn="0" w:lastColumn="0" w:noHBand="0" w:noVBand="0" w:val="0020"/>
        <w:jc w:val="start"/>
      </w:tblPr>
      <w:tblGrid>
        <w:gridCol w:w="1760"/>
        <w:gridCol w:w="2090"/>
        <w:gridCol w:w="1320"/>
        <w:gridCol w:w="1320"/>
        <w:gridCol w:w="660"/>
        <w:gridCol w:w="770"/>
      </w:tblGrid>
      <w:tr>
        <w:trPr>
          <w:tblHeader w:val="true"/>
        </w:trPr>
        <w:tc>
          <w:tcPr/>
          <w:p>
            <w:pPr>
              <w:pStyle w:val="Compact"/>
              <w:spacing w:line="240" w:lineRule="auto"/>
              <w:jc w:val="left"/>
            </w:pPr>
            <w:r>
              <w:rPr>
                <w:sz w:val="20"/>
              </w:rPr>
              <w:t xml:space="preserve">Group</w:t>
            </w:r>
          </w:p>
        </w:tc>
        <w:tc>
          <w:tcPr/>
          <w:p>
            <w:pPr>
              <w:pStyle w:val="Compact"/>
              <w:spacing w:line="240" w:lineRule="auto"/>
              <w:jc w:val="left"/>
            </w:pPr>
            <w:r>
              <w:rPr>
                <w:sz w:val="20"/>
              </w:rPr>
              <w:t xml:space="preserve">Equation</w:t>
            </w:r>
          </w:p>
        </w:tc>
        <w:tc>
          <w:tcPr/>
          <w:p>
            <w:pPr>
              <w:pStyle w:val="Compact"/>
              <w:spacing w:line="240" w:lineRule="auto"/>
              <w:jc w:val="center"/>
            </w:pPr>
            <w:r>
              <w:rPr>
                <w:sz w:val="20"/>
              </w:rPr>
              <w:t xml:space="preserve">β⁺ (s.e.)</w:t>
            </w:r>
          </w:p>
        </w:tc>
        <w:tc>
          <w:tcPr/>
          <w:p>
            <w:pPr>
              <w:pStyle w:val="Compact"/>
              <w:spacing w:line="240" w:lineRule="auto"/>
              <w:jc w:val="center"/>
            </w:pPr>
            <w:r>
              <w:rPr>
                <w:sz w:val="20"/>
              </w:rPr>
              <w:t xml:space="preserve">β⁻ (s.e.)</w:t>
            </w:r>
          </w:p>
        </w:tc>
        <w:tc>
          <w:tcPr/>
          <w:p>
            <w:pPr>
              <w:pStyle w:val="Compact"/>
              <w:spacing w:line="240" w:lineRule="auto"/>
              <w:jc w:val="right"/>
            </w:pPr>
            <w:r>
              <w:rPr>
                <w:sz w:val="20"/>
              </w:rPr>
              <w:t xml:space="preserve">Wald</w:t>
            </w:r>
            <w:r>
              <w:rPr>
                <w:sz w:val="20"/>
              </w:rPr>
              <w:t xml:space="preserve"> </w:t>
            </w:r>
            <w:r>
              <w:rPr>
                <w:iCs/>
                <w:i/>
                <w:sz w:val="20"/>
              </w:rPr>
              <w:t xml:space="preserve">p</w:t>
            </w:r>
          </w:p>
        </w:tc>
        <w:tc>
          <w:tcPr/>
          <w:p>
            <w:pPr>
              <w:pStyle w:val="Compact"/>
              <w:spacing w:line="240" w:lineRule="auto"/>
              <w:jc w:val="right"/>
            </w:pPr>
            <w:r>
              <w:rPr>
                <w:iCs/>
                <w:i/>
                <w:sz w:val="20"/>
              </w:rPr>
              <w:t xml:space="preserve">N</w:t>
            </w:r>
            <w:r>
              <w:rPr>
                <w:sz w:val="20"/>
              </w:rPr>
              <w:t xml:space="preserve"> </w:t>
            </w:r>
            <w:r>
              <w:rPr>
                <w:sz w:val="20"/>
              </w:rPr>
              <w:t xml:space="preserve">(counties)</w:t>
            </w:r>
          </w:p>
        </w:tc>
      </w:tr>
      <w:tr>
        <w:tc>
          <w:tcPr/>
          <w:p>
            <w:pPr>
              <w:pStyle w:val="Compact"/>
              <w:spacing w:line="240" w:lineRule="auto"/>
              <w:jc w:val="left"/>
            </w:pPr>
            <w:r>
              <w:rPr>
                <w:sz w:val="20"/>
              </w:rPr>
              <w:t xml:space="preserve">Low self-sufficiency</w:t>
            </w:r>
          </w:p>
        </w:tc>
        <w:tc>
          <w:tcPr/>
          <w:p>
            <w:pPr>
              <w:pStyle w:val="Compact"/>
              <w:spacing w:line="240" w:lineRule="auto"/>
              <w:jc w:val="left"/>
            </w:pPr>
            <w:r>
              <w:rPr>
                <w:sz w:val="20"/>
              </w:rPr>
              <w:t xml:space="preserve">Expenditure ← GDP</w:t>
            </w:r>
          </w:p>
        </w:tc>
        <w:tc>
          <w:tcPr/>
          <w:p>
            <w:pPr>
              <w:pStyle w:val="Compact"/>
              <w:spacing w:line="240" w:lineRule="auto"/>
              <w:jc w:val="center"/>
            </w:pPr>
            <w:r>
              <w:rPr>
                <w:sz w:val="20"/>
              </w:rPr>
              <w:t xml:space="preserve">0.191 (0.158)</w:t>
            </w:r>
          </w:p>
        </w:tc>
        <w:tc>
          <w:tcPr/>
          <w:p>
            <w:pPr>
              <w:pStyle w:val="Compact"/>
              <w:spacing w:line="240" w:lineRule="auto"/>
              <w:jc w:val="center"/>
            </w:pPr>
            <w:r>
              <w:rPr>
                <w:sz w:val="20"/>
              </w:rPr>
              <w:t xml:space="preserve">0.152 (0.191)</w:t>
            </w:r>
          </w:p>
        </w:tc>
        <w:tc>
          <w:tcPr/>
          <w:p>
            <w:pPr>
              <w:pStyle w:val="Compact"/>
              <w:spacing w:line="240" w:lineRule="auto"/>
              <w:jc w:val="right"/>
            </w:pPr>
            <w:r>
              <w:rPr>
                <w:sz w:val="20"/>
              </w:rPr>
              <w:t xml:space="preserve">0.904</w:t>
            </w:r>
          </w:p>
        </w:tc>
        <w:tc>
          <w:tcPr/>
          <w:p>
            <w:pPr>
              <w:pStyle w:val="Compact"/>
              <w:spacing w:line="240" w:lineRule="auto"/>
              <w:jc w:val="right"/>
            </w:pPr>
            <w:r>
              <w:rPr>
                <w:sz w:val="20"/>
              </w:rPr>
              <w:t xml:space="preserve">289 (37)</w:t>
            </w:r>
          </w:p>
        </w:tc>
      </w:tr>
      <w:tr>
        <w:tc>
          <w:tcPr/>
          <w:p>
            <w:pPr>
              <w:pStyle w:val="Compact"/>
              <w:spacing w:line="240" w:lineRule="auto"/>
              <w:jc w:val="left"/>
            </w:pPr>
            <w:r>
              <w:rPr>
                <w:sz w:val="20"/>
              </w:rPr>
              <w:t xml:space="preserve">Low self-sufficiency</w:t>
            </w:r>
          </w:p>
        </w:tc>
        <w:tc>
          <w:tcPr/>
          <w:p>
            <w:pPr>
              <w:pStyle w:val="Compact"/>
              <w:spacing w:line="240" w:lineRule="auto"/>
              <w:jc w:val="left"/>
            </w:pPr>
            <w:r>
              <w:rPr>
                <w:sz w:val="20"/>
              </w:rPr>
              <w:t xml:space="preserve">Expenditure ← own revenue</w:t>
            </w:r>
          </w:p>
        </w:tc>
        <w:tc>
          <w:tcPr/>
          <w:p>
            <w:pPr>
              <w:pStyle w:val="Compact"/>
              <w:spacing w:line="240" w:lineRule="auto"/>
              <w:jc w:val="center"/>
            </w:pPr>
            <w:r>
              <w:rPr>
                <w:sz w:val="20"/>
              </w:rPr>
              <w:t xml:space="preserve">0.062 (0.059)</w:t>
            </w:r>
          </w:p>
        </w:tc>
        <w:tc>
          <w:tcPr/>
          <w:p>
            <w:pPr>
              <w:pStyle w:val="Compact"/>
              <w:spacing w:line="240" w:lineRule="auto"/>
              <w:jc w:val="center"/>
            </w:pPr>
            <w:r>
              <w:rPr>
                <w:sz w:val="20"/>
              </w:rPr>
              <w:t xml:space="preserve">0.077 (0.109)</w:t>
            </w:r>
          </w:p>
        </w:tc>
        <w:tc>
          <w:tcPr/>
          <w:p>
            <w:pPr>
              <w:pStyle w:val="Compact"/>
              <w:spacing w:line="240" w:lineRule="auto"/>
              <w:jc w:val="right"/>
            </w:pPr>
            <w:r>
              <w:rPr>
                <w:sz w:val="20"/>
              </w:rPr>
              <w:t xml:space="preserve">0.917</w:t>
            </w:r>
          </w:p>
        </w:tc>
        <w:tc>
          <w:tcPr/>
          <w:p>
            <w:pPr>
              <w:pStyle w:val="Compact"/>
              <w:spacing w:line="240" w:lineRule="auto"/>
              <w:jc w:val="right"/>
            </w:pPr>
            <w:r>
              <w:rPr>
                <w:sz w:val="20"/>
              </w:rPr>
              <w:t xml:space="preserve">269 (37)</w:t>
            </w:r>
          </w:p>
        </w:tc>
      </w:tr>
      <w:tr>
        <w:tc>
          <w:tcPr/>
          <w:p>
            <w:pPr>
              <w:pStyle w:val="Compact"/>
              <w:spacing w:line="240" w:lineRule="auto"/>
              <w:jc w:val="left"/>
            </w:pPr>
            <w:r>
              <w:rPr>
                <w:sz w:val="20"/>
              </w:rPr>
              <w:t xml:space="preserve">High self-sufficiency</w:t>
            </w:r>
          </w:p>
        </w:tc>
        <w:tc>
          <w:tcPr/>
          <w:p>
            <w:pPr>
              <w:pStyle w:val="Compact"/>
              <w:spacing w:line="240" w:lineRule="auto"/>
              <w:jc w:val="left"/>
            </w:pPr>
            <w:r>
              <w:rPr>
                <w:sz w:val="20"/>
              </w:rPr>
              <w:t xml:space="preserve">Expenditure ← GDP</w:t>
            </w:r>
          </w:p>
        </w:tc>
        <w:tc>
          <w:tcPr/>
          <w:p>
            <w:pPr>
              <w:pStyle w:val="Compact"/>
              <w:spacing w:line="240" w:lineRule="auto"/>
              <w:jc w:val="center"/>
            </w:pPr>
            <w:r>
              <w:rPr>
                <w:sz w:val="20"/>
              </w:rPr>
              <w:t xml:space="preserve">-0.019 (0.112)</w:t>
            </w:r>
          </w:p>
        </w:tc>
        <w:tc>
          <w:tcPr/>
          <w:p>
            <w:pPr>
              <w:pStyle w:val="Compact"/>
              <w:spacing w:line="240" w:lineRule="auto"/>
              <w:jc w:val="center"/>
            </w:pPr>
            <w:r>
              <w:rPr>
                <w:sz w:val="20"/>
              </w:rPr>
              <w:t xml:space="preserve">-0.558 (0.364)</w:t>
            </w:r>
          </w:p>
        </w:tc>
        <w:tc>
          <w:tcPr/>
          <w:p>
            <w:pPr>
              <w:pStyle w:val="Compact"/>
              <w:spacing w:line="240" w:lineRule="auto"/>
              <w:jc w:val="right"/>
            </w:pPr>
            <w:r>
              <w:rPr>
                <w:sz w:val="20"/>
              </w:rPr>
              <w:t xml:space="preserve">0.174</w:t>
            </w:r>
          </w:p>
        </w:tc>
        <w:tc>
          <w:tcPr/>
          <w:p>
            <w:pPr>
              <w:pStyle w:val="Compact"/>
              <w:spacing w:line="240" w:lineRule="auto"/>
              <w:jc w:val="right"/>
            </w:pPr>
            <w:r>
              <w:rPr>
                <w:sz w:val="20"/>
              </w:rPr>
              <w:t xml:space="preserve">279 (36)</w:t>
            </w:r>
          </w:p>
        </w:tc>
      </w:tr>
      <w:tr>
        <w:tc>
          <w:tcPr/>
          <w:p>
            <w:pPr>
              <w:pStyle w:val="Compact"/>
              <w:spacing w:line="240" w:lineRule="auto"/>
              <w:jc w:val="left"/>
            </w:pPr>
            <w:r>
              <w:rPr>
                <w:sz w:val="20"/>
              </w:rPr>
              <w:t xml:space="preserve">High self-sufficiency</w:t>
            </w:r>
          </w:p>
        </w:tc>
        <w:tc>
          <w:tcPr/>
          <w:p>
            <w:pPr>
              <w:pStyle w:val="Compact"/>
              <w:spacing w:line="240" w:lineRule="auto"/>
              <w:jc w:val="left"/>
            </w:pPr>
            <w:r>
              <w:rPr>
                <w:sz w:val="20"/>
              </w:rPr>
              <w:t xml:space="preserve">Expenditure ← own revenue</w:t>
            </w:r>
          </w:p>
        </w:tc>
        <w:tc>
          <w:tcPr/>
          <w:p>
            <w:pPr>
              <w:pStyle w:val="Compact"/>
              <w:spacing w:line="240" w:lineRule="auto"/>
              <w:jc w:val="center"/>
            </w:pPr>
            <w:r>
              <w:rPr>
                <w:sz w:val="20"/>
              </w:rPr>
              <w:t xml:space="preserve">0.011 (0.052)</w:t>
            </w:r>
          </w:p>
        </w:tc>
        <w:tc>
          <w:tcPr/>
          <w:p>
            <w:pPr>
              <w:pStyle w:val="Compact"/>
              <w:spacing w:line="240" w:lineRule="auto"/>
              <w:jc w:val="center"/>
            </w:pPr>
            <w:r>
              <w:rPr>
                <w:sz w:val="20"/>
              </w:rPr>
              <w:t xml:space="preserve">-0.051 (0.074)</w:t>
            </w:r>
          </w:p>
        </w:tc>
        <w:tc>
          <w:tcPr/>
          <w:p>
            <w:pPr>
              <w:pStyle w:val="Compact"/>
              <w:spacing w:line="240" w:lineRule="auto"/>
              <w:jc w:val="right"/>
            </w:pPr>
            <w:r>
              <w:rPr>
                <w:sz w:val="20"/>
              </w:rPr>
              <w:t xml:space="preserve">0.526</w:t>
            </w:r>
          </w:p>
        </w:tc>
        <w:tc>
          <w:tcPr/>
          <w:p>
            <w:pPr>
              <w:pStyle w:val="Compact"/>
              <w:spacing w:line="240" w:lineRule="auto"/>
              <w:jc w:val="right"/>
            </w:pPr>
            <w:r>
              <w:rPr>
                <w:sz w:val="20"/>
              </w:rPr>
              <w:t xml:space="preserve">267 (36)</w:t>
            </w:r>
          </w:p>
        </w:tc>
      </w:tr>
    </w:tbl>
    <w:p>
      <w:pPr>
        <w:pStyle w:val="BodyText"/>
      </w:pPr>
      <w:r>
        <w:rPr>
          <w:iCs/>
          <w:i/>
        </w:rPr>
        <w:t xml:space="preserve">Notes:</w:t>
      </w:r>
      <w:r>
        <w:t xml:space="preserve"> </w:t>
      </w:r>
      <w:r>
        <w:t xml:space="preserve">Counties are split at the median of their average self-sufficiency ratio over 2016–2024. Each row is a separate estimate of Eq. (6) with county and year fixed effects. Standard errors clustered by county in parentheses. ***</w:t>
      </w:r>
      <w:r>
        <w:t xml:space="preserve"> </w:t>
      </w:r>
      <w:r>
        <w:rPr>
          <w:iCs/>
          <w:i/>
        </w:rPr>
        <w:t xml:space="preserve">p</w:t>
      </w:r>
      <w:r>
        <w:t xml:space="preserve"> </w:t>
      </w:r>
      <w:r>
        <w:t xml:space="preserve">&lt; 0.01, **</w:t>
      </w:r>
      <w:r>
        <w:t xml:space="preserve"> </w:t>
      </w:r>
      <w:r>
        <w:rPr>
          <w:iCs/>
          <w:i/>
        </w:rPr>
        <w:t xml:space="preserve">p</w:t>
      </w:r>
      <w:r>
        <w:t xml:space="preserve"> </w:t>
      </w:r>
      <w:r>
        <w:t xml:space="preserve">&lt; 0.05, *</w:t>
      </w:r>
      <w:r>
        <w:t xml:space="preserve"> </w:t>
      </w:r>
      <w:r>
        <w:rPr>
          <w:iCs/>
          <w:i/>
        </w:rPr>
        <w:t xml:space="preserve">p</w:t>
      </w:r>
      <w:r>
        <w:t xml:space="preserve"> </w:t>
      </w:r>
      <w:r>
        <w:t xml:space="preserve">&lt; 0.1.</w:t>
      </w:r>
    </w:p>
    <w:p>
      <w:pPr>
        <w:pStyle w:val="BodyText"/>
      </w:pPr>
      <w:r>
        <w:t xml:space="preserve">Leave-one-out check for the revenue equation (Table 5, column 5): re-estimating after dropping each of the 23 contraction observations in turn gives coefficients on Δln GDP⁻ between -1.64 and -0.94, with Wald</w:t>
      </w:r>
      <w:r>
        <w:t xml:space="preserve"> </w:t>
      </w:r>
      <w:r>
        <w:rPr>
          <w:iCs/>
          <w:i/>
        </w:rPr>
        <w:t xml:space="preserve">p</w:t>
      </w:r>
      <w:r>
        <w:t xml:space="preserve">-values for β⁺ = β⁻ no larger than 0.042. The full set of estimates is included in the supplementary data.</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4"/>
    </w:rPr>
  </w:style>
  <w:style w:styleId="BodyText" w:type="paragraph">
    <w:name w:val="Body Text"/>
    <w:basedOn w:val="Normal"/>
    <w:link w:val="BodyTextChar"/>
    <w:pPr>
      <w:spacing w:after="180" w:before="180" w:line="360" w:lineRule="auto"/>
    </w:pPr>
    <w:qFormat/>
    <w:rPr>
      <w:rFonts w:ascii="Times New Roman" w:hAnsi="Times New Roman"/>
      <w:sz w:val="24"/>
    </w:rPr>
  </w:style>
  <w:style w:customStyle="1" w:styleId="FirstParagraph" w:type="paragraph">
    <w:name w:val="First Paragraph"/>
    <w:basedOn w:val="BodyText"/>
    <w:next w:val="BodyText"/>
    <w:qFormat/>
    <w:pPr>
      <w:spacing w:line="360" w:lineRule="auto"/>
    </w:pPr>
    <w:rPr>
      <w:rFonts w:ascii="Times New Roman" w:hAnsi="Times New Roman"/>
      <w:sz w:val="24"/>
    </w:rPr>
  </w:style>
  <w:style w:customStyle="1" w:styleId="Compact" w:type="paragraph">
    <w:name w:val="Compact"/>
    <w:basedOn w:val="BodyText"/>
    <w:qFormat/>
    <w:pPr>
      <w:spacing w:after="36" w:before="36" w:line="36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sz w:val="32"/>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line="360" w:lineRule="auto"/>
    </w:pPr>
    <w:rPr>
      <w:rFonts w:ascii="Times New Roman" w:hAnsi="Times New Roman"/>
      <w:sz w:val="24"/>
      <w:szCs w:val="20"/>
    </w:rPr>
  </w:style>
  <w:style w:styleId="Bibliography" w:type="paragraph">
    <w:name w:val="Bibliography"/>
    <w:basedOn w:val="Normal"/>
    <w:next w:val="Bibliography"/>
    <w:qFormat/>
    <w:pPr>
      <w:spacing w:line="360" w:lineRule="auto"/>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heme="majorEastAsia" w:hAnsi="Times New Roman" w:hAnsiTheme="majorHAnsi"/>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heme="majorEastAsia" w:hAnsi="Times New Roman" w:hAnsiTheme="majorHAnsi"/>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heme="majorEastAsia" w:hAnsi="Times New Roman"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3" Type="http://schemas.openxmlformats.org/officeDocument/2006/relationships/image" Target="media/rId33.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Asymmetric fiscal capacity and insulated spending in a transfer-dependent periphery: County-level evidence from Tibet, 2016–2024</dc:title>
  <dc:creator/>
  <cp:keywords/>
  <dcterms:created xsi:type="dcterms:W3CDTF">2026-10-22T08:55:09Z</dcterms:created>
  <dcterms:modified xsi:type="dcterms:W3CDTF">2026-10-22T08:55:09Z</dcterms:modified>
</cp:coreProperties>
</file>

<file path=docProps/custom.xml><?xml version="1.0" encoding="utf-8"?>
<Properties xmlns="http://schemas.openxmlformats.org/officeDocument/2006/custom-properties" xmlns:vt="http://schemas.openxmlformats.org/officeDocument/2006/docPropsVTypes"/>
</file>