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p>
      <w:pPr>
        <w:spacing w:after="160" w:before="260"/>
      </w:pPr>
      <w:r>
        <w:rPr>
          <w:rFonts w:ascii="SimHei" w:cs="SimHei" w:eastAsia="SimHei" w:hAnsi="SimHei"/>
          <w:b/>
          <w:bCs/>
          <w:sz w:val="26"/>
          <w:szCs w:val="26"/>
        </w:rPr>
        <w:t xml:space="preserve">硕士研究生学位论文开题报告表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2018年1月，沪深交易所与中国证券登记结算有限责任公司分别发布《股票质押式回购交易及登记结算业务办法（2018年修订）》，并于同年3月12日起实施，对融入方资质、股票质押率、单只股票质押比例、资金用途等作出更严格规定；2018年第四季度起，多个省份的地方政府与金融机构陆续设立民营企业纾困专项基金，以市场化方式化解上市公司股权质押风险（毛捷和管星华，2022）。2019年10月，上海、深圳证券交易所分别修订股份质押信息披露相关公告格式指引，进一步强化对控股股东高比例质押、平仓风险及股份冻结等事项的信息披露要求；2025年12月，中国证监会就《上市公司监督管理条例（公开征求意见稿）》公开征求意见，进一步完善上市公司治理、信息披露及控股股东、实际控制人等关键少数监管要求。上述制度演进反映出监管层对股权质押风险及其向公司治理和经营层面传导问题的持续关注，也为本文考察监管政策和地方纾困措施的影响提供了政策背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基于2013—2015年季度数据发现二者呈U型关系：质押比例较低时以“掏空”为主，现金持有下降；质押比例超过约55%后以规避控制权转移风险为主，现金持有上升。但该结论来自混合截面回归，未控制公司固定效应，U型的上升段究竟反映同一公司质押加深后的行为变化，还是高质押公司与其他公司之间的固有差异，尚未得到区分；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评估监管政策对质押风险传导的实际效果。</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以2018年股票质押新规为政策冲击评估监管效果，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 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Graham和Leary（2018）基于美国近一个世纪的数据进一步发现，近年来平均现金持有水平的上升几乎完全来自新上市公司现金政策的变化，同一公司内部的现金持有并未随之上升，这提示研究现金持有问题时需要区分公司间差异与公司内变化，并关注上市年限的影响。自Fazzari等（1988）提出投资—现金流敏感性框架以来，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 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降低企业投资效率（柯艳蓉和李玉敏，2019），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但也有证据表明质押未必恶化公司的融资条件：Cheng等（2021）发现，融资约束较高是内部人进行股权质押的重要动因，而控股股东质押在次年反而可能缓解公司的融资约束；Shi等（2023）借助中国股票质押制度改革构造双重差分模型，并利用民营企业在银行信贷中受到歧视这一特征进行识别，发现融资约束是触发控股股东质押的重要原因；Hou和Lu（2024）则发现，控股股东质押公司的银行贷款利差更低、贷款期限更长。可见，质押与融资约束之间的关系本身仍有争议，这也是本文将融资约束作为边界条件而非单一渠道加以检验的原因。</w:t>
            </w:r>
          </w:p>
          <w:p>
            <w:pPr>
              <w:spacing/>
              <w:ind w:firstLine="420"/>
            </w:pPr>
            <w:r>
              <w:rPr>
                <w:rFonts w:ascii="宋体" w:cs="SimSun" w:eastAsia="宋体" w:hAnsi="宋体"/>
                <w:sz w:val="21"/>
                <w:szCs w:val="22"/>
              </w:rPr>
              <w:t xml:space="preserve">境外研究表明，内部人股权质押并非中国独有的现象。Chen和Hu（2007）较早基于我国台湾地区数据考察了控股股东个人杠杆与公司绩效的关系；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 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以及质押对公司股票流动性的影响（柯艳蓉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余明桂等（2021）将股权质押划分为支持型与非支持型，发现只有资金投向上市公司的支持型质押才显著提高公司投资水平；苏治等（2023）以公用型与私用型的类似划分发现，私用型质押显著提高股价崩盘风险，而公用型质押则无显著影响。从资金去向的总体分布看，Pan和Qian（2024）基于中国上市公司的质押交易数据发现，为上市公司本身融资的质押交易仅占17.4%；He等（2022）的问卷调查也显示，67.3%的第一大股东将质押资金用于上市公司之外，且股东质押与其在上市公司之外的创业活动显著正相关。这提示两种机制可能在不同的质押类型与不同的企业情境下分别占据主导地位。</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考察监管政策对这一传导关系的影响。</w:t>
            </w:r>
          </w:p>
          <w:p>
            <w:pPr>
              <w:spacing/>
              <w:ind/>
            </w:pPr>
            <w:r>
              <w:rPr>
                <w:rFonts w:ascii="宋体" w:cs="SimSun" w:eastAsia="宋体" w:hAnsi="宋体"/>
                <w:b/>
                <w:sz w:val="21"/>
                <w:szCs w:val="22"/>
              </w:rPr>
              <w:t xml:space="preserve">4. 股权质押风险的监管应对与纾困政策</w:t>
            </w:r>
          </w:p>
          <w:p>
            <w:pPr>
              <w:spacing/>
              <w:ind w:firstLine="420"/>
            </w:pPr>
            <w:r>
              <w:rPr>
                <w:rFonts w:ascii="宋体" w:cs="SimSun" w:eastAsia="宋体" w:hAnsi="宋体"/>
                <w:b/>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Guo等（2021）研究了中国市场上股权质押与股份回购限制放松之间的关系，Su和Alexiou（2023）则考察了2018年质押监管收紧的影响，发现新规实施后质押公司的股价崩盘风险与破产风险下降、融资约束得到缓解、控股股东的掏空行为受到抑制，控股股东也将更多质押资金投入上市公司。国内围绕2018年股票质押新规已形成一批文献：熊海芳等（2020）以新规中单只股票整体质押比例不超过50%的限制为自然实验，考察了质押比例限制对股票市场稳定的影响；连玉君和刘畅（2021）发现，新规在长期内降低了高质押公司的股价崩盘风险，但“一刀切”式的严格监管也使其市场价值下降，这主要源于投资者要求的风险补偿上升，而非公司财务表现恶化；何熙琼等（2023）发现，新规通过降低控股股东两权分离度和公司盈余管理程度，抑制了控股股东借助关联交易进行的私利侵占；梁芳凝和庞世明（2024）、孙伟艳和肖琼（2026）则发现新规显著降低了企业的盈余管理水平。纾困政策方面，毛捷和管星华（2022）以各省份分批实施的纾困计划为准自然实验，构建强度双重差分模型，发现纾困计划显著提升了上市公司市场价值，其作用机制在于抑制了控股股东的资金占用与关联交易；周孝华和王诗意（2022）从民营企业价值视角检验了纾困基金的“造血”扶持效应；刘强等（2025）进一步发现，纾困基金能够有效缓解股权质押对企业劳动收入份额的抑制作用。郑登津等（2026）则系统梳理了我国股权质押制度的演进脉络，并以2019年信息披露新规作为外生冲击开展分组检验。</w:t>
            </w:r>
          </w:p>
          <w:p>
            <w:pPr>
              <w:spacing/>
              <w:ind w:firstLine="420"/>
            </w:pPr>
            <w:r>
              <w:rPr>
                <w:rFonts w:ascii="宋体" w:cs="SimSun" w:eastAsia="宋体" w:hAnsi="宋体"/>
                <w:b/>
                <w:sz w:val="21"/>
                <w:szCs w:val="22"/>
              </w:rPr>
              <w:t xml:space="preserve">需要指出的是，上述新规研究关注的是股票市场稳定、公司价值、私利侵占与盈余管理，尚未见有研究考察新规对企业现金持有水平的影响。若新规确如何熙琼等（2023）所发现的那样抑制了控股股东的私利侵占，则在掏空渠道占主导的情形下，高质押公司的现金持有应在新规实施后相对上升，这为本文的双重差分检验提供了可检验的预测。此外，既有研究多以当期质押比例与政策时点的交乘项度量处理强度，而当期质押比例本身会受到新规的影响；本文改以新规实施前（2016—2017年）的平均质押比例度量处理强度，以避免这一问题。</w:t>
            </w:r>
          </w:p>
          <w:p>
            <w:pPr>
              <w:spacing/>
            </w:pPr>
            <w:r>
              <w:rPr>
                <w:rFonts w:ascii="宋体" w:cs="SimSun" w:eastAsia="宋体" w:hAnsi="宋体"/>
                <w:b/>
                <w:bCs/>
                <w:sz w:val="21"/>
                <w:szCs w:val="22"/>
              </w:rPr>
              <w:t xml:space="preserve">5. 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发现股权质押与现金持有呈U型关系，但其识别依赖混合截面回归中的平方项，未区分公司间差异与公司内变化，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在控制公司固定效应的条件下重新检验既有文献发现的U型关系，区分公司间差异与公司内变化；同时以平仓压力、控股股东资金占用和现金边际价值（Faulkender和Wang，2006）构造能够区分风险规避与掏空的渠道检验，并以融资约束程度和产权性质刻画效应的边界条件；第三，在政策评估上，以2018年股票质押新规构造处理强度双重差分模型，检验新规是否压降了质押规模、是否改变了质押风险向公司现金政策的传导，并以省级纾困计划构造的交错双重差分模型作为补充；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r>
        <w:br w:type="page"/>
      </w:r>
    </w:p>
    <w:p>
      <w:pPr>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沪深A股非金融类上市公司为研究对象（不含北交所上市公司），剔除ST、*ST、金融类企业、资不抵债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 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唐玮等，2019）。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 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 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内生性处理上，以公司与年度双向固定效应控制不随时间变化的公司特征与共同冲击，并加入上市年数固定效应控制新上市公司的现金持有生命周期特征；在政策评估上，以2018年股票质押新规构造处理强度双重差分模型，配合平行趋势、动态效应与安慰剂检验，以各省份分批实施的纾困计划构造交错双重差分模型作为补充，鉴于交错处理下传统双向固定效应估计量存在偏误（Goodman-Bacon，2021；de Chaisemartin和D’Haultfœuille，2020），该部分采用Callaway和Sant’Anna（2021）与Sun和Abraham（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政策评估）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并复现李常青等（2018b）的U型关系、比较混合回归与公司固定效应的结果；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5375559" cy="6838906"/>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5375559" cy="6838906"/>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5040000" cy="501200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5040000" cy="501200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区分公司间差异与公司内变化重新检验既有文献发现的U型关系，结合渠道检验判断“掏空”与“风险规避”两种机制是否成立，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稳健性检验与内生性处理检验该效应的可靠性及其在融资约束、产权性质维度上的差异，以双重差分评估2018年股票质押新规的政策效果，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r>
        <w:br w:type="page"/>
      </w:r>
    </w:p>
    <w:p>
      <w:pPr>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年末未解押余额需要依据逐笔变动记录推算，且不同数据表的统计口径可能不完全一致。本文以CSMAR股东股权质押统计表推算年末第一大股东质押比例作为基准口径，以股东股权质押情况明细表独立构造的口径进行交叉核验，并与十大股东文件中的质押、冻结或托管标识相互比对；对差异较大的样本，将通过手工核对上市公司公告加以修正。</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公司与年度双向固定效应控制不随时间变化的公司特征与共同冲击，加入上市年数固定效应控制新上市公司募集资金带来的现金持有生命周期特征，并将核心解释变量滞后一期、采用倾向得分匹配样本重新估计，以缓解同时性与样本选择问题。其二，以2018年股票质押新规构造双重差分设计，用于评估监管政策的实际效果。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三，借鉴毛捷和管星华（2022）的做法，以各省份分批实施的纾困计划构造交错双重差分模型作为补充检验：若H1a成立，纾困实施后高质押公司的预防性现金持有应相应回落。但按照毛捷和管星华（2022）的政策界定，仅海南、贵州、云南、甘肃、青海和西藏未设立地方政府纾困基金，本文将其作为未实施地方政府纾困的省份，对照组上市公司数量有限，且各批次集中在2018年第四季度至2019年第三季度实施，年度数据下的处理队列较少，统计效力可能不足；若样本量不足，本文将改用纾困力度连续变量进行估计，并将该部分结果定位为辅助证据。需要说明的是，上述方法均难以完全排除随时间变化的遗漏变量的影响，本文将审慎使用“相关”“一致”等表述，并在研究不足部分如实说明因果识别的局限。</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余明桂等（2021）与苏治等（2023）按质押资金投向的划分（资金投向取自CSMAR质押明细表，投向上市公司的记录仅约占2%，该项检验仅作补充），比较支持型（公用型）与非支持型（私用型）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r>
        <w:br w:type="page"/>
      </w:r>
    </w:p>
    <w:p>
      <w:pPr>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本文所需数据均来自国泰安（CSMAR）数据库，已完成下载、清洗与匹配，数据来源与处理步骤如下。已收集的数据清单如下：</w:t>
            </w:r>
          </w:p>
          <w:p>
            <w:pPr>
              <w:spacing/>
              <w:ind w:firstLine="420"/>
            </w:pPr>
            <w:r>
              <w:rPr>
                <w:rFonts w:ascii="宋体" w:cs="SimSun" w:eastAsia="宋体" w:hAnsi="宋体"/>
                <w:sz w:val="21"/>
                <w:szCs w:val="22"/>
              </w:rPr>
              <w:t xml:space="preserve">① 大股东股权质押数据：CSMAR「股东股权质押统计表」（逐次变动记录）与「股东股权质押情况明细表」（逐笔交易记录，含起始日期、质权人类型与资金投向），结合「十大股东文件」识别第一大股东及其持股数；</w:t>
            </w:r>
          </w:p>
          <w:p>
            <w:pPr>
              <w:spacing/>
              <w:ind w:firstLine="420"/>
            </w:pPr>
            <w:r>
              <w:rPr>
                <w:rFonts w:ascii="宋体" w:cs="SimSun" w:eastAsia="宋体" w:hAnsi="宋体"/>
                <w:sz w:val="21"/>
                <w:szCs w:val="22"/>
              </w:rPr>
              <w:t xml:space="preserve">② 公司财务数据：总资产、总负债、货币资金、流动资产与流动负债、其他应收款与其他应付款、经营活动现金流、资本支出、净利润、营业总收入等，来源CSMAR「公司研究系列—财务报表」（合并报表、年报）；</w:t>
            </w:r>
          </w:p>
          <w:p>
            <w:pPr>
              <w:spacing/>
              <w:ind w:firstLine="420"/>
            </w:pPr>
            <w:r>
              <w:rPr>
                <w:rFonts w:ascii="宋体" w:cs="SimSun" w:eastAsia="宋体" w:hAnsi="宋体"/>
                <w:sz w:val="21"/>
                <w:szCs w:val="22"/>
              </w:rPr>
              <w:t xml:space="preserve">③ 公司治理数据：第一大股东持股比例、产权性质，来源CSMAR「股东研究」十大股东文件与股权性质文件；</w:t>
            </w:r>
          </w:p>
          <w:p>
            <w:pPr>
              <w:spacing/>
              <w:ind w:firstLine="420"/>
            </w:pPr>
            <w:r>
              <w:rPr>
                <w:rFonts w:ascii="宋体" w:cs="SimSun" w:eastAsia="宋体" w:hAnsi="宋体"/>
                <w:sz w:val="21"/>
                <w:szCs w:val="22"/>
              </w:rPr>
              <w:t xml:space="preserve">④ 市场交易数据：年个股回报率与市值、月个股回报率及Fama-French三因子，用于计算Tobin's Q、平仓压力与现金边际价值，来源CSMAR股票市场交易数据库与因子研究数据库；</w:t>
            </w:r>
          </w:p>
          <w:p>
            <w:pPr>
              <w:spacing/>
              <w:ind w:firstLine="420"/>
            </w:pPr>
            <w:r>
              <w:rPr>
                <w:rFonts w:ascii="宋体" w:cs="SimSun" w:eastAsia="宋体" w:hAnsi="宋体"/>
                <w:sz w:val="21"/>
                <w:szCs w:val="22"/>
              </w:rPr>
              <w:t xml:space="preserve">⑤ 样本区间与筛选规则：2007—2025年沪深A股非金融类上市公司（覆盖2018年质押新规实施前11年、实施后8年），剔除ST、*ST（依据当年证券简称识别）、资不抵债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spacing/>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进度</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CSMAR「股东研究—十大股东」「公司研究—股权质押」子库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从国泰安（CSMAR）数据库导出质押统计表、明细表与十大股东文件，按「股票代码—年度」构造年末质押比例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导出合并报表年报数据，按「股票代码—年度」整理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公司治理数据（第一大股东持股比例、产权性质）</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CSMAR「股东研究—十大股东」「股权性质」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导出后与财务数据按「股票代码—年度」匹配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CSMAR「股票市场交易数据库」（年、月个股回报率）与「因子研究」（三因子）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Q、平仓压力与现金边际价值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CSMAR「公司文件」（证监会2012版行业分类、注册地省份）</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对缺失或口径存疑的样本拟逐条手工核对补录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后续进行</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已收集</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对「股东股权质押统计表」中每一出质方按变动日期累加「数量增减」，在「质押笔数」为零时归零，得到任意时点的未解押质押股数；取每年12月31日前的最后一条记录作为年末余额，按股东名称匹配「十大股东文件」中的第一大股东，除以其持股数得到Pledge，并生成Pledge_Dum与占总股本口径的Pledge_Ratio2；另以「股东股权质押情况明细表」逐笔剩余质押数量加总构造稳健性口径；</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Python（pyfixest，与 Stata 的 reghdfe 等价，标准误在公司层面聚类）依次完成基准回归、调节效应检验、分组异质性检验、稳健性检验与内生性处理，并提供对应的 Stata 代码。</w:t>
            </w:r>
          </w:p>
          <w:p>
            <w:pPr>
              <w:spacing/>
              <w:ind w:firstLine="420"/>
            </w:pPr>
            <w:r>
              <w:rPr>
                <w:rFonts w:ascii="宋体" w:cs="SimSun" w:eastAsia="宋体" w:hAnsi="宋体"/>
                <w:sz w:val="21"/>
                <w:szCs w:val="22"/>
              </w:rPr>
              <w:t xml:space="preserve">截至目前，第 1—4 步与基准回归已经完成，KZ／WW 指数、PSM 匹配样本与 DID 变量将在后续检验中构造；受限货币资金、利息收入与研发投入等拓展检验所需数据将在后续补充下载。现已形成2007—2025年沪深A股非金融上市公司的公司—年度面板，样本共50,961个观测、5,161家公司。质押比例的构造经过两项交叉验证：统计表口径与明细表口径的相关系数为0.96，95%的公司—年度差异在5个百分点以内；由此得到的「是否质押」与十大股东文件中的质押标识一致率约为95%。</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核心变量的定义、计算公式与数据来源见表2，各指数公式与系数的文献出处见表3；核心变量已完成测算，主要变量的描述性统计见表4。</w:t>
            </w:r>
          </w:p>
          <w:p>
            <w:pPr>
              <w:spacing/>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3200"/>
              <w:gridCol w:w="1500"/>
            </w:tblGrid>
            <w:t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自行计算，公式参照Hadlock和Pierce(2010)、鞠晓生等(2013)；检验H3时以滞后一期SA在年度内分组，DID部分以2016—2017年均值固定分组（唐玮等，2019）</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非受限现金持有</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CSMAR，被解释变量计量可靠性检验用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控股股东资金净占用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OREC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CSMAR，参照Jiang等(2010)、毛捷和管星华(2022)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质押预警压力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Pressure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对第一大股东每笔年末未解押的质押，以考虑现金红利再投资的月回报率构造股价指数，判断当年股价是否跌破预警价格（假设质押率40%、年利率10%、预警线160%）；取触及预警线的质押股数占其全部未解押质押股数的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自行计算，参照胡聪慧等(2020)</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受限资金占比</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RestCash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资金收益率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CashRet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研发投入强度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RD</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CSMAR，投资挤出检验用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现金边际价值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ΔC×Pledge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Faulkender和Wang(2006)模型中股票年度超额收益对现金变动ΔC/M(t−1)回归，考察其与Pledge交乘项的系数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CSMAR月个股回报率文件；基准收益为按规模与账面市值比构造的25个组合收益，三因子（CSMAR因子研究）作稳健性检验；H2检验用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纾困计划实施</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公司注册地所属省份在t年已设立地方政府纾困基金=1，否则=0；未设立省份为海南、贵州、云南、甘肃、青海、西藏（毛捷和管星华，2022）</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各省政府网站，参照毛捷和管星华(2022)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纾困力度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ReliefInt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PledgeUse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质押资金投向上市公司=公用型(支持型)，投向控股股东自身或第三方=私用型(非支持型)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CSMAR股东股权质押情况明细表「投向」字段（投向上市公司的记录约占2%，仅作补充检验），参照余明桂等(2021)、苏治等(2023)</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Year FE, Firm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spacing/>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 和 Pierce (2010), 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截尾（原文上限分别为45亿美元与37年；本文将规模上限按汇率折算为370亿元人民币）；保留原始符号，数值越大表示融资约束越严重</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 和 Zingales (1997), 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 和 Wu (2006), 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 等(1999)；Bates 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以年末第一大股东未解押质押股数占其持股总数的比例为基准口径（由质押统计表构造），明细表口径与占总股本口径作稳健性检验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 和 Rubin (1983), 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本部分的模型设定与检验顺序已经确定，数据已完成下载、清洗、匹配与变量测算。主要变量的描述性统计见表4，各变量的预期作用方向见表5，初步回归结果见表6、表7。模型设定如下：</w:t>
            </w:r>
          </w:p>
          <w:p>
            <w:pPr>
              <w:spacing/>
              <w:ind w:firstLine="420"/>
            </w:pPr>
            <w:r>
              <w:rPr>
                <w:rFonts w:ascii="宋体" w:cs="SimSun" w:eastAsia="宋体" w:hAnsi="宋体"/>
                <w:sz w:val="21"/>
                <w:szCs w:val="22"/>
              </w:rPr>
              <w:t xml:space="preserve">模型1（基准回归）：Cash_it = β0 + β1·Pledge_it + β2·Controls_it + Year_FE + Firm_FE + ε_it</w:t>
            </w:r>
          </w:p>
          <w:p>
            <w:pPr>
              <w:spacing/>
              <w:ind w:firstLine="420"/>
            </w:pPr>
            <w:r>
              <w:rPr>
                <w:rFonts w:ascii="宋体" w:cs="SimSun" w:eastAsia="宋体" w:hAnsi="宋体"/>
                <w:sz w:val="21"/>
                <w:szCs w:val="22"/>
              </w:rPr>
              <w:t xml:space="preserve">模型2（边界条件）：Cash_it = β0 + β1·Pledge_it + β2·Pledge_it×HighFC_i,t−1 + β3·HighFC_i,t−1 + β4·Controls_it + Year_FE + Firm_FE + ε_it</w:t>
            </w:r>
          </w:p>
          <w:p>
            <w:pPr>
              <w:spacing/>
              <w:ind w:firstLine="420"/>
            </w:pPr>
            <w:r>
              <w:rPr>
                <w:rFonts w:ascii="宋体" w:cs="SimSun" w:eastAsia="宋体" w:hAnsi="宋体"/>
                <w:sz w:val="21"/>
                <w:szCs w:val="22"/>
              </w:rPr>
              <w:t xml:space="preserve">模型3（DID，以2018年股票质押新规为政策冲击）：Cash_it = β0 + β1·PledgePre_i×Post_t + β2·Controls_it + Year_FE + Firm_FE + ε_it</w:t>
            </w:r>
          </w:p>
          <w:p>
            <w:pPr>
              <w:spacing/>
              <w:ind w:firstLine="420"/>
            </w:pPr>
            <w:r>
              <w:rPr>
                <w:rFonts w:ascii="宋体" w:cs="SimSun" w:eastAsia="宋体" w:hAnsi="宋体"/>
                <w:sz w:val="21"/>
                <w:szCs w:val="22"/>
              </w:rPr>
              <w:t xml:space="preserve">模型4（现金边际价值，参照Faulkender和Wang，2006）：r_it − R_it^B = γ0 + γ1·ΔC_it/M_i,t−1 + γ2·(ΔC_it/M_i,t−1)×Pledge_it + γ3·Pledge_it + γ4·Controls_it + Year_FE + Firm_FE + ε_it</w:t>
            </w:r>
          </w:p>
          <w:p>
            <w:pPr>
              <w:spacing/>
              <w:ind w:firstLine="420"/>
            </w:pPr>
            <w:r>
              <w:rPr>
                <w:rFonts w:ascii="宋体" w:cs="SimSun" w:eastAsia="宋体" w:hAnsi="宋体"/>
                <w:sz w:val="21"/>
                <w:szCs w:val="22"/>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为公司规模、杠杆率、盈利能力、营业收入增长率、成长机会（Tobin Q）、现金流水平、现金流波动性、净营运资本、上市年限、股权集中度等控制变量，资本支出与现金股利因可能受质押影响而不进入基准控制变量；Year_FE 与 Firm_FE 分别为年度与公司固定效应，ε 为随机扰动项；所有回归的标准误在公司层面聚类。模型1中 Pledge 的系数 β1 反映质押对现金持有的净效应，显著为正表明风险规避渠道占优（H1a），显著为负则表明掏空渠道占优（H1b）。H2a 通过在模型1中加入 Pledge×Pressure 交乘项检验，H2b 以控股股东资金占用 OREC 为被解释变量检验，并结合模型4中 γ2 的符号共同判断：γ2 不显著为负支持 H2a，显著为负支持 H2b。模型2中交乘项系数 β2 用于检验 H3，其符号预期与 β1 一致；H4 以 Pledge×SOE 交乘项检验组间差异，并同时报告按产权性质分组的回归结果。模型3中 PledgePre×Post 的系数 β1 反映2018年股票质押新规的政策冲击效应，配合平行趋势检验、动态效应检验与安慰剂检验，并以质押比例和平仓压力为被解释变量检验新规的“第一阶段”影响。模型4中 r_it − R_it^B 为按规模与账面市值比分组调整的股票年度超额收益，ΔC 为现金变动，M 为上年末股权市值，其余控制变量按 Faulkender和Wang（2006）设定。</w:t>
            </w:r>
          </w:p>
          <w:p>
            <w:pPr>
              <w:spacing/>
            </w:pPr>
            <w:r>
              <w:rPr>
                <w:rFonts w:ascii="宋体" w:cs="SimSun" w:eastAsia="宋体" w:hAnsi="宋体"/>
                <w:b/>
                <w:bCs/>
                <w:sz w:val="21"/>
                <w:szCs w:val="22"/>
              </w:rPr>
              <w:t xml:space="preserve">表4　主要变量描述性统计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0.251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1.637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0.119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0.621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0.216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0.388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-3.555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-4.281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-3.505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-3.017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22.300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1.297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19.876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22.104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26.300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0.056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0.436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0.896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0.028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0.191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0.135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-0.580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0.081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2.195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2.361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0.807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1.839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10.501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0.243</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0.150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0.308</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bl>
          <w:p>
            <w:pPr>
              <w:spacing/>
            </w:pPr>
            <w:r>
              <w:rPr>
                <w:rFonts w:ascii="宋体" w:cs="SimSun" w:eastAsia="宋体" w:hAnsi="宋体"/>
                <w:b w:val="0"/>
                <w:sz w:val="21"/>
                <w:szCs w:val="22"/>
              </w:rPr>
              <w:t xml:space="preserve">注：样本为2007—2025年沪深A股非金融上市公司，共50,961个公司—年度观测、5,161家公司；已剔除ST、*ST公司；连续变量经上下1%缩尾；SA指数保留原始符号，数值越大表示融资约束越强。</w:t>
            </w:r>
          </w:p>
          <w:p>
            <w:pPr>
              <w:spacing/>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400"/>
            </w:tblGrid>
            <w:tr>
              <w:tc>
                <w:tcPr>
                  <w:tcW w:type="dxa" w:w="2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ind w:firstLine="420"/>
            </w:pPr>
            <w:r>
              <w:rPr>
                <w:rFonts w:ascii="宋体" w:cs="SimSun" w:eastAsia="宋体" w:hAnsi="宋体"/>
                <w:b/>
                <w:bCs/>
                <w:sz w:val="21"/>
                <w:szCs w:val="22"/>
              </w:rPr>
              <w:t xml:space="preserve">初步回归结果</w:t>
            </w:r>
          </w:p>
          <w:p>
            <w:pPr>
              <w:spacing/>
              <w:ind w:firstLine="420"/>
            </w:pPr>
            <w:r>
              <w:rPr>
                <w:rFonts w:ascii="宋体" w:cs="SimSun" w:eastAsia="宋体" w:hAnsi="宋体"/>
                <w:sz w:val="21"/>
                <w:szCs w:val="22"/>
              </w:rPr>
              <w:t xml:space="preserve">表6报告了模型1的初步估计结果。在控制公司与年度固定效应后，大股东股权质押比例的系数在各列中均显著为负：列(2)加入控制变量后系数为-0.0165，在1%水平上显著；列(3)以行业×年度固定效应吸收行业层面的共同冲击，列(4)以上市年数固定效应控制新上市公司募集资金所带来的现金持有生命周期特征，系数均保持显著为负。按样本标准差折算，质押比例上升一个标准差，现金持有水平约下降其均值的2.2%。初步结果与H1b（掏空说）一致，与H1a不符。进一步观察发现，负向关系主要集中在上市时间较短的公司，其稳健性将在正文中结合公司生命周期进一步检验。</w:t>
            </w:r>
          </w:p>
          <w:p>
            <w:pPr>
              <w:spacing/>
            </w:pPr>
            <w:r>
              <w:rPr>
                <w:rFonts w:ascii="宋体" w:cs="SimSun" w:eastAsia="宋体" w:hAnsi="宋体"/>
                <w:b/>
                <w:bCs/>
                <w:sz w:val="21"/>
                <w:szCs w:val="22"/>
              </w:rPr>
              <w:t xml:space="preserve">表6　股权质押与现金持有：初步基准回归结果</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-0.0335***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-0.0136**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上市年数固定效应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0.505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r>
          </w:tbl>
          <w:p>
            <w:pPr>
              <w:spacing/>
            </w:pPr>
            <w:r>
              <w:rPr>
                <w:rFonts w:ascii="宋体" w:cs="SimSun" w:eastAsia="宋体" w:hAnsi="宋体"/>
                <w:b w:val="0"/>
                <w:sz w:val="21"/>
                <w:szCs w:val="22"/>
              </w:rPr>
              <w:t xml:space="preserve">注：被解释变量为Cash；括号内为公司层面聚类稳健标准误；***、**、*分别表示1%、5%、10%显著水平；连续变量经上下1%缩尾。下表同。</w:t>
            </w:r>
          </w:p>
          <w:p>
            <w:pPr>
              <w:spacing/>
              <w:ind w:firstLine="420"/>
            </w:pPr>
            <w:r>
              <w:rPr>
                <w:rFonts w:ascii="宋体" w:cs="SimSun" w:eastAsia="宋体" w:hAnsi="宋体"/>
                <w:sz w:val="21"/>
                <w:szCs w:val="22"/>
              </w:rPr>
              <w:t xml:space="preserve">李常青等（2018b）基于2013—2015年季度数据发现，控股股东股权质押比例与现金持有呈U型关系。为便于比较，表7列(1)、(2)沿用其混合回归口径，列(3)、(4)进一步控制公司固定效应。结果显示，按原文口径可以复现U型关系，拐点约为0.53，与原文报告的约55%基本一致；但控制公司固定效应后，平方项在2013—2015年样本中不再显著，全样本中U型右端的斜率亦不显著，U型检验不成立（Lind和Mehlum，2010）。这意味着既有文献发现的U型上升段可能主要反映高质押公司与其他公司之间的固有差异，而非同一公司质押加深后增持现金的行为，这一问题将在正文中进一步检验。</w:t>
            </w:r>
          </w:p>
          <w:p>
            <w:pPr>
              <w:spacing/>
            </w:pPr>
            <w:r>
              <w:rPr>
                <w:rFonts w:ascii="宋体" w:cs="SimSun" w:eastAsia="宋体" w:hAnsi="宋体"/>
                <w:b/>
                <w:bCs/>
                <w:sz w:val="21"/>
                <w:szCs w:val="22"/>
              </w:rPr>
              <w:t xml:space="preserve">表7　U型关系复现：混合回归与公司固定效应的比较</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-0.1808***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-0.1683***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(0.0387)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(0.0179)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0.1356***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0.0327**</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(0.0421)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(0.0192)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拐点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U型检验</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样本期间</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0.742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6,912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50,954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6,839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r>
          </w:tbl>
          <w:p>
            <w:pPr>
              <w:spacing/>
            </w:pPr>
            <w:r>
              <w:rPr>
                <w:rFonts w:ascii="宋体" w:cs="SimSun" w:eastAsia="宋体" w:hAnsi="宋体"/>
                <w:b w:val="0"/>
                <w:sz w:val="21"/>
                <w:szCs w:val="22"/>
              </w:rPr>
              <w:t xml:space="preserve">注：列(1)、(2)按李常青等（2018b）的口径，采用混合OLS并控制行业（制造业按二级分类）与年度虚拟变量，剔除上市当年观测；U型检验采用Lind和Mehlum（2010）的端点斜率检验，质押比例为0与1处的斜率分别显著为负、显著为正时判定U型成立。</w:t>
            </w:r>
          </w:p>
          <w:p>
            <w:pPr>
              <w:spacing/>
              <w:ind w:firstLine="420"/>
            </w:pPr>
            <w:r>
              <w:rPr>
                <w:rFonts w:ascii="宋体" w:cs="SimSun" w:eastAsia="宋体" w:hAnsi="宋体"/>
                <w:sz w:val="21"/>
                <w:szCs w:val="22"/>
              </w:rPr>
              <w:t xml:space="preserve">上述结果仅为初步估计。渠道检验、边界条件、2018年股票质押新规双重差分以及稳健性与内生性检验将在后续研究中完成。</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科研论文工作的总工作量（估计）、分研究阶段的进度（起迄日期）和要求。</w:t>
            </w:r>
          </w:p>
          <w:p>
            <w:pPr>
              <w:spacing/>
              <w:ind w:firstLine="420"/>
            </w:pPr>
            <w:r>
              <w:rPr>
                <w:rFonts w:ascii="宋体" w:cs="SimSun" w:eastAsia="宋体" w:hAnsi="宋体"/>
                <w:sz w:val="21"/>
                <w:szCs w:val="22"/>
              </w:rPr>
              <w:t xml:space="preserve">本文的主要工作进展及安排如表8所示：</w:t>
            </w:r>
          </w:p>
          <w:p>
            <w:pPr>
              <w:spacing/>
            </w:pPr>
            <w:r>
              <w:rPr>
                <w:rFonts w:ascii="宋体" w:cs="SimSun" w:eastAsia="宋体" w:hAnsi="宋体"/>
                <w:b/>
                <w:bCs/>
                <w:sz w:val="21"/>
                <w:szCs w:val="22"/>
              </w:rPr>
              <w:t xml:space="preserve">表8　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任务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数据下载、清洗与匹配；完成基准预回归（已完成）</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数据清洗、变量测算（含SA截尾、平仓压力测算）、描述性统计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基准回归、渠道检验（平仓压力、资金占用、现金边际价值）、边界条件检验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2018年新规DID、纾困补充检验、现金可靠性检验、PSM与滞后一期等稳健性检验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论文初稿撰写</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导师修改反馈、定稿</w:t>
                  </w:r>
                </w:p>
              </w:tc>
            </w:tr>
          </w:tbl>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Fazzari S M, Hubbard R G, Petersen B C. Financing constraints and corporate investment[J]. Brookings Papers on Economic Activity, 1988, 1988(1): 141-206.</w:t>
            </w:r>
          </w:p>
          <w:p>
            <w:pPr>
              <w:spacing/>
              <w:ind/>
            </w:pPr>
            <w:r>
              <w:rPr>
                <w:rFonts w:ascii="宋体" w:cs="SimSun" w:eastAsia="宋体" w:hAnsi="宋体"/>
                <w:sz w:val="21"/>
                <w:szCs w:val="22"/>
              </w:rPr>
              <w:t xml:space="preserve">[4]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[5] Almeida H, Campello M, Weisbach M S. The cash flow sensitivity of cash[J]. The Journal of Finance, 2004, 59(4): 1777-1804.</w:t>
            </w:r>
          </w:p>
          <w:p>
            <w:pPr>
              <w:spacing/>
              <w:ind/>
            </w:pPr>
            <w:r>
              <w:rPr>
                <w:rFonts w:ascii="宋体" w:cs="SimSun" w:eastAsia="宋体" w:hAnsi="宋体"/>
                <w:sz w:val="21"/>
                <w:szCs w:val="22"/>
              </w:rPr>
              <w:t xml:space="preserve">[6] Faulkender M, Wang R. Corporate financial policy and the value of cash[J]. The Journal of Finance, 2006, 61(4): 1957-1990.</w:t>
            </w:r>
          </w:p>
          <w:p>
            <w:pPr>
              <w:spacing/>
              <w:ind/>
            </w:pPr>
            <w:r>
              <w:rPr>
                <w:rFonts w:ascii="宋体" w:cs="SimSun" w:eastAsia="宋体" w:hAnsi="宋体"/>
                <w:sz w:val="21"/>
                <w:szCs w:val="22"/>
              </w:rPr>
              <w:t xml:space="preserve">[7] Dittmar A, Mahrt-Smith J. Corporate governance and the value of cash holdings[J]. Journal of Financial Economics, 2007, 83(3): 599-634.</w:t>
            </w:r>
          </w:p>
          <w:p>
            <w:pPr>
              <w:spacing/>
              <w:ind/>
            </w:pPr>
            <w:r>
              <w:rPr>
                <w:rFonts w:ascii="宋体" w:cs="SimSun" w:eastAsia="宋体" w:hAnsi="宋体"/>
                <w:sz w:val="21"/>
                <w:szCs w:val="22"/>
              </w:rPr>
              <w:t xml:space="preserve">[8]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[9]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[10] Graham J R, Leary M T. The evolution of corporate cash[J]. Review of Financial Studies, 2018, 31(11): 4288-4344.</w:t>
            </w:r>
          </w:p>
          <w:p>
            <w:pPr>
              <w:spacing/>
              <w:ind/>
            </w:pPr>
            <w:r>
              <w:rPr>
                <w:rFonts w:ascii="宋体" w:cs="SimSun" w:eastAsia="宋体" w:hAnsi="宋体"/>
                <w:sz w:val="21"/>
                <w:szCs w:val="22"/>
              </w:rPr>
              <w:t xml:space="preserve">[11]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[12]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[13] Whited T M, Wu G. Financial constraints risk[J]. Review of Financial Studies, 2006, 19(2): 531-559.</w:t>
            </w:r>
          </w:p>
          <w:p>
            <w:pPr>
              <w:spacing/>
              <w:ind/>
            </w:pPr>
            <w:r>
              <w:rPr>
                <w:rFonts w:ascii="宋体" w:cs="SimSun" w:eastAsia="宋体" w:hAnsi="宋体"/>
                <w:sz w:val="21"/>
                <w:szCs w:val="22"/>
              </w:rPr>
              <w:t xml:space="preserve">[14]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[15]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[16] Richardson S. Over-investment of free cash flow[J]. Review of Accounting Studies, 2006, 11(2-3): 159-189.</w:t>
            </w:r>
          </w:p>
          <w:p>
            <w:pPr>
              <w:spacing/>
              <w:ind/>
            </w:pPr>
            <w:r>
              <w:rPr>
                <w:rFonts w:ascii="宋体" w:cs="SimSun" w:eastAsia="宋体" w:hAnsi="宋体"/>
                <w:sz w:val="21"/>
                <w:szCs w:val="22"/>
              </w:rPr>
              <w:t xml:space="preserve">[17]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[18] Goodman-Bacon A. Difference-in-differences with variation in treatment timing[J]. Journal of Econometrics, 2021, 225(2): 254-277.</w:t>
            </w:r>
          </w:p>
          <w:p>
            <w:pPr>
              <w:spacing/>
              <w:ind/>
            </w:pPr>
            <w:r>
              <w:rPr>
                <w:rFonts w:ascii="宋体" w:cs="SimSun" w:eastAsia="宋体" w:hAnsi="宋体"/>
                <w:sz w:val="21"/>
                <w:szCs w:val="22"/>
              </w:rPr>
              <w:t xml:space="preserve">[19] Callaway B, Sant'Anna P H C. Difference-in-differences with multiple time periods[J]. Journal of Econometrics, 2021, 225(2): 200-230.</w:t>
            </w:r>
          </w:p>
          <w:p>
            <w:pPr>
              <w:spacing/>
              <w:ind/>
            </w:pPr>
            <w:r>
              <w:rPr>
                <w:rFonts w:ascii="宋体" w:cs="SimSun" w:eastAsia="宋体" w:hAnsi="宋体"/>
                <w:sz w:val="21"/>
                <w:szCs w:val="22"/>
              </w:rPr>
              <w:t xml:space="preserve">[20] Sun L, Abraham S. Estimating dynamic treatment effects in event studies with heterogeneous treatment effects[J]. Journal of Econometrics, 2021, 225(2): 175-199.</w:t>
            </w:r>
          </w:p>
          <w:p>
            <w:pPr>
              <w:spacing/>
              <w:ind/>
            </w:pPr>
            <w:r>
              <w:rPr>
                <w:rFonts w:ascii="宋体" w:cs="SimSun" w:eastAsia="宋体" w:hAnsi="宋体"/>
                <w:sz w:val="21"/>
                <w:szCs w:val="22"/>
              </w:rPr>
              <w:t xml:space="preserve">[21] de Chaisemartin C, D'Haultfœuille X. Two-way fixed effects estimators with heterogeneous treatment effects[J]. American Economic Review, 2020, 110(9): 2964-2996.</w:t>
            </w:r>
          </w:p>
          <w:p>
            <w:pPr>
              <w:spacing/>
              <w:ind/>
            </w:pPr>
            <w:r>
              <w:rPr>
                <w:rFonts w:ascii="宋体" w:cs="SimSun" w:eastAsia="宋体" w:hAnsi="宋体"/>
                <w:sz w:val="21"/>
                <w:szCs w:val="22"/>
              </w:rPr>
              <w:t xml:space="preserve">[22] Lind J T, Mehlum H. With or without U? The appropriate test for a U-shaped relationship[J]. Oxford Bulletin of Economics and Statistics, 2010, 72(1): 109-118.</w:t>
            </w:r>
          </w:p>
          <w:p>
            <w:pPr>
              <w:spacing/>
              <w:ind/>
            </w:pPr>
            <w:r>
              <w:rPr>
                <w:rFonts w:ascii="宋体" w:cs="SimSun" w:eastAsia="宋体" w:hAnsi="宋体"/>
                <w:sz w:val="21"/>
                <w:szCs w:val="22"/>
              </w:rPr>
              <w:t xml:space="preserve">[23] Chen Y, Hu S Y. The controlling shareholder's personal leverage and firm performance[J]. Applied Economics, 2007, 39(8): 1059-1075.</w:t>
            </w:r>
          </w:p>
          <w:p>
            <w:pPr>
              <w:spacing/>
              <w:ind/>
            </w:pPr>
            <w:r>
              <w:rPr>
                <w:rFonts w:ascii="宋体" w:cs="SimSun" w:eastAsia="宋体" w:hAnsi="宋体"/>
                <w:sz w:val="21"/>
                <w:szCs w:val="22"/>
              </w:rPr>
              <w:t xml:space="preserve">[24] Chan K, Chen H K, Hu S Y, Liu Y. Share pledges and margin call pressure[J]. Journal of Corporate Finance, 2018, 52: 96-117.</w:t>
            </w:r>
          </w:p>
          <w:p>
            <w:pPr>
              <w:spacing/>
              <w:ind/>
            </w:pPr>
            <w:r>
              <w:rPr>
                <w:rFonts w:ascii="宋体" w:cs="SimSun" w:eastAsia="宋体" w:hAnsi="宋体"/>
                <w:sz w:val="21"/>
                <w:szCs w:val="22"/>
              </w:rPr>
              <w:t xml:space="preserve">[25]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[26]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[27] Pang C, Wang Y. Stock pledge, risk of losing control and corporate innovation[J]. Journal of Corporate Finance, 2020, 60: 101534.</w:t>
            </w:r>
          </w:p>
          <w:p>
            <w:pPr>
              <w:spacing/>
              <w:ind/>
            </w:pPr>
            <w:r>
              <w:rPr>
                <w:rFonts w:ascii="宋体" w:cs="SimSun" w:eastAsia="宋体" w:hAnsi="宋体"/>
                <w:sz w:val="21"/>
                <w:szCs w:val="22"/>
              </w:rPr>
              <w:t xml:space="preserve">[28]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[29] Cheng Z, Liu Z, Sun Y. Share pledging and financial constraints in China[J]. Accounting &amp; Finance, 2021, 61(3): 4147-4189.</w:t>
            </w:r>
          </w:p>
          <w:p>
            <w:pPr>
              <w:spacing/>
              <w:ind/>
            </w:pPr>
            <w:r>
              <w:rPr>
                <w:rFonts w:ascii="宋体" w:cs="SimSun" w:eastAsia="宋体" w:hAnsi="宋体"/>
                <w:sz w:val="21"/>
                <w:szCs w:val="22"/>
              </w:rPr>
              <w:t xml:space="preserve">[30] Guo Q, Kryzanowski L, Li M, et al. Share-loan pledging and relaxation of share-repurchase restrictions in China[J]. Accounting and Finance, 2021, 61(5): 5925-5964.</w:t>
            </w:r>
          </w:p>
          <w:p>
            <w:pPr>
              <w:spacing/>
              <w:ind/>
            </w:pPr>
            <w:r>
              <w:rPr>
                <w:rFonts w:ascii="宋体" w:cs="SimSun" w:eastAsia="宋体" w:hAnsi="宋体"/>
                <w:sz w:val="21"/>
                <w:szCs w:val="22"/>
              </w:rPr>
              <w:t xml:space="preserve">[31] He Z, Liu B, Zhu F. Share pledging in China: Funding listed firms or funding entrepreneurship?[R]. NBER Working Paper No. 29731, 2022.</w:t>
            </w:r>
          </w:p>
          <w:p>
            <w:pPr>
              <w:spacing/>
              <w:ind/>
            </w:pPr>
            <w:r>
              <w:rPr>
                <w:rFonts w:ascii="宋体" w:cs="SimSun" w:eastAsia="宋体" w:hAnsi="宋体"/>
                <w:sz w:val="21"/>
                <w:szCs w:val="22"/>
              </w:rPr>
              <w:t xml:space="preserve">[32] Shi Y, Li J, Liu R. Financing constraints and share pledges: Evidence from the share pledge reform in China[J]. Journal of Corporate Finance, 2023, 78: 102337.</w:t>
            </w:r>
          </w:p>
          <w:p>
            <w:pPr>
              <w:spacing/>
              <w:ind/>
            </w:pPr>
            <w:r>
              <w:rPr>
                <w:rFonts w:ascii="宋体" w:cs="SimSun" w:eastAsia="宋体" w:hAnsi="宋体"/>
                <w:sz w:val="21"/>
                <w:szCs w:val="22"/>
              </w:rPr>
              <w:t xml:space="preserve">[33] Su Z, Alexiou C. Impact of share pledging by controlling shareholders on firm value in the context of China's tightened regulatory reforms[J]. Accounting &amp; Finance, 2023, 63(S2): 2847-2874.</w:t>
            </w:r>
          </w:p>
          <w:p>
            <w:pPr>
              <w:spacing/>
              <w:ind/>
            </w:pPr>
            <w:r>
              <w:rPr>
                <w:rFonts w:ascii="宋体" w:cs="SimSun" w:eastAsia="宋体" w:hAnsi="宋体"/>
                <w:sz w:val="21"/>
                <w:szCs w:val="22"/>
              </w:rPr>
              <w:t xml:space="preserve">[34] Pan X, Qian M. Firm financing through insider stock pledges[J]. Review of Finance, 2024, 28(2): 621-659.</w:t>
            </w:r>
          </w:p>
          <w:p>
            <w:pPr>
              <w:spacing/>
              <w:ind/>
            </w:pPr>
            <w:r>
              <w:rPr>
                <w:rFonts w:ascii="宋体" w:cs="SimSun" w:eastAsia="宋体" w:hAnsi="宋体"/>
                <w:sz w:val="21"/>
                <w:szCs w:val="22"/>
              </w:rPr>
              <w:t xml:space="preserve">[35] Hou X, Lu X. Debtholder responses to controlling shareholders' share pledging[J]. Quarterly Review of Economics and Finance, 2024, 98: 101928.</w:t>
            </w:r>
          </w:p>
          <w:p>
            <w:pPr>
              <w:spacing/>
              <w:ind/>
            </w:pPr>
            <w:r>
              <w:rPr>
                <w:rFonts w:ascii="宋体" w:cs="SimSun" w:eastAsia="宋体" w:hAnsi="宋体"/>
                <w:sz w:val="21"/>
                <w:szCs w:val="22"/>
              </w:rPr>
              <w:t xml:space="preserve">[36] 郝项超，梁琪．最终控制人股权质押损害公司价值么？[J]．会计研究，2009(7)：57-63．</w:t>
            </w:r>
          </w:p>
          <w:p>
            <w:pPr>
              <w:spacing/>
              <w:ind/>
            </w:pPr>
            <w:r>
              <w:rPr>
                <w:rFonts w:ascii="宋体" w:cs="SimSun" w:eastAsia="宋体" w:hAnsi="宋体"/>
                <w:sz w:val="21"/>
                <w:szCs w:val="22"/>
              </w:rPr>
              <w:t xml:space="preserve">[37] 王彦超．融资约束、现金持有与过度投资[J]．金融研究，2009(7)：121-133．</w:t>
            </w:r>
          </w:p>
          <w:p>
            <w:pPr>
              <w:spacing/>
              <w:ind/>
            </w:pPr>
            <w:r>
              <w:rPr>
                <w:rFonts w:ascii="宋体" w:cs="SimSun" w:eastAsia="宋体" w:hAnsi="宋体"/>
                <w:sz w:val="21"/>
                <w:szCs w:val="22"/>
              </w:rPr>
              <w:t xml:space="preserve">[38] 连玉君，彭方平，苏治．融资约束和流动性管理行为[J]．金融研究，2010(10)：158-171．</w:t>
            </w:r>
          </w:p>
          <w:p>
            <w:pPr>
              <w:spacing/>
              <w:ind/>
            </w:pPr>
            <w:r>
              <w:rPr>
                <w:rFonts w:ascii="宋体" w:cs="SimSun" w:eastAsia="宋体" w:hAnsi="宋体"/>
                <w:sz w:val="21"/>
                <w:szCs w:val="22"/>
              </w:rPr>
              <w:t xml:space="preserve">[39] 鞠晓生，卢荻，虞义华．融资约束、营运资本管理与企业创新可持续性[J]．经济研究，2013，48(1)：4-16．</w:t>
            </w:r>
          </w:p>
          <w:p>
            <w:pPr>
              <w:spacing/>
              <w:ind/>
            </w:pPr>
            <w:r>
              <w:rPr>
                <w:rFonts w:ascii="宋体" w:cs="SimSun" w:eastAsia="宋体" w:hAnsi="宋体"/>
                <w:sz w:val="21"/>
                <w:szCs w:val="22"/>
              </w:rPr>
              <w:t xml:space="preserve">[40] 郑国坚，林东杰，林斌．大股东股权质押、占款与企业价值[J]．管理科学学报，2014，17(9)：72-87．</w:t>
            </w:r>
          </w:p>
          <w:p>
            <w:pPr>
              <w:spacing/>
              <w:ind/>
            </w:pPr>
            <w:r>
              <w:rPr>
                <w:rFonts w:ascii="宋体" w:cs="SimSun" w:eastAsia="宋体" w:hAnsi="宋体"/>
                <w:sz w:val="21"/>
                <w:szCs w:val="22"/>
              </w:rPr>
              <w:t xml:space="preserve">[41] 李旎，郑国坚．市值管理动机下的控股股东股权质押融资与利益侵占[J]．会计研究，2015(5)：42-49．</w:t>
            </w:r>
          </w:p>
          <w:p>
            <w:pPr>
              <w:spacing/>
              <w:ind/>
            </w:pPr>
            <w:r>
              <w:rPr>
                <w:rFonts w:ascii="宋体" w:cs="SimSun" w:eastAsia="宋体" w:hAnsi="宋体"/>
                <w:sz w:val="21"/>
                <w:szCs w:val="22"/>
              </w:rPr>
              <w:t xml:space="preserve">[42] 温忠麟，侯杰泰，张雷．调节效应与中介效应的比较和应用[J]．心理学报，2005，37(2)：268-274．</w:t>
            </w:r>
          </w:p>
          <w:p>
            <w:pPr>
              <w:spacing/>
              <w:ind/>
            </w:pPr>
            <w:r>
              <w:rPr>
                <w:rFonts w:ascii="宋体" w:cs="SimSun" w:eastAsia="宋体" w:hAnsi="宋体"/>
                <w:sz w:val="21"/>
                <w:szCs w:val="22"/>
              </w:rPr>
              <w:t xml:space="preserve">[43]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[44] 谢德仁，廖珂．控股股东股权质押与上市公司真实盈余管理[J]．会计研究，2018(8)：21-27．</w:t>
            </w:r>
          </w:p>
          <w:p>
            <w:pPr>
              <w:spacing/>
              <w:ind/>
            </w:pPr>
            <w:r>
              <w:rPr>
                <w:rFonts w:ascii="宋体" w:cs="SimSun" w:eastAsia="宋体" w:hAnsi="宋体"/>
                <w:sz w:val="21"/>
                <w:szCs w:val="22"/>
              </w:rPr>
              <w:t xml:space="preserve">[45] 李常青，李宇坤，李茂良．控股股东股权质押与企业创新投入[J]．金融研究，2018(7)：143-157．</w:t>
            </w:r>
          </w:p>
          <w:p>
            <w:pPr>
              <w:spacing/>
              <w:ind/>
            </w:pPr>
            <w:r>
              <w:rPr>
                <w:rFonts w:ascii="宋体" w:cs="SimSun" w:eastAsia="宋体" w:hAnsi="宋体"/>
                <w:sz w:val="21"/>
                <w:szCs w:val="22"/>
              </w:rPr>
              <w:t xml:space="preserve">[46]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[47] 王雄元，欧阳才越，史震阳．股权质押、控制权转移风险与税收规避[J]．经济研究，2018(1)：138-152．</w:t>
            </w:r>
          </w:p>
          <w:p>
            <w:pPr>
              <w:spacing/>
              <w:ind/>
            </w:pPr>
            <w:r>
              <w:rPr>
                <w:rFonts w:ascii="宋体" w:cs="SimSun" w:eastAsia="宋体" w:hAnsi="宋体"/>
                <w:sz w:val="21"/>
                <w:szCs w:val="22"/>
              </w:rPr>
              <w:t xml:space="preserve">[48] 廖珂，崔宸瑜，谢德仁．控股股东股权质押与上市公司股利政策选择[J]．金融研究，2018(4)：172-189．</w:t>
            </w:r>
          </w:p>
          <w:p>
            <w:pPr>
              <w:spacing/>
              <w:ind/>
            </w:pPr>
            <w:r>
              <w:rPr>
                <w:rFonts w:ascii="宋体" w:cs="SimSun" w:eastAsia="宋体" w:hAnsi="宋体"/>
                <w:sz w:val="21"/>
                <w:szCs w:val="22"/>
              </w:rPr>
              <w:t xml:space="preserve">[49] 唐玮，夏晓雪，姜付秀．控股股东股权质押与公司融资约束[J]．会计研究，2019(6)：51-57．</w:t>
            </w:r>
          </w:p>
          <w:p>
            <w:pPr>
              <w:spacing/>
              <w:ind/>
            </w:pPr>
            <w:r>
              <w:rPr>
                <w:rFonts w:ascii="宋体" w:cs="SimSun" w:eastAsia="宋体" w:hAnsi="宋体"/>
                <w:sz w:val="21"/>
                <w:szCs w:val="22"/>
              </w:rPr>
              <w:t xml:space="preserve">[50] 柯艳蓉，李玉敏．控股股东股权质押、投资效率与公司期权价值[J]．经济管理，2019，41(12)：123-139．</w:t>
            </w:r>
          </w:p>
          <w:p>
            <w:pPr>
              <w:spacing/>
              <w:ind/>
            </w:pPr>
            <w:r>
              <w:rPr>
                <w:rFonts w:ascii="宋体" w:cs="SimSun" w:eastAsia="宋体" w:hAnsi="宋体"/>
                <w:sz w:val="21"/>
                <w:szCs w:val="22"/>
              </w:rPr>
              <w:t xml:space="preserve">[51]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[52] 柯艳蓉，吴晓晖，李玉敏．控股股东股权质押、股权结构与股票流动性[J]．国际金融研究，2020(7)．</w:t>
            </w:r>
          </w:p>
          <w:p>
            <w:pPr>
              <w:spacing/>
              <w:ind/>
            </w:pPr>
            <w:r>
              <w:rPr>
                <w:rFonts w:ascii="宋体" w:cs="SimSun" w:eastAsia="宋体" w:hAnsi="宋体"/>
                <w:sz w:val="21"/>
                <w:szCs w:val="22"/>
              </w:rPr>
              <w:t xml:space="preserve">[53] 胡聪慧，朱菲菲，邱卉敏．股权质押、风险管理与大股东增持[J]．金融研究，2020(9)：190-206．</w:t>
            </w:r>
          </w:p>
          <w:p>
            <w:pPr>
              <w:spacing/>
              <w:ind/>
            </w:pPr>
            <w:r>
              <w:rPr>
                <w:rFonts w:ascii="宋体" w:cs="SimSun" w:eastAsia="宋体" w:hAnsi="宋体"/>
                <w:sz w:val="21"/>
                <w:szCs w:val="22"/>
              </w:rPr>
              <w:t xml:space="preserve">[54] 熊海芳，谭袁月，王志强．股权质押比例限制与股票市场稳定：基于“质押新规”的自然实验[J]．财贸经济，2020，41(7)：114-129．</w:t>
            </w:r>
          </w:p>
          <w:p>
            <w:pPr>
              <w:spacing/>
              <w:ind/>
            </w:pPr>
            <w:r>
              <w:rPr>
                <w:rFonts w:ascii="宋体" w:cs="SimSun" w:eastAsia="宋体" w:hAnsi="宋体"/>
                <w:sz w:val="21"/>
                <w:szCs w:val="22"/>
              </w:rPr>
              <w:t xml:space="preserve">[55]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[56] 杜勇，眭鑫．控股股东股权质押与实体企业金融化——基于“掏空”与控制权转移的视角[J]．会计研究，2021(2)：102-119．</w:t>
            </w:r>
          </w:p>
          <w:p>
            <w:pPr>
              <w:spacing/>
              <w:ind/>
            </w:pPr>
            <w:r>
              <w:rPr>
                <w:rFonts w:ascii="宋体" w:cs="SimSun" w:eastAsia="宋体" w:hAnsi="宋体"/>
                <w:sz w:val="21"/>
                <w:szCs w:val="22"/>
              </w:rPr>
              <w:t xml:space="preserve">[57] 余明桂，宋慧恬，张庆．支持型股权质押、融资约束与公司投资[J]．财会月刊，2021(12)：23-33．</w:t>
            </w:r>
          </w:p>
          <w:p>
            <w:pPr>
              <w:spacing/>
              <w:ind/>
            </w:pPr>
            <w:r>
              <w:rPr>
                <w:rFonts w:ascii="宋体" w:cs="SimSun" w:eastAsia="宋体" w:hAnsi="宋体"/>
                <w:sz w:val="21"/>
                <w:szCs w:val="22"/>
              </w:rPr>
              <w:t xml:space="preserve">[58] 连玉君，刘畅．质押新规、股价崩盘风险与公司价值[J]．中山大学学报（社会科学版），2021，61(5)：182-196．</w:t>
            </w:r>
          </w:p>
          <w:p>
            <w:pPr>
              <w:spacing/>
              <w:ind/>
            </w:pPr>
            <w:r>
              <w:rPr>
                <w:rFonts w:ascii="宋体" w:cs="SimSun" w:eastAsia="宋体" w:hAnsi="宋体"/>
                <w:sz w:val="21"/>
                <w:szCs w:val="22"/>
              </w:rPr>
              <w:t xml:space="preserve">[59] 毛捷，管星华．地方政府纾困政策的效应研究：来自上市公司的证据[J]．经济研究，2022，57(9)：82-98．</w:t>
            </w:r>
          </w:p>
          <w:p>
            <w:pPr>
              <w:spacing/>
              <w:ind/>
            </w:pPr>
            <w:r>
              <w:rPr>
                <w:rFonts w:ascii="宋体" w:cs="SimSun" w:eastAsia="宋体" w:hAnsi="宋体"/>
                <w:sz w:val="21"/>
                <w:szCs w:val="22"/>
              </w:rPr>
              <w:t xml:space="preserve">[60] 周孝华，王诗意．纾困基金是否具有“造血”扶持之效？——基于民营企业价值的视角[J]．财经研究，2022，48(3)：48-63．</w:t>
            </w:r>
          </w:p>
          <w:p>
            <w:pPr>
              <w:spacing/>
              <w:ind/>
            </w:pPr>
            <w:r>
              <w:rPr>
                <w:rFonts w:ascii="宋体" w:cs="SimSun" w:eastAsia="宋体" w:hAnsi="宋体"/>
                <w:sz w:val="21"/>
                <w:szCs w:val="22"/>
              </w:rPr>
              <w:t xml:space="preserve">[61] 苏治，金昕，张永冀．控股股东股权质押风险溢出效应研究——基于私用型和公用型质押的对比分析[J]．会计研究，2023(6)：62-77．</w:t>
            </w:r>
          </w:p>
          <w:p>
            <w:pPr>
              <w:spacing/>
              <w:ind/>
            </w:pPr>
            <w:r>
              <w:rPr>
                <w:rFonts w:ascii="宋体" w:cs="SimSun" w:eastAsia="宋体" w:hAnsi="宋体"/>
                <w:sz w:val="21"/>
                <w:szCs w:val="22"/>
              </w:rPr>
              <w:t xml:space="preserve">[62] 何熙琼，刘昊，顾湘．“股权质押新规”能抑制上市公司控股股东的私利侵占行为吗[J]．会计研究，2023(6)：99-117．</w:t>
            </w:r>
          </w:p>
          <w:p>
            <w:pPr>
              <w:spacing/>
              <w:ind/>
            </w:pPr>
            <w:r>
              <w:rPr>
                <w:rFonts w:ascii="宋体" w:cs="SimSun" w:eastAsia="宋体" w:hAnsi="宋体"/>
                <w:sz w:val="21"/>
                <w:szCs w:val="22"/>
              </w:rPr>
              <w:t xml:space="preserve">[63] 梁芳凝，庞世明．“质押新规”能够降低企业的盈余管理吗？[J]．中国软科学，2024(S1)：216-224．</w:t>
            </w:r>
          </w:p>
          <w:p>
            <w:pPr>
              <w:spacing/>
              <w:ind/>
            </w:pPr>
            <w:r>
              <w:rPr>
                <w:rFonts w:ascii="宋体" w:cs="SimSun" w:eastAsia="宋体" w:hAnsi="宋体"/>
                <w:sz w:val="21"/>
                <w:szCs w:val="22"/>
              </w:rPr>
              <w:t xml:space="preserve">[64] 刘强，董恬媛，韩洪灵．控股股东股权质押与企业劳动收入份额[J]．当代经济科学，2025，47(6)：59-72．</w:t>
            </w:r>
          </w:p>
          <w:p>
            <w:pPr>
              <w:spacing/>
              <w:ind/>
            </w:pPr>
            <w:r>
              <w:rPr>
                <w:rFonts w:ascii="宋体" w:cs="SimSun" w:eastAsia="宋体" w:hAnsi="宋体"/>
                <w:sz w:val="21"/>
                <w:szCs w:val="22"/>
              </w:rPr>
              <w:t xml:space="preserve">[65] 杨国超，刘琪，王克敏．“存贷双高”企业的高现金持有之谜——基于现金操纵视角的分析与证据[J]．管理世界，2025(12)：163-178．</w:t>
            </w:r>
          </w:p>
          <w:p>
            <w:pPr>
              <w:spacing/>
              <w:ind/>
            </w:pPr>
            <w:r>
              <w:rPr>
                <w:rFonts w:ascii="宋体" w:cs="SimSun" w:eastAsia="宋体" w:hAnsi="宋体"/>
                <w:sz w:val="21"/>
                <w:szCs w:val="22"/>
              </w:rPr>
              <w:t xml:space="preserve">[66] 郑登津，闻人泱泱，陈德球．制衡还是合谋：来自股权质押新视角下年报文本特征的证据[J]．会计研究，2026(6)：20-33．</w:t>
            </w:r>
          </w:p>
          <w:p>
            <w:pPr>
              <w:spacing/>
              <w:ind/>
            </w:pPr>
            <w:r>
              <w:rPr>
                <w:rFonts w:ascii="宋体" w:cs="SimSun" w:eastAsia="宋体" w:hAnsi="宋体"/>
                <w:sz w:val="21"/>
                <w:szCs w:val="22"/>
              </w:rPr>
              <w:t xml:space="preserve">[67] 孙伟艳，肖琼．“股权质押新规”能抑制企业盈余管理行为吗？[J]．财会通讯，2026(3)：83-87，92．</w:t>
            </w:r>
          </w:p>
        </w:tc>
      </w:tr>
    </w:tbl>
    <w:p>
      <w:r>
        <w:br w:type="page"/>
      </w:r>
    </w:p>
    <w:p>
      <w:pPr>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 </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r>
        <w:br w:type="page"/>
      </w:r>
    </w:p>
    <w:p>
      <w:pPr>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