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SimSun"/>
          <w:b/>
          <w:sz w:val="32"/>
        </w:rPr>
        <w:t>深化分析一：场内质押（证券公司）与场外质押</w:t>
      </w:r>
    </w:p>
    <w:p>
      <w:r>
        <w:rPr>
          <w:rFonts w:ascii="Times New Roman" w:hAnsi="Times New Roman" w:eastAsia="SimSun"/>
          <w:b w:val="0"/>
          <w:sz w:val="21"/>
        </w:rPr>
        <w:t>被解释变量为 Cash；标准误按公司聚类；括号内为标准误。</w:t>
      </w:r>
      <w:r>
        <w:rPr>
          <w:rFonts w:ascii="Times New Roman" w:hAnsi="Times New Roman" w:eastAsia="SimSun"/>
          <w:b/>
          <w:sz w:val="21"/>
        </w:rPr>
        <w:t>* p&lt;0.01，</w:t>
      </w:r>
      <w:r>
        <w:rPr>
          <w:rFonts w:ascii="Times New Roman" w:hAnsi="Times New Roman" w:eastAsia="SimSun"/>
          <w:b w:val="0"/>
          <w:sz w:val="21"/>
        </w:rPr>
        <w:t xml:space="preserve"> p&lt;0.05，* p&lt;0.1。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主要发现（先看这里）</w:t>
      </w:r>
    </w:p>
    <w:p>
      <w:r>
        <w:rPr>
          <w:rFonts w:ascii="Times New Roman" w:hAnsi="Times New Roman" w:eastAsia="SimSun"/>
          <w:b w:val="0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负向关系全部来自场内质押</w:t>
      </w:r>
      <w:r>
        <w:rPr>
          <w:rFonts w:ascii="Times New Roman" w:hAnsi="Times New Roman" w:eastAsia="SimSun"/>
          <w:b w:val="0"/>
          <w:sz w:val="21"/>
        </w:rPr>
        <w:t>：场内（证券公司）质押比例的系数为 −0.0347</w:t>
      </w:r>
      <w:r>
        <w:rPr>
          <w:rFonts w:ascii="Times New Roman" w:hAnsi="Times New Roman" w:eastAsia="SimSun"/>
          <w:b/>
          <w:sz w:val="21"/>
        </w:rPr>
        <w:t>*，场外质押（银行、信托等）为 −0.0030，不显著。控制上市年数、只看 2013 年后、只看上市满 5 年的公司，场内质押仍显著为负（上市满 5 年：−0.0164</w:t>
      </w:r>
      <w:r>
        <w:rPr>
          <w:rFonts w:ascii="Times New Roman" w:hAnsi="Times New Roman" w:eastAsia="SimSun"/>
          <w:b w:val="0"/>
          <w:sz w:val="21"/>
        </w:rPr>
        <w:t>）。</w:t>
      </w:r>
      <w:r>
        <w:rPr>
          <w:rFonts w:ascii="Times New Roman" w:hAnsi="Times New Roman" w:eastAsia="SimSun"/>
          <w:b/>
          <w:sz w:val="21"/>
        </w:rPr>
        <w:t>原先"负效应只在新上市公司"的弱点，在区分场内质押后不再成立。</w:t>
      </w:r>
    </w:p>
    <w:p>
      <w:r>
        <w:rPr>
          <w:rFonts w:ascii="Times New Roman" w:hAnsi="Times New Roman" w:eastAsia="SimSun"/>
          <w:b w:val="0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场内质押恰恰是平仓约束最强的</w:t>
      </w:r>
      <w:r>
        <w:rPr>
          <w:rFonts w:ascii="Times New Roman" w:hAnsi="Times New Roman" w:eastAsia="SimSun"/>
          <w:b w:val="0"/>
          <w:sz w:val="21"/>
        </w:rPr>
        <w:t>：证券公司逐日盯市、可强制卖出。若风险规避说成立，场内质押应让公司多存钱，实际却是少存钱，进一步否定了风险规避说。</w:t>
      </w:r>
    </w:p>
    <w:p>
      <w:r>
        <w:rPr>
          <w:rFonts w:ascii="Times New Roman" w:hAnsi="Times New Roman" w:eastAsia="SimSun"/>
          <w:b w:val="0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平仓压力</w:t>
      </w:r>
      <w:r>
        <w:rPr>
          <w:rFonts w:ascii="Times New Roman" w:hAnsi="Times New Roman" w:eastAsia="SimSun"/>
          <w:b w:val="0"/>
          <w:sz w:val="21"/>
        </w:rPr>
        <w:t>：场内、场外平仓压力的系数均为负，上市满 5 年样本中都显著，没有一种为正。</w:t>
      </w:r>
    </w:p>
    <w:p>
      <w:r>
        <w:rPr>
          <w:rFonts w:ascii="Times New Roman" w:hAnsi="Times New Roman" w:eastAsia="SimSun"/>
          <w:b w:val="0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2018 年新规</w:t>
      </w:r>
      <w:r>
        <w:rPr>
          <w:rFonts w:ascii="Times New Roman" w:hAnsi="Times New Roman" w:eastAsia="SimSun"/>
          <w:b w:val="0"/>
          <w:sz w:val="21"/>
        </w:rPr>
        <w:t>：新规前场内质押多的公司，新规后场内质押大幅下降（−0.284</w:t>
      </w:r>
      <w:r>
        <w:rPr>
          <w:rFonts w:ascii="Times New Roman" w:hAnsi="Times New Roman" w:eastAsia="SimSun"/>
          <w:b/>
          <w:sz w:val="21"/>
        </w:rPr>
        <w:t>*），但</w:t>
      </w:r>
      <w:r>
        <w:rPr>
          <w:rFonts w:ascii="Times New Roman" w:hAnsi="Times New Roman" w:eastAsia="SimSun"/>
          <w:b w:val="0"/>
          <w:sz w:val="21"/>
        </w:rPr>
        <w:t>场外质押反而上升（+0.114</w:t>
      </w:r>
      <w:r>
        <w:rPr>
          <w:rFonts w:ascii="Times New Roman" w:hAnsi="Times New Roman" w:eastAsia="SimSun"/>
          <w:b/>
          <w:sz w:val="21"/>
        </w:rPr>
        <w:t>*）</w:t>
      </w:r>
      <w:r>
        <w:rPr>
          <w:rFonts w:ascii="Times New Roman" w:hAnsi="Times New Roman" w:eastAsia="SimSun"/>
          <w:b w:val="0"/>
          <w:sz w:val="21"/>
        </w:rPr>
        <w:t>，说明部分质押从场内转到了场外，新规存在"监管套利"；现金持有的简化式不显著，且平行趋势不完全满足。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一、质押结构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年份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场内（证券公司）质押比例均值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场外质押比例均值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0.137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0.002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0.195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0.043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0.181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0.135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0.145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2017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0.198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0.159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0.189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0.171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0.152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0.151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0.071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0.122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0.041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0.095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0.023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0.080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统计表口径 Pledge 与（场内 + 场外）之和的相关系数：0.946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二、基准回归：场内与场外质押分别对现金的影响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设定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场内质押 Pledge_B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场外质押 Pledge_N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 + 年度 FE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-0.0347*** (0.0075)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-0.0030 (0.0060)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50737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公司 + 年度 + 上市年数 FE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-0.0296*** (0.0075)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-0.0018 (0.0059)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50737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 年后（场内质押业务开通后）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-0.0174** (0.0077)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-0.0011 (0.0069)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42239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上市满 5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-0.0164** (0.0083)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+0.0019 (0.0061)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38852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三、平仓压力：场内与场外分别计算</w:t>
      </w:r>
    </w:p>
    <w:p>
      <w:r>
        <w:rPr>
          <w:rFonts w:ascii="Times New Roman" w:hAnsi="Times New Roman" w:eastAsia="SimSun"/>
          <w:b w:val="0"/>
          <w:sz w:val="21"/>
        </w:rPr>
        <w:t>Pressure_B / Pressure_N 分别为场内、场外质押中触及预警线的股数占比（无该类质押记为 0，并加入是否有该类质押的虚拟变量）。控制公司、年度与上市年数固定效应。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样本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场内平仓压力 Pressure_B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场外平仓压力 Pressure_N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全样本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-0.0066 (0.0049)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-0.0100** (0.0047)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50737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 年后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-0.0067 (0.0048)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-0.0123** (0.0051)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42239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上市满 5 年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-0.0128** (0.0052)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-0.0116** (0.0048)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38852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风险规避说预测：场内质押（强制平仓约束更强）的平仓压力系数应为正且大于场外。</w:t>
      </w:r>
    </w:p>
    <w:p>
      <w:pPr>
        <w:spacing w:before="200" w:after="120"/>
      </w:pPr>
      <w:r>
        <w:rPr>
          <w:rFonts w:ascii="Times New Roman" w:hAnsi="Times New Roman" w:eastAsia="SimSun"/>
          <w:b/>
          <w:sz w:val="26"/>
        </w:rPr>
        <w:t>四、2018 年新规：以场外质押为安慰剂</w:t>
      </w:r>
    </w:p>
    <w:p>
      <w:r>
        <w:rPr>
          <w:rFonts w:ascii="Times New Roman" w:hAnsi="Times New Roman" w:eastAsia="SimSun"/>
          <w:b w:val="0"/>
          <w:sz w:val="21"/>
        </w:rPr>
        <w:t>新规只约束场内股票质押式回购。PledgePre_B / PledgePre_N 为 2016—2017 年第一大股东场内 / 场外质押比例均值，Post 为 2018 年及以后。控制公司与年度固定效应，样本 2013—2025 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被解释变量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PledgePre_B × Post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PledgePre_N × Post</w:t>
            </w:r>
          </w:p>
        </w:tc>
        <w:tc>
          <w:tcPr>
            <w:tcW w:type="dxa" w:w="2409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N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场内质押比例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-0.2835*** (0.0168)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-0.0558*** (0.0115)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31908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场外质押比例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+0.1142*** (0.0178)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-0.2366*** (0.0229)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31908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总质押比例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-0.1444*** (0.0213)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-0.2423*** (0.0230)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31908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现金持有 Cash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-0.0218 (0.0152)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-0.0091 (0.0147)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31908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SimSun"/>
          <w:b/>
          <w:sz w:val="23"/>
        </w:rPr>
        <w:t>动态效应（以 2017 年为基期）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年份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对场内质押比例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/>
                <w:sz w:val="19"/>
              </w:rPr>
              <w:t>对现金持有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-0.8908*** (0.0206)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+0.0357 (0.0230)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-0.6473*** (0.0254)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+0.0275 (0.0238)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-0.4320*** (0.0259)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-0.0368** (0.0158)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-0.1115*** (0.0165)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-0.0009 (0.0132)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-0.1819*** (0.0193)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-0.0285** (0.0112)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2019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-0.3928*** (0.0235)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-0.0278** (0.0136)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-0.5866*** (0.0250)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-0.0358** (0.0146)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-0.7532*** (0.0222)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-0.0338** (0.0155)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2022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-0.8532*** (0.0183)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-0.0094 (0.0193)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-0.8887*** (0.0175)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-0.0051 (0.0210)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-0.9233*** (0.0169)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+0.0081 (0.0209)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2025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-0.9747*** (0.0152)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+0.0031 (0.0203)</w:t>
            </w:r>
          </w:p>
        </w:tc>
      </w:tr>
    </w:tbl>
    <w:p/>
    <w:p>
      <w:r>
        <w:rPr>
          <w:rFonts w:ascii="Times New Roman" w:hAnsi="Times New Roman" w:eastAsia="SimSun"/>
          <w:b w:val="0"/>
          <w:sz w:val="21"/>
        </w:rPr>
        <w:t>说明：对场内质押比例的前期系数反映 2013 年后场内质押从无到有的扩张（处理强度本身由 2016—2017 年质押比例定义），不能作为平行趋势检验；对现金的前期系数中 2015 年显著为负（当年股灾），平行趋势不完全满足，DID 结论需谨慎解读。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