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Asymmetric</w:t>
      </w:r>
      <w:r>
        <w:t xml:space="preserve"> </w:t>
      </w:r>
      <w:r>
        <w:t xml:space="preserve">fiscal</w:t>
      </w:r>
      <w:r>
        <w:t xml:space="preserve"> </w:t>
      </w:r>
      <w:r>
        <w:t xml:space="preserve">capacity</w:t>
      </w:r>
      <w:r>
        <w:t xml:space="preserve"> </w:t>
      </w:r>
      <w:r>
        <w:t xml:space="preserve">and</w:t>
      </w:r>
      <w:r>
        <w:t xml:space="preserve"> </w:t>
      </w:r>
      <w:r>
        <w:t xml:space="preserve">insulated</w:t>
      </w:r>
      <w:r>
        <w:t xml:space="preserve"> </w:t>
      </w:r>
      <w:r>
        <w:t xml:space="preserve">spending</w:t>
      </w:r>
      <w:r>
        <w:t xml:space="preserve"> </w:t>
      </w:r>
      <w:r>
        <w:t xml:space="preserve">in</w:t>
      </w:r>
      <w:r>
        <w:t xml:space="preserve"> </w:t>
      </w:r>
      <w:r>
        <w:t xml:space="preserve">a</w:t>
      </w:r>
      <w:r>
        <w:t xml:space="preserve"> </w:t>
      </w:r>
      <w:r>
        <w:t xml:space="preserve">transfer-dependent</w:t>
      </w:r>
      <w:r>
        <w:t xml:space="preserve"> </w:t>
      </w:r>
      <w:r>
        <w:t xml:space="preserve">periphery:</w:t>
      </w:r>
      <w:r>
        <w:t xml:space="preserve"> </w:t>
      </w:r>
      <w:r>
        <w:t xml:space="preserve">County-level</w:t>
      </w:r>
      <w:r>
        <w:t xml:space="preserve"> </w:t>
      </w:r>
      <w:r>
        <w:t xml:space="preserve">evidence</w:t>
      </w:r>
      <w:r>
        <w:t xml:space="preserve"> </w:t>
      </w:r>
      <w:r>
        <w:t xml:space="preserve">from</w:t>
      </w:r>
      <w:r>
        <w:t xml:space="preserve"> </w:t>
      </w:r>
      <w:r>
        <w:t xml:space="preserve">Tibet,</w:t>
      </w:r>
      <w:r>
        <w:t xml:space="preserve"> </w:t>
      </w:r>
      <w:r>
        <w:t xml:space="preserve">2016–2024</w:t>
      </w:r>
    </w:p>
    <w:p>
      <w:pPr>
        <w:pStyle w:val="FirstParagraph"/>
      </w:pPr>
      <w:r>
        <w:rPr>
          <w:bCs/>
          <w:b/>
        </w:rPr>
        <w:t xml:space="preserve">Author(s):</w:t>
      </w:r>
      <w:r>
        <w:t xml:space="preserve"> </w:t>
      </w:r>
      <w:r>
        <w:t xml:space="preserve">[First name] [Family name]</w:t>
      </w:r>
      <w:r>
        <w:rPr>
          <w:vertAlign w:val="superscript"/>
        </w:rPr>
        <w:t xml:space="preserve">a,*</w:t>
      </w:r>
      <w:r>
        <w:t xml:space="preserve"> </w:t>
      </w:r>
      <w:r>
        <w:t xml:space="preserve">(please complete; the author order must match the submission system)</w:t>
      </w:r>
    </w:p>
    <w:p>
      <w:pPr>
        <w:pStyle w:val="BodyText"/>
      </w:pPr>
      <w:r>
        <w:rPr>
          <w:vertAlign w:val="superscript"/>
        </w:rPr>
        <w:t xml:space="preserve">a</w:t>
      </w:r>
      <w:r>
        <w:t xml:space="preserve"> </w:t>
      </w:r>
      <w:r>
        <w:t xml:space="preserve">[Full name of institution, department, postal address, city, postcode, China]</w:t>
      </w:r>
    </w:p>
    <w:p>
      <w:pPr>
        <w:pStyle w:val="BodyText"/>
      </w:pPr>
      <w:r>
        <w:rPr>
          <w:vertAlign w:val="superscript"/>
        </w:rPr>
        <w:t xml:space="preserve">*</w:t>
      </w:r>
      <w:r>
        <w:t xml:space="preserve"> </w:t>
      </w:r>
      <w:r>
        <w:rPr>
          <w:bCs/>
          <w:b/>
        </w:rPr>
        <w:t xml:space="preserve">Corresponding author:</w:t>
      </w:r>
      <w:r>
        <w:t xml:space="preserve"> </w:t>
      </w:r>
      <w:r>
        <w:t xml:space="preserve">[Name], [full postal address]. E-mail: [e-mail address]</w:t>
      </w:r>
    </w:p>
    <w:bookmarkStart w:id="20" w:name="acknowledgements"/>
    <w:p>
      <w:pPr>
        <w:pStyle w:val="Heading1"/>
      </w:pPr>
      <w:r>
        <w:t xml:space="preserve">Acknowledgements</w:t>
      </w:r>
    </w:p>
    <w:p>
      <w:pPr>
        <w:pStyle w:val="FirstParagraph"/>
      </w:pPr>
      <w:r>
        <w:t xml:space="preserve">[Thank anyone who helped with data collection, language editing or proofreading. If none, delete this section.]</w:t>
      </w:r>
    </w:p>
    <w:bookmarkEnd w:id="20"/>
    <w:bookmarkStart w:id="21" w:name="funding"/>
    <w:p>
      <w:pPr>
        <w:pStyle w:val="Heading1"/>
      </w:pPr>
      <w:r>
        <w:t xml:space="preserve">Funding</w:t>
      </w:r>
    </w:p>
    <w:p>
      <w:pPr>
        <w:pStyle w:val="FirstParagraph"/>
      </w:pPr>
      <w:r>
        <w:t xml:space="preserve">This research did not receive any specific grant from funding agencies in the public, commercial, or not-for-profit sectors.</w:t>
      </w:r>
    </w:p>
    <w:p>
      <w:pPr>
        <w:pStyle w:val="BodyText"/>
      </w:pPr>
      <w:r>
        <w:t xml:space="preserve">[If the work was funded, replace the sentence above, e.g. </w:t>
      </w:r>
      <w:r>
        <w:t xml:space="preserve">“</w:t>
      </w:r>
      <w:r>
        <w:t xml:space="preserve">This work was supported by the [funder] (grant number xxxx).</w:t>
      </w:r>
      <w:r>
        <w:t xml:space="preserve">”</w:t>
      </w:r>
      <w:r>
        <w:t xml:space="preserve"> </w:t>
      </w:r>
      <w:r>
        <w:t xml:space="preserve">and state the funder’s role in study design, data collection, analysis, writing and the decision to submit.]</w:t>
      </w:r>
    </w:p>
    <w:bookmarkEnd w:id="21"/>
    <w:bookmarkStart w:id="22"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22"/>
    <w:bookmarkStart w:id="23" w:name="credit-authorship-contribution-statement"/>
    <w:p>
      <w:pPr>
        <w:pStyle w:val="Heading1"/>
      </w:pPr>
      <w:r>
        <w:t xml:space="preserve">CRediT authorship contribution statement</w:t>
      </w:r>
    </w:p>
    <w:p>
      <w:pPr>
        <w:pStyle w:val="FirstParagraph"/>
      </w:pPr>
      <w:r>
        <w:rPr>
          <w:bCs/>
          <w:b/>
        </w:rPr>
        <w:t xml:space="preserve">[Author 1]:</w:t>
      </w:r>
      <w:r>
        <w:t xml:space="preserve"> </w:t>
      </w:r>
      <w:r>
        <w:t xml:space="preserve">Conceptualization, Data curation, Formal analysis, Methodology, Writing – original draft, Writing – review &amp; editing. [Add co-authors and roles as appropriate.]</w:t>
      </w:r>
    </w:p>
    <w:bookmarkEnd w:id="23"/>
    <w:bookmarkStart w:id="24" w:name="data-availability"/>
    <w:p>
      <w:pPr>
        <w:pStyle w:val="Heading1"/>
      </w:pPr>
      <w:r>
        <w:t xml:space="preserve">Data availability</w:t>
      </w:r>
    </w:p>
    <w:p>
      <w:pPr>
        <w:pStyle w:val="FirstParagraph"/>
      </w:pPr>
      <w:r>
        <w:t xml:space="preserve">The county panel was compiled from publicly released county and prefecture statistical bulletins and official statistical compilations of the Tibet Autonomous Region. The cleaned panel, the cleaning log and the replication code are provided as supplementary material and will be deposited in a public repository (e.g. Mendeley Data) upon acceptance.</w:t>
      </w:r>
    </w:p>
    <w:bookmarkEnd w:id="24"/>
    <w:bookmarkStart w:id="25"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in order to assist with data cleaning scripts, statistical computation, drafting and language editing. After using this tool, the author(s) reviewed and edited the content as needed and take(s) full responsibility for the content of the published article.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4"/>
    </w:rPr>
  </w:style>
  <w:style w:styleId="BodyText" w:type="paragraph">
    <w:name w:val="Body Text"/>
    <w:basedOn w:val="Normal"/>
    <w:link w:val="BodyTextChar"/>
    <w:pPr>
      <w:spacing w:after="180" w:before="180" w:line="360" w:lineRule="auto"/>
    </w:pPr>
    <w:qFormat/>
    <w:rPr>
      <w:rFonts w:ascii="Times New Roman" w:hAnsi="Times New Roman"/>
      <w:sz w:val="24"/>
    </w:rPr>
  </w:style>
  <w:style w:customStyle="1" w:styleId="FirstParagraph" w:type="paragraph">
    <w:name w:val="First Paragraph"/>
    <w:basedOn w:val="BodyText"/>
    <w:next w:val="BodyText"/>
    <w:qFormat/>
    <w:pPr>
      <w:spacing w:line="360" w:lineRule="auto"/>
    </w:pPr>
    <w:rPr>
      <w:rFonts w:ascii="Times New Roman" w:hAnsi="Times New Roman"/>
      <w:sz w:val="24"/>
    </w:rPr>
  </w:style>
  <w:style w:customStyle="1" w:styleId="Compact" w:type="paragraph">
    <w:name w:val="Compact"/>
    <w:basedOn w:val="BodyText"/>
    <w:qFormat/>
    <w:pPr>
      <w:spacing w:after="36" w:before="36" w:line="36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sz w:val="32"/>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line="360" w:lineRule="auto"/>
    </w:pPr>
    <w:rPr>
      <w:rFonts w:ascii="Times New Roman" w:hAnsi="Times New Roman"/>
      <w:sz w:val="24"/>
      <w:szCs w:val="20"/>
    </w:rPr>
  </w:style>
  <w:style w:styleId="Bibliography" w:type="paragraph">
    <w:name w:val="Bibliography"/>
    <w:basedOn w:val="Normal"/>
    <w:next w:val="Bibliography"/>
    <w:qFormat/>
    <w:pPr>
      <w:spacing w:line="360" w:lineRule="auto"/>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Asymmetric fiscal capacity and insulated spending in a transfer-dependent periphery: County-level evidence from Tibet, 2016–2024</dc:title>
  <dc:creator/>
  <cp:keywords/>
  <dcterms:created xsi:type="dcterms:W3CDTF">2026-10-22T04:32:16Z</dcterms:created>
  <dcterms:modified xsi:type="dcterms:W3CDTF">2026-10-22T04:32:16Z</dcterms:modified>
</cp:coreProperties>
</file>

<file path=docProps/custom.xml><?xml version="1.0" encoding="utf-8"?>
<Properties xmlns="http://schemas.openxmlformats.org/officeDocument/2006/custom-properties" xmlns:vt="http://schemas.openxmlformats.org/officeDocument/2006/docPropsVTypes"/>
</file>