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SimSun"/>
          <w:b/>
          <w:sz w:val="32"/>
        </w:rPr>
        <w:t>开题报告修改说明</w:t>
      </w:r>
    </w:p>
    <w:p>
      <w:r>
        <w:rPr>
          <w:rFonts w:ascii="Times New Roman" w:hAnsi="Times New Roman" w:eastAsia="SimSun"/>
          <w:b w:val="0"/>
          <w:sz w:val="21"/>
        </w:rPr>
        <w:t>修改稿：</w:t>
      </w:r>
      <w:r>
        <w:rPr>
          <w:rFonts w:ascii="Times New Roman" w:hAnsi="Times New Roman" w:eastAsia="SimSun"/>
          <w:b w:val="0"/>
          <w:sz w:val="21"/>
        </w:rPr>
        <w:t>开题报告-修改稿.docx</w:t>
      </w:r>
      <w:r>
        <w:rPr>
          <w:rFonts w:ascii="Times New Roman" w:hAnsi="Times New Roman" w:eastAsia="SimSun"/>
          <w:b w:val="0"/>
          <w:sz w:val="21"/>
        </w:rPr>
        <w:t>。原文件的格式、字体、表格样式都没有动，只改了文字；图 1、图 2 按原样式重画。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一、实质性修改（答辩时最可能被问到的地方）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#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位置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原来的问题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怎么改的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副标题（封面、基本信息表）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与李常青、幸伟、李茂良（2018，《财贸经济》）的副标题「掏空还是规避控制权转移风险」几乎相同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改为「——掏空与风险规避两种机制的识别与边界条件」。</w:t>
            </w:r>
            <w:r>
              <w:rPr>
                <w:rFonts w:ascii="Times New Roman" w:hAnsi="Times New Roman" w:eastAsia="SimSun"/>
                <w:b/>
                <w:sz w:val="19"/>
              </w:rPr>
              <w:t>这一处可以按导师意见再定，不是必须改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一（一）末段、（三）研究目的、（五）5 文献评述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 xml:space="preserve">写成「方向尚存争议」，但李常青等（2018b）已经做过这个问题：基于 2013—2015 年季度数据，发现质押比例与现金持有呈 </w:t>
            </w:r>
            <w:r>
              <w:rPr>
                <w:rFonts w:ascii="Times New Roman" w:hAnsi="Times New Roman" w:eastAsia="SimSun"/>
                <w:b/>
                <w:sz w:val="19"/>
              </w:rPr>
              <w:t>U 型</w:t>
            </w:r>
            <w:r>
              <w:rPr>
                <w:rFonts w:ascii="Times New Roman" w:hAnsi="Times New Roman" w:eastAsia="SimSun"/>
                <w:b w:val="0"/>
                <w:sz w:val="19"/>
              </w:rPr>
              <w:t>（拐点约 55%，低于拐点以掏空为主，高于拐点以规避控制权转移风险为主）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正面承认前人工作，并把增量写清楚：样本延伸到 2018 新规之后；</w:t>
            </w:r>
            <w:r>
              <w:rPr>
                <w:rFonts w:ascii="Times New Roman" w:hAnsi="Times New Roman" w:eastAsia="SimSun"/>
                <w:b/>
                <w:sz w:val="19"/>
              </w:rPr>
              <w:t>在控制公司固定效应的条件下重新检验 U 型</w:t>
            </w:r>
            <w:r>
              <w:rPr>
                <w:rFonts w:ascii="Times New Roman" w:hAnsi="Times New Roman" w:eastAsia="SimSun"/>
                <w:b w:val="0"/>
                <w:sz w:val="19"/>
              </w:rPr>
              <w:t>；用渠道检验区分两种机制；加 DID；处理现金可靠性问题。（初稿曾把该文误写为「支持风险规避说」，已据原文更正）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二（二）假设体系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原 H2（融资约束）、H3（产权）在两种机制下预测方向相同，区分不了机制，与「竞争性检验」的定位相矛盾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重排为 4 组假设：</w:t>
            </w:r>
            <w:r>
              <w:rPr>
                <w:rFonts w:ascii="Times New Roman" w:hAnsi="Times New Roman" w:eastAsia="SimSun"/>
                <w:b/>
                <w:sz w:val="19"/>
              </w:rPr>
              <w:t>H1a/H1b</w:t>
            </w:r>
            <w:r>
              <w:rPr>
                <w:rFonts w:ascii="Times New Roman" w:hAnsi="Times New Roman" w:eastAsia="SimSun"/>
                <w:b w:val="0"/>
                <w:sz w:val="19"/>
              </w:rPr>
              <w:t xml:space="preserve"> 看净效应方向；</w:t>
            </w:r>
            <w:r>
              <w:rPr>
                <w:rFonts w:ascii="Times New Roman" w:hAnsi="Times New Roman" w:eastAsia="SimSun"/>
                <w:b/>
                <w:sz w:val="19"/>
              </w:rPr>
              <w:t>H2a/H2b</w:t>
            </w:r>
            <w:r>
              <w:rPr>
                <w:rFonts w:ascii="Times New Roman" w:hAnsi="Times New Roman" w:eastAsia="SimSun"/>
                <w:b w:val="0"/>
                <w:sz w:val="19"/>
              </w:rPr>
              <w:t xml:space="preserve"> 区分机制（平仓压力交乘项、控股股东资金占用、现金边际价值）；</w:t>
            </w:r>
            <w:r>
              <w:rPr>
                <w:rFonts w:ascii="Times New Roman" w:hAnsi="Times New Roman" w:eastAsia="SimSun"/>
                <w:b/>
                <w:sz w:val="19"/>
              </w:rPr>
              <w:t>H3</w:t>
            </w:r>
            <w:r>
              <w:rPr>
                <w:rFonts w:ascii="Times New Roman" w:hAnsi="Times New Roman" w:eastAsia="SimSun"/>
                <w:b w:val="0"/>
                <w:sz w:val="19"/>
              </w:rPr>
              <w:t xml:space="preserve"> 融资约束、</w:t>
            </w:r>
            <w:r>
              <w:rPr>
                <w:rFonts w:ascii="Times New Roman" w:hAnsi="Times New Roman" w:eastAsia="SimSun"/>
                <w:b/>
                <w:sz w:val="19"/>
              </w:rPr>
              <w:t>H4</w:t>
            </w:r>
            <w:r>
              <w:rPr>
                <w:rFonts w:ascii="Times New Roman" w:hAnsi="Times New Roman" w:eastAsia="SimSun"/>
                <w:b w:val="0"/>
                <w:sz w:val="19"/>
              </w:rPr>
              <w:t xml:space="preserve"> 产权性质，明确定位为「边界条件」，并写明它们不能用来区分机制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4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二（二）H3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以当期融资约束作调节变量，与表 2「2016—2017 年固定分组」不一致；而且固定分组会让 2017 年以后上市的公司全部掉出样本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全样本改用</w:t>
            </w:r>
            <w:r>
              <w:rPr>
                <w:rFonts w:ascii="Times New Roman" w:hAnsi="Times New Roman" w:eastAsia="SimSun"/>
                <w:b/>
                <w:sz w:val="19"/>
              </w:rPr>
              <w:t>滞后一期 SA 在年度内按中位数分组</w:t>
            </w:r>
            <w:r>
              <w:rPr>
                <w:rFonts w:ascii="Times New Roman" w:hAnsi="Times New Roman" w:eastAsia="SimSun"/>
                <w:b w:val="0"/>
                <w:sz w:val="19"/>
              </w:rPr>
              <w:t>；只有 DID 部分使用 2016—2017 年固定分组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SA 指数（三「第二」、表 2、表 3、文献综述）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① 「取绝对值后越大越受约束」与 Hadlock 和 Pierce 原文的符号含义相反；② 二次项在总资产约 53 亿元处反转，原文为此做了截尾；③ 正文说鞠晓生等「重新估计了系数」，但表 3 用的是原文系数，前后矛盾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保留原始符号，SA 越大表示约束越强；按原文截尾；改为「鞠晓生等（2013）将 SA 指数应用于中国上市公司」；预回归脚本会自动输出 SA 与规模、年龄的相关系数，用来核验方向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三「第三」DID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预期方向没有交代；没有讨论 2018 年的同期冲击；正文写「处理强度」，表 2 却是二值变量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处理强度改为</w:t>
            </w:r>
            <w:r>
              <w:rPr>
                <w:rFonts w:ascii="Times New Roman" w:hAnsi="Times New Roman" w:eastAsia="SimSun"/>
                <w:b/>
                <w:sz w:val="19"/>
              </w:rPr>
              <w:t>连续的 PledgePre</w:t>
            </w:r>
            <w:r>
              <w:rPr>
                <w:rFonts w:ascii="Times New Roman" w:hAnsi="Times New Roman" w:eastAsia="SimSun"/>
                <w:b w:val="0"/>
                <w:sz w:val="19"/>
              </w:rPr>
              <w:t>，二值设定只作稳健性检验；写明新规对存量高质押公司风险的净影响理论上不确定，因此先做「第一阶段」（新规是否改变了质押比例和平仓压力），再解读现金的变化；加入行业×年度、省份×年度固定效应，并做剔除 2018 年的稳健性检验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纾困交错 DID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被写成与 2018 新规并列的「双重识别」之一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降为补充检验，并写明对照组小、年度数据下处理队列少、统计效力可能不足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8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工具变量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「非特质性股价下跌」影响的是平仓压力，不是质押比例，拿来作质押比例的工具变量逻辑不通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删除这一工具变量，改为用于构造平仓压力的外生变动（服务 H2a）；同业均值工具变量保留为辅助检验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表 2 控制变量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Capex 是投资挤出检验的被解释变量，Div 可能受质押影响（廖珂等，2018），属于「坏控制变量」；SOE 会被公司固定效应吸收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Capex、Div 改为「拓展变量」，不进入基准回归；SOE 改为分组变量；新增「现金边际价值」机制变量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10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模型设定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模型 2 使用当期 SA_it；没有现金价值模型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模型 2 改用 HighFC(t−1)；模型 3 改为 PledgePre×Post；新增模型 4（Faulkender 和 Wang，2006 现金边际价值模型）；逐一说明每个假设对应哪个系数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表 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缺少 H2 对应的变量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新增两行：Pledge×Pressure（H2a）、ΔC×Pledge（H2a/H2b）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12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进度安排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10 周完成全部内容，时间过紧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改为 16 周；第 1—2 周就完成预回归，先确认主效应方向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数据口径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以逐笔质押明细为主，需要自己推算年末未解押余额，工作量大且容易出错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改以</w:t>
            </w:r>
            <w:r>
              <w:rPr>
                <w:rFonts w:ascii="Times New Roman" w:hAnsi="Times New Roman" w:eastAsia="SimSun"/>
                <w:b/>
                <w:sz w:val="19"/>
              </w:rPr>
              <w:t>年报十大股东中第一大股东的质押/冻结股数</w:t>
            </w:r>
            <w:r>
              <w:rPr>
                <w:rFonts w:ascii="Times New Roman" w:hAnsi="Times New Roman" w:eastAsia="SimSun"/>
                <w:b w:val="0"/>
                <w:sz w:val="19"/>
              </w:rPr>
              <w:t>为基准口径，逐笔明细用于区分质押与冻结、测算平仓压力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14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质押资金投向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没有说明资金用途数据需要手工整理，且披露不全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写明依据公告手工整理，披露不全的样本不纳入这项检验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二、文字与引用的修正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「一、4. 股权质押风险的监管应对与纾困政策」标题下第一段（「然而，'掏空说'与……」）原本属于第 3 小节，已移回第 3 小节末尾并改写。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 xml:space="preserve">• 李常青等 2018 年的两篇文章统一区分为 </w:t>
      </w:r>
      <w:r>
        <w:rPr>
          <w:rFonts w:ascii="Times New Roman" w:hAnsi="Times New Roman" w:eastAsia="SimSun"/>
          <w:b/>
          <w:sz w:val="21"/>
        </w:rPr>
        <w:t>2018a</w:t>
      </w:r>
      <w:r>
        <w:rPr>
          <w:rFonts w:ascii="Times New Roman" w:hAnsi="Times New Roman" w:eastAsia="SimSun"/>
          <w:b w:val="0"/>
          <w:sz w:val="21"/>
        </w:rPr>
        <w:t xml:space="preserve">（创新投入，《金融研究》）和 </w:t>
      </w:r>
      <w:r>
        <w:rPr>
          <w:rFonts w:ascii="Times New Roman" w:hAnsi="Times New Roman" w:eastAsia="SimSun"/>
          <w:b/>
          <w:sz w:val="21"/>
        </w:rPr>
        <w:t>2018b</w:t>
      </w:r>
      <w:r>
        <w:rPr>
          <w:rFonts w:ascii="Times New Roman" w:hAnsi="Times New Roman" w:eastAsia="SimSun"/>
          <w:b w:val="0"/>
          <w:sz w:val="21"/>
        </w:rPr>
        <w:t>（现金持有，《财贸经济》）。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Ghaly 等（2017）的概括改为与原文一致：技能型劳动力占比高的企业会持有更多现金。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补齐了原来只列在参考文献表、正文没有引用的 5 篇：Fazzari 等（1988）、Richardson（2006）、胡珺等（2020）、Li 等（2020）、杨国超等（2025）。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新增参考文献 [55] de Chaisemartin 和 D'Haultfœuille（2020）。正文原来就引用了这篇，但参考文献表里没有。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删除了 2021 年《证券公司股权管理规定》这一句。它规范的是券商股东，和上市公司股权质押关系不大。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顺手修复了原文件 XML 中的命名空间声明缺失（</w:t>
      </w:r>
      <w:r>
        <w:rPr>
          <w:rFonts w:ascii="Times New Roman" w:hAnsi="Times New Roman" w:eastAsia="SimSun"/>
          <w:b w:val="0"/>
          <w:sz w:val="21"/>
        </w:rPr>
        <w:t>w14/w15/wp14</w:t>
      </w:r>
      <w:r>
        <w:rPr>
          <w:rFonts w:ascii="Times New Roman" w:hAnsi="Times New Roman" w:eastAsia="SimSun"/>
          <w:b w:val="0"/>
          <w:sz w:val="21"/>
        </w:rPr>
        <w:t>），避免部分版本的 Word 打开时报错。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三、政策与文献核实结果（已完成）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项目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核实结果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处理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2018 年「三部门联合发布《关于加强上市公司股份质押风险管控的意见》」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❌ 查无此文件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已删除，统一改为《股票质押式回购交易及登记结算业务办法（2018 年修订）》：2018 年 1 月 12 日由沪深交易所与中国结算分别发布，3 月 12 日起实施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2019 年 10 月股权质押信息披露新规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△ 时间对，表述笼统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改为「上海、深圳证券交易所分别修订股份质押信息披露相关公告格式指引」（均为 2019 年 10 月 25 日）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2025 年 12 月《上市公司监督管理条例（公开征求意见稿）》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✅ 正确（2025 年 12 月 5 日，征求意见截至 2026 年 1 月 5 日）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保留，定位为「监管制度持续完善」，不再写成股权质押监管新规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未设立纾困基金的 6 个省份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✅ 与毛捷和管星华（2022）一致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口径由「未实施纾困计划」改为原文的「未设立地方政府纾困基金」（正文与表 2 同步）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李常青等（2018b）的结论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✅ 已据原文核实：U 型关系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见第一部分第 2 条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周少甫和叶宁（2023）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检索到可能的出处：《控股股东股权质押、控制权转移与信用利差》，《经济与管理》2023 年第 37 卷第 4 期，61—71 页（仅从他文引用中检索到，未见原文）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正文暂以唐玮等（2019）替代；如需恢复，请先在知网核对原文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郑登津等（2026）、杨国超等（2025）、刘强等（2025）、Pan 和 Qian（2024）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未逐一核对卷期页码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建议在知网或期刊官网核对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四、没有改的地方</w:t>
      </w:r>
    </w:p>
    <w:p>
      <w:r>
        <w:rPr>
          <w:rFonts w:ascii="Times New Roman" w:hAnsi="Times New Roman" w:eastAsia="SimSun"/>
          <w:b w:val="0"/>
          <w:sz w:val="21"/>
        </w:rPr>
        <w:t>封面、填表说明、选题来源、研究意义的现实层面、参考文献的排列顺序（只在末尾追加了一条），以及第七、八部分都保持原样。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五、第二轮修改：参照已通过的同模板开题报告，补入真实数据结果</w:t>
      </w:r>
    </w:p>
    <w:p>
      <w:r>
        <w:rPr>
          <w:rFonts w:ascii="Times New Roman" w:hAnsi="Times New Roman" w:eastAsia="SimSun"/>
          <w:b w:val="0"/>
          <w:sz w:val="21"/>
        </w:rPr>
        <w:t>参照同学院已通过的开题报告，在「实证设计与初步回归结果」部分填入真实数据的结果（只参照结构，未使用其文字）：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位置</w:t>
            </w:r>
          </w:p>
        </w:tc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改动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表 4 描述性统计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由空表改为真实数值（52,743 个观测、5,165 家公司），并加表注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新增「初步回归结果」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表 6 基准回归，4 列，逐步加入控制变量、行业×年度 FE、上市年数 FE；表 7 复现李常青等（2018b）的 U 型并与公司固定效应对比；各配一段解读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四（一）数据准备情况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由「拟收集」改为「已完成」；质押比例的构造写成实际使用的方法（质押统计表 + 十大股东），补充两项交叉验证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三「第一」、表 3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质押数据口径同步更新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进度表第一阶段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标注「已完成」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参考文献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新增 [56] Lind 和 Mehlum（2010），即 U 型检验方法的出处</w:t>
            </w:r>
          </w:p>
        </w:tc>
      </w:tr>
    </w:tbl>
    <w:p/>
    <w:p>
      <w:r>
        <w:rPr>
          <w:rFonts w:ascii="Times New Roman" w:hAnsi="Times New Roman" w:eastAsia="SimSun"/>
          <w:b/>
          <w:sz w:val="21"/>
        </w:rPr>
        <w:t>注意</w:t>
      </w:r>
      <w:r>
        <w:rPr>
          <w:rFonts w:ascii="Times New Roman" w:hAnsi="Times New Roman" w:eastAsia="SimSun"/>
          <w:b w:val="0"/>
          <w:sz w:val="21"/>
        </w:rPr>
        <w:t>：参考的那份开题报告对 SA 指数用了取绝对值的口径，本报告仍保留原始符号（理由见第一部分第 5 条），不要跟着改。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六、第三轮修改：DID 由「主要识别策略」改为「政策效果评估」</w:t>
      </w:r>
    </w:p>
    <w:p>
      <w:r>
        <w:rPr>
          <w:rFonts w:ascii="Times New Roman" w:hAnsi="Times New Roman" w:eastAsia="SimSun"/>
          <w:b/>
          <w:sz w:val="21"/>
        </w:rPr>
        <w:t>原因</w:t>
      </w:r>
      <w:r>
        <w:rPr>
          <w:rFonts w:ascii="Times New Roman" w:hAnsi="Times New Roman" w:eastAsia="SimSun"/>
          <w:b w:val="0"/>
          <w:sz w:val="21"/>
        </w:rPr>
        <w:t>：初步结果显示，新规显著压降了高质押公司的质押比例（第一阶段 −0.18***），但现金持有没有随之显著变化（简化式不显著），不足以支撑因果识别。开题尚未答辩，现在修改不受「开题批准后不得随意更改」的限制。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位置</w:t>
            </w:r>
          </w:p>
        </w:tc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改动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一（一）选题背景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「为本文的识别策略提供政策检验场景」→「为评估监管政策的实际效果提供检验场景」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一（一）末段、（三）研究目的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「增强因果识别」「为因果识别提供补充证据」→「评估监管效果」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一（五）5 边际贡献第三点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「在识别策略上」→「在政策评估上」，并写明评估什么（是否压降质押、是否改变风险传导）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二（三）研究方法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内生性处理改为：双向固定效应 + 上市年数固定效应 + 滞后项 + PSM；DID 归入政策评估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二（四）第四章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「（主要识别策略）」→「（政策评估）」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二（五）预期目标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双重差分改为评估政策效果，不再用于识别因果性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三「第三」内生性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「其一」改为固定效应等方法，DID 移为「其二」，纾困移为「其三」；结尾改为如实说明因果识别的局限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图 1 技术路线图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「DID（主识别）」→「U 型复现与比较 → 稳健性与内生性处理 → 2018 年新规 DID（政策评估）」；数据来源改为「CSMAR 股权质押数据」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七、第四轮修改：与实际数据处理逐项对齐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位置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问题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改动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样本筛选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开题写了「剔除 ST、*ST」，但此前没有实际执行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按当年证券简称识别并剔除 ST、*ST、PT，共 1,870 个公司年度；</w:t>
            </w:r>
            <w:r>
              <w:rPr>
                <w:rFonts w:ascii="Times New Roman" w:hAnsi="Times New Roman" w:eastAsia="SimSun"/>
                <w:b/>
                <w:sz w:val="19"/>
              </w:rPr>
              <w:t>表 4、表 6、表 7 全部用新样本重算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二（一）研究对象、四（一）⑤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写的是「A 股」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改为「沪深 A 股（不含北交所）」，并补上「资不抵债」这一筛选条件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研究方法、四（一）④、表 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列有 Wind、akshare 等实际没有使用的来源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只保留 CSMAR；删除表 1 中的「免费替代路径」一行；补充月个股回报率与三因子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表 2 平仓压力 Pressure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写的是「年度最低收盘价」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改为实际算法：月度收益指数、逐笔质押、触及预警线的质押股数占比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初步回归结果解读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—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数字随新样本更新（基准 −0.0165***，经济意义 2.2%，拐点 0.53），并加了一句：负向关系主要集中在上市时间较短的公司</w:t>
            </w:r>
          </w:p>
        </w:tc>
      </w:tr>
    </w:tbl>
    <w:p/>
    <w:p>
      <w:r>
        <w:rPr>
          <w:rFonts w:ascii="Times New Roman" w:hAnsi="Times New Roman" w:eastAsia="SimSun"/>
          <w:b/>
          <w:sz w:val="21"/>
        </w:rPr>
        <w:t>引用更正</w:t>
      </w:r>
      <w:r>
        <w:rPr>
          <w:rFonts w:ascii="Times New Roman" w:hAnsi="Times New Roman" w:eastAsia="SimSun"/>
          <w:b w:val="0"/>
          <w:sz w:val="21"/>
        </w:rPr>
        <w:t>：正文「风险规避渠道」一段原引用「周少甫和叶宁，2023」，参考文献表中没有这一条，且无法核实原文，已改为参考文献表中已有、直接论证「质押加剧公司融资约束」的唐玮等（2019）。如需保留原引用，请提供该文完整出处后补入参考文献表。其余正文引用与参考文献表已逐条核对，能够对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位置</w:t>
            </w:r>
          </w:p>
        </w:tc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改动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四（一）数据准备情况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写明「本文所需数据均来自国泰安（CSMAR）数据库」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表 1 数据来源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最后一列由「成本」改为「进度」；获取方式改为从 CSMAR 导出的实际做法；治理数据来源改为实际使用的十大股东与股权性质文件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八、第五轮修改：通读后修正的瑕疵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位置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问题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改动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一（五）3 末段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仍说「结合外生政策冲击进行因果识别」，与 DID 的新定位矛盾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改为「考察监管政策对这一传导关系的影响」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一（五）5 边际贡献第二点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一句话里出现两个「并以」，读起来不通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拆句，并补上「区分公司间差异与公司内变化」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二（四）第五章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没有提到 U 型复现这一核心内容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补上「复现李常青等（2018b）的 U 型关系，比较混合回归与公司固定效应」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二（五）预期目标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写的是「刻画两种机制各自占优的条件区间」，与「边界条件不能区分机制」的定位矛盾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改为通过 U 型复现与渠道检验判断两种机制是否成立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四（一）②③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列了固定资产、员工人数、董事会规模、两职合一等实际没有下载的数据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改为实际下载的字段与数据表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四（一）第 6 步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写的是 statsmodels／linearmodels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改为实际使用的 pyfixest（并提供 Stata 代码）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四（一）「截至目前」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写「上述步骤已全部完成」，但 KZ／WW、PSM 尚未做，拓展检验的数据也还没下载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如实写明已完成与待完成的部分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表 2 引导语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「变量的具体取值待数据下载与测算完成后填入」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改为「已完成测算，描述性统计见表 4」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表 2 现金边际价值、质押资金投向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来源写成「CSMAR/锐思」「巨潮手工整理」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改为实际来源：CSMAR 月个股回报率 + 自构 25 组合；CSMAR 质押明细表「投向」字段（仅约 2% 投向上市公司）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三「第四」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资金用途写成手工整理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表 3 SA 截尾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写「按汇率与价格指数折算」，实际只按汇率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如实写为折算为 370 亿元人民币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模型说明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控制变量漏了营业收入增长率；H4 写的是 SUR 检验，实际用的是交乘项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补全控制变量；H4 改为 Pledge×SOE 交乘项检验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九、第六轮修改：按同模板已通过的开题报告对齐格式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位置</w:t>
            </w:r>
          </w:p>
        </w:tc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改动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图 1 技术路线图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按模板改为三栏结构（研究思路｜研究内容｜研究方法与手段），分 6 个阶段，黑白线框，标题加粗；图宽与模板一致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图 2 核心机制链条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改为同样的黑白线框风格，并补上「与已有研究比较」一环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基本信息表前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补上模板中有的标题「硕士研究生学位论文开题报告表」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五、进度安排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表格上方依次为填写说明、引导语与表题「表 8　论文工作进展安排」（原来填写说明排在表格下方）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七、专家组提问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删除多余的提示文字，与模板一样留空</w:t>
            </w:r>
          </w:p>
        </w:tc>
      </w:tr>
    </w:tbl>
    <w:p/>
    <w:p>
      <w:r>
        <w:rPr>
          <w:rFonts w:ascii="Times New Roman" w:hAnsi="Times New Roman" w:eastAsia="SimSun"/>
          <w:b/>
          <w:sz w:val="21"/>
        </w:rPr>
        <w:t>没有照搬的</w:t>
      </w:r>
      <w:r>
        <w:rPr>
          <w:rFonts w:ascii="Times New Roman" w:hAnsi="Times New Roman" w:eastAsia="SimSun"/>
          <w:b w:val="0"/>
          <w:sz w:val="21"/>
        </w:rPr>
        <w:t>：模板中的个人信息（学号、姓名、导师、日期）和导师评语「综合评定，同意参加开题」，都应由你本人或导师填写。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十、第七轮修改：补充近年文献</w:t>
      </w:r>
    </w:p>
    <w:p>
      <w:r>
        <w:rPr>
          <w:rFonts w:ascii="Times New Roman" w:hAnsi="Times New Roman" w:eastAsia="SimSun"/>
          <w:b/>
          <w:sz w:val="21"/>
        </w:rPr>
        <w:t>问题</w:t>
      </w:r>
      <w:r>
        <w:rPr>
          <w:rFonts w:ascii="Times New Roman" w:hAnsi="Times New Roman" w:eastAsia="SimSun"/>
          <w:b w:val="0"/>
          <w:sz w:val="21"/>
        </w:rPr>
        <w:t>：原参考文献表中位年份为 2018 年，2022 年以后的仅 7 条（其中 1 条未检索到）；更关键的是，</w:t>
      </w:r>
      <w:r>
        <w:rPr>
          <w:rFonts w:ascii="Times New Roman" w:hAnsi="Times New Roman" w:eastAsia="SimSun"/>
          <w:b/>
          <w:sz w:val="21"/>
        </w:rPr>
        <w:t>没有一篇研究 2018 年质押新规效果的文献</w:t>
      </w:r>
      <w:r>
        <w:rPr>
          <w:rFonts w:ascii="Times New Roman" w:hAnsi="Times New Roman" w:eastAsia="SimSun"/>
          <w:b w:val="0"/>
          <w:sz w:val="21"/>
        </w:rPr>
        <w:t>，而新规正是本文 DID 的政策冲击。</w:t>
      </w:r>
    </w:p>
    <w:p>
      <w:r>
        <w:rPr>
          <w:rFonts w:ascii="Times New Roman" w:hAnsi="Times New Roman" w:eastAsia="SimSun"/>
          <w:b/>
          <w:sz w:val="21"/>
        </w:rPr>
        <w:t>新增 7 条文献</w:t>
      </w:r>
      <w:r>
        <w:rPr>
          <w:rFonts w:ascii="Times New Roman" w:hAnsi="Times New Roman" w:eastAsia="SimSun"/>
          <w:b w:val="0"/>
          <w:sz w:val="21"/>
        </w:rPr>
        <w:t>，均已联网核实题录，并在文献综述中补写了对应的句子：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位置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补写内容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引用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一（五）1 现金持有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美国平均现金持有的上升几乎完全来自新上市公司，同一公司内部并未上升，研究现金持有需要区分公司间差异与公司内变化，并关注上市年限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Graham 和 Leary（2018）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一（五）2 经济后果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质押与融资约束的关系本身有争议：融资约束是质押的动因，质押次年反而可能缓解融资约束；质押公司的银行贷款利差更低、期限更长。这也是本文把融资约束作为边界条件、而不作为单一渠道的原因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Cheng 等（2021）、Shi 等（2023）、Hou 和 Lu（2024）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一（五）3 资金去向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为上市公司本身融资的质押交易仅占 17.4%；67.3% 的第一大股东把质押资金用在上市公司之外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Pan 和 Qian（2024）、He 等（2022）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一（五）4 监管应对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2018 年新规降低了崩盘风险与破产风险、缓解融资约束、抑制掏空；但「一刀切」监管使高质押公司市场价值下降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Su 和 Alexiou（2023）、连玉君和刘畅（2021）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一（五）4 末段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原句「尚未见有研究以 2018 年新规为外生冲击」</w:t>
            </w:r>
            <w:r>
              <w:rPr>
                <w:rFonts w:ascii="Times New Roman" w:hAnsi="Times New Roman" w:eastAsia="SimSun"/>
                <w:b/>
                <w:sz w:val="19"/>
              </w:rPr>
              <w:t>不准确</w:t>
            </w:r>
            <w:r>
              <w:rPr>
                <w:rFonts w:ascii="Times New Roman" w:hAnsi="Times New Roman" w:eastAsia="SimSun"/>
                <w:b w:val="0"/>
                <w:sz w:val="19"/>
              </w:rPr>
              <w:t>，改为「以 2018 年新规为冲击的研究主要关注崩盘风险与公司价值，尚未见有研究考察新规对企业现金持有的影响」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同上</w:t>
            </w:r>
          </w:p>
        </w:tc>
      </w:tr>
    </w:tbl>
    <w:p/>
    <w:p>
      <w:r>
        <w:rPr>
          <w:rFonts w:ascii="Times New Roman" w:hAnsi="Times New Roman" w:eastAsia="SimSun"/>
          <w:b/>
          <w:sz w:val="21"/>
        </w:rPr>
        <w:t>顺带改正</w:t>
      </w:r>
      <w:r>
        <w:rPr>
          <w:rFonts w:ascii="Times New Roman" w:hAnsi="Times New Roman" w:eastAsia="SimSun"/>
          <w:b w:val="0"/>
          <w:sz w:val="21"/>
        </w:rPr>
        <w:t>：文献综述第 2 小节原写「Pan和Qian（2024）则从企业融资视角提供了国际经验证据」，该文用的是中国数据，这句已删除，改为在第 3 小节按原文结论引用。</w:t>
      </w:r>
    </w:p>
    <w:p>
      <w:r>
        <w:rPr>
          <w:rFonts w:ascii="Times New Roman" w:hAnsi="Times New Roman" w:eastAsia="SimSun"/>
          <w:b/>
          <w:sz w:val="21"/>
        </w:rPr>
        <w:t>参考文献表重新排序</w:t>
      </w:r>
      <w:r>
        <w:rPr>
          <w:rFonts w:ascii="Times New Roman" w:hAnsi="Times New Roman" w:eastAsia="SimSun"/>
          <w:b w:val="0"/>
          <w:sz w:val="21"/>
        </w:rPr>
        <w:t>：由 56 条增至 63 条，按「外文（现金持有—融资约束—计量方法—股权质押）在前、中文按年份在后」重新编号；原先追加在末尾的 de Chaisemartin 和 D'Haultfœuille（2020）、Lind 和 Mehlum（2010）也移到了外文部分。正文用「作者（年份）」引用，编号变动不影响正文。</w:t>
      </w:r>
    </w:p>
    <w:p>
      <w:r>
        <w:rPr>
          <w:rFonts w:ascii="Times New Roman" w:hAnsi="Times New Roman" w:eastAsia="SimSun"/>
          <w:b/>
          <w:sz w:val="21"/>
        </w:rPr>
        <w:t>页码</w:t>
      </w:r>
      <w:r>
        <w:rPr>
          <w:rFonts w:ascii="Times New Roman" w:hAnsi="Times New Roman" w:eastAsia="SimSun"/>
          <w:b w:val="0"/>
          <w:sz w:val="21"/>
        </w:rPr>
        <w:t>：连玉君和刘畅（2021）的页码在第八轮已补为 182-196。</w:t>
      </w:r>
    </w:p>
    <w:p>
      <w:r>
        <w:rPr>
          <w:rFonts w:ascii="Times New Roman" w:hAnsi="Times New Roman" w:eastAsia="SimSun"/>
          <w:b/>
          <w:sz w:val="21"/>
        </w:rPr>
        <w:t>这批文献对答辩的帮助</w:t>
      </w:r>
      <w:r>
        <w:rPr>
          <w:rFonts w:ascii="Times New Roman" w:hAnsi="Times New Roman" w:eastAsia="SimSun"/>
          <w:b w:val="0"/>
          <w:sz w:val="21"/>
        </w:rPr>
        <w:t>：Graham 和 Leary（2018）、Pan 和 Qian（2024）、He 等（2022）三篇正好为预回归的主要发现提供了文献依据——现金持有的变化主要来自新上市公司，而质押资金大多流向上市公司之外，因此质押不会促使公司增持现金。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十一、第八轮修改：按你提供的原文补充质押新规文献</w:t>
      </w:r>
    </w:p>
    <w:p>
      <w:r>
        <w:rPr>
          <w:rFonts w:ascii="Times New Roman" w:hAnsi="Times New Roman" w:eastAsia="SimSun"/>
          <w:b w:val="0"/>
          <w:sz w:val="21"/>
        </w:rPr>
        <w:t>你发来的 4 篇 PDF 里，有 3 篇研究 2018 年质押新规，已加入；另从它们的参考文献表里找到 1 篇《财贸经济》的新规论文，联网核实后一并加入。参考文献表由 63 条增至 67 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位置</w:t>
            </w:r>
          </w:p>
        </w:tc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改动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一（五）4 第一段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新增「国内围绕 2018 年股票质押新规已形成一批文献」一句，并按主题依次概括：股票市场稳定（熊海芳等，2020）、崩盘风险与公司价值（连玉君和刘畅，2021）、私利侵占（何熙琼等，2023）、盈余管理（梁芳凝和庞世明，2024；孙伟艳和肖琼，2026）；纾困政策的文献放在其后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一（五）4 末段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改为：已有新规研究关注股市稳定、公司价值、私利侵占和盈余管理，尚未见研究新规对现金持有的影响。新增两点：① 若新规抑制了掏空（何熙琼等，2023），高质押公司的现金应在新规后相对上升，这是本文 DID 可检验的预测；② 既有研究用「当期质押比例 × 新规后」度量处理强度，而当期质押比例本身会被新规压低，本文改用新规前（2016—2017 年）的平均质押比例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参考文献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新增 [54] 熊海芳等（2020）、[62] 何熙琼等（2023）、[63] 梁芳凝和庞世明（2024）、[67] 孙伟艳和肖琼（2026）；连玉君和刘畅（2021）补全页码 182-196（取自梁芳凝和庞世明原文的参考文献表）</w:t>
            </w:r>
          </w:p>
        </w:tc>
      </w:tr>
    </w:tbl>
    <w:p/>
    <w:p>
      <w:r>
        <w:rPr>
          <w:rFonts w:ascii="Times New Roman" w:hAnsi="Times New Roman" w:eastAsia="SimSun"/>
          <w:b/>
          <w:sz w:val="21"/>
        </w:rPr>
        <w:t>没有加入的</w:t>
      </w:r>
      <w:r>
        <w:rPr>
          <w:rFonts w:ascii="Times New Roman" w:hAnsi="Times New Roman" w:eastAsia="SimSun"/>
          <w:b w:val="0"/>
          <w:sz w:val="21"/>
        </w:rPr>
        <w:t>：刘卓然和鞠荣华（2024）研究的是减持新规和质押率对股票收益率的影响，没有涉及质押新规。</w:t>
      </w:r>
    </w:p>
    <w:p>
      <w:r>
        <w:rPr>
          <w:rFonts w:ascii="Times New Roman" w:hAnsi="Times New Roman" w:eastAsia="SimSun"/>
          <w:b/>
          <w:sz w:val="21"/>
        </w:rPr>
        <w:t>两点提醒</w:t>
      </w:r>
      <w:r>
        <w:rPr>
          <w:rFonts w:ascii="Times New Roman" w:hAnsi="Times New Roman" w:eastAsia="SimSun"/>
          <w:b w:val="0"/>
          <w:sz w:val="21"/>
        </w:rPr>
        <w:t>：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熊海芳等（2020）正文只按题目概括了研究内容。写论文正文前，建议下载原文细读。</w:t>
      </w:r>
    </w:p>
    <w:p>
      <w:pPr>
        <w:ind w:left="340" w:hanging="227"/>
      </w:pPr>
      <w:r>
        <w:rPr>
          <w:rFonts w:ascii="Times New Roman" w:hAnsi="Times New Roman" w:eastAsia="SimSun"/>
          <w:b w:val="0"/>
          <w:sz w:val="21"/>
        </w:rPr>
        <w:t>• 梁芳凝和庞世明（2024）发表在《中国软科学》</w:t>
      </w:r>
      <w:r>
        <w:rPr>
          <w:rFonts w:ascii="Times New Roman" w:hAnsi="Times New Roman" w:eastAsia="SimSun"/>
          <w:b/>
          <w:sz w:val="21"/>
        </w:rPr>
        <w:t>增刊</w:t>
      </w:r>
      <w:r>
        <w:rPr>
          <w:rFonts w:ascii="Times New Roman" w:hAnsi="Times New Roman" w:eastAsia="SimSun"/>
          <w:b w:val="0"/>
          <w:sz w:val="21"/>
        </w:rPr>
        <w:t>上。如果学校对引用增刊有要求，可以删掉，何熙琼等（2023）和孙伟艳和肖琼（2026）已经能支撑同样的内容。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十二、第九轮修改：参考文献精简至 50 条</w:t>
      </w:r>
    </w:p>
    <w:p>
      <w:r>
        <w:rPr>
          <w:rFonts w:ascii="Times New Roman" w:hAnsi="Times New Roman" w:eastAsia="SimSun"/>
          <w:b w:val="0"/>
          <w:sz w:val="21"/>
        </w:rPr>
        <w:t>按你「50 篇左右」的要求，参考文献由 67 条删到 50 条，正文中引用它们的句子一并删改，删完后逐条核对过：正文引用的都在表里，表里的都在正文被引用。</w:t>
      </w:r>
    </w:p>
    <w:p>
      <w:r>
        <w:rPr>
          <w:rFonts w:ascii="Times New Roman" w:hAnsi="Times New Roman" w:eastAsia="SimSun"/>
          <w:b/>
          <w:sz w:val="21"/>
        </w:rPr>
        <w:t>删除顺序</w:t>
      </w:r>
      <w:r>
        <w:rPr>
          <w:rFonts w:ascii="Times New Roman" w:hAnsi="Times New Roman" w:eastAsia="SimSun"/>
          <w:b w:val="0"/>
          <w:sz w:val="21"/>
        </w:rPr>
        <w:t>：</w:t>
      </w:r>
    </w:p>
    <w:p>
      <w:r>
        <w:rPr>
          <w:rFonts w:ascii="Times New Roman" w:hAnsi="Times New Roman" w:eastAsia="SimSun"/>
          <w:b w:val="0"/>
          <w:sz w:val="21"/>
        </w:rPr>
        <w:t>1. 检索不到的 3 条（柯艳蓉等 2020、余明桂等 2021、刘强等 2025），以及正文概括可能不符的苏治等（2023）；</w:t>
      </w:r>
    </w:p>
    <w:p>
      <w:r>
        <w:rPr>
          <w:rFonts w:ascii="Times New Roman" w:hAnsi="Times New Roman" w:eastAsia="SimSun"/>
          <w:b w:val="0"/>
          <w:sz w:val="21"/>
        </w:rPr>
        <w:t>2. 第七轮新增、可有可无的 4 条外文文献（Cheng 等、Shi 等、Hou 和 Lu、He 等）；</w:t>
      </w:r>
    </w:p>
    <w:p>
      <w:r>
        <w:rPr>
          <w:rFonts w:ascii="Times New Roman" w:hAnsi="Times New Roman" w:eastAsia="SimSun"/>
          <w:b w:val="0"/>
          <w:sz w:val="21"/>
        </w:rPr>
        <w:t>3. 增刊论文梁芳凝和庞世明（2024），与孙伟艳和肖琼（2026）内容重复；</w:t>
      </w:r>
    </w:p>
    <w:p>
      <w:r>
        <w:rPr>
          <w:rFonts w:ascii="Times New Roman" w:hAnsi="Times New Roman" w:eastAsia="SimSun"/>
          <w:b w:val="0"/>
          <w:sz w:val="21"/>
        </w:rPr>
        <w:t>4. 正文只提一句、与主线关系弱的 5 条，页码无法核实的郑登津等（2026），以及重复的 2 条交错 DID 方法文献。</w:t>
      </w:r>
    </w:p>
    <w:p>
      <w:r>
        <w:rPr>
          <w:rFonts w:ascii="Times New Roman" w:hAnsi="Times New Roman" w:eastAsia="SimSun"/>
          <w:b/>
          <w:sz w:val="21"/>
        </w:rPr>
        <w:t>顺带解决的问题</w:t>
      </w:r>
      <w:r>
        <w:rPr>
          <w:rFonts w:ascii="Times New Roman" w:hAnsi="Times New Roman" w:eastAsia="SimSun"/>
          <w:b w:val="0"/>
          <w:sz w:val="21"/>
        </w:rPr>
        <w:t>：原稿「按质押资金投向划分支持型／非支持型质押」的检验（三「第四」和表 2）依据的是余明桂等（2021）和苏治等（2023），前者查不到，后者概括可能有误。现改为参照已核实的 Pan 和 Qian（2024）：该文正是按质押资金用途区分为上市公司融资的质押与其他质押。</w:t>
      </w:r>
    </w:p>
    <w:p>
      <w:r>
        <w:rPr>
          <w:rFonts w:ascii="Times New Roman" w:hAnsi="Times New Roman" w:eastAsia="SimSun"/>
          <w:b/>
          <w:sz w:val="21"/>
        </w:rPr>
        <w:t>保留的重点</w:t>
      </w:r>
      <w:r>
        <w:rPr>
          <w:rFonts w:ascii="Times New Roman" w:hAnsi="Times New Roman" w:eastAsia="SimSun"/>
          <w:b w:val="0"/>
          <w:sz w:val="21"/>
        </w:rPr>
        <w:t>：2018 年质押新规的 5 篇专题文献全部保留（Su 和 Alexiou，2023；熊海芳等，2020；连玉君和刘畅，2021；何熙琼等，2023；孙伟艳和肖琼，2026）。</w:t>
      </w:r>
    </w:p>
    <w:p>
      <w:r>
        <w:rPr>
          <w:rFonts w:ascii="Times New Roman" w:hAnsi="Times New Roman" w:eastAsia="SimSun"/>
          <w:b w:val="0"/>
          <w:sz w:val="21"/>
        </w:rPr>
        <w:t>精简后 2018 年及以后的文献有 27 条，占 54%。表中已没有查不到出处的文献，只剩 2 处题目用字、3 处页码需要在知网核对，见核查清单。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十三、第十轮修改：模型公式改为 Word 公式</w:t>
      </w:r>
    </w:p>
    <w:p>
      <w:r>
        <w:rPr>
          <w:rFonts w:ascii="Times New Roman" w:hAnsi="Times New Roman" w:eastAsia="SimSun"/>
          <w:b w:val="0"/>
          <w:sz w:val="21"/>
        </w:rPr>
        <w:t>原来的 4 个模型是纯文字，用「Cash_it」「R_it^B」「Year_FE」这类写法表示下标和上标，格式不规范。现改为：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改动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公式本身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改为 Word 公式对象，可在 Word 中双击编辑；下标 i,t、i,t−1，上标 B，分式 ΔC/M 都用真正的上下标和分式排版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版式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模型名称单独一行，公式居中，右侧编号 (1)—(4)；模型 2 和模型 4 较长，分两行排，编号放在第二行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固定效应写法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「Year_FE、Firm_FE」改为 λ_t（年度固定效应）和 μ_i（公司固定效应），这是论文中的通行写法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下方说明段落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同步改为 λ_t、μ_i、ε_i,t、r_i,t − R^B_i,t 以及 β₁、γ₂ 等真正的上下标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十四、第十一轮修改：通读排版问题</w:t>
      </w:r>
    </w:p>
    <w:p>
      <w:r>
        <w:rPr>
          <w:rFonts w:ascii="Times New Roman" w:hAnsi="Times New Roman" w:eastAsia="SimSun"/>
          <w:b w:val="0"/>
          <w:sz w:val="21"/>
        </w:rPr>
        <w:t>把全文渲染成 PDF 逐页检查后，修正了以下格式问题：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问题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位置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改动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整段误为加粗（原稿即如此）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一（五）4 的两段：「伴随质押规模扩张……」「需要指出的是……」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取消加粗，与其他正文一致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引号混用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全文 27 处「」与“”混用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统一为中文引号“”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引用格式不统一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11 处半角括号，如「鞠晓生等(2013)」；7 处多余空格，如「Opler 等」「Hadlock 和 Pierce」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统一为「作者等（年份）」「作者和作者（年份）」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小标题编号不统一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一、二部分用「1. 」，四部分用「1．」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统一为全角「1．」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表题对齐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图题居中，表题居左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表题统一居中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表 2 字号不一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后来补入的 10 行为小五号，其余为五号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统一为五号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表 2 行序混乱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控制变量中间夹着拓展变量，新增的机制、政策变量排在末尾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按「被解释变量—解释变量—调节变量—机制变量—分组变量—政策变量—工具变量—控制变量—拓展变量—固定效应」重排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表 2 内容挤在窄列里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SA 指数、现金边际价值、质押资金投向三行的说明写在「数据来源」窄列，竖排成长条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说明移到「定义」列，「数据来源」只留来源；符号列加宽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表 2 固定效应符号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仍写「Year FE, Firm FE」，与公式不一致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改为 λ_t、μ_i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表 5 符号列过窄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「Pledge×HighFC」「Pledge×Pressure」被拆成两行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调整列宽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表 8 字号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11 号，其他表格为五号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统一为五号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跨页表格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表 2 等长表跨页时没有表头，行被拆到两页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表头跨页重复，行不跨页断开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SA 公式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减号用的是连字符「-」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改为减号「−」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多余空白页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参考文献后、第四部分后各多出一页空白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原因是章节之间用单独的分页符段落，方框恰好排满一页时就会多出一页；改为标题「段前分页」，并删去方框末尾的空段落</w:t>
            </w:r>
          </w:p>
        </w:tc>
      </w:tr>
    </w:tbl>
    <w:p/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