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interests</w:t>
      </w:r>
    </w:p>
    <w:p>
      <w:r>
        <w:rPr>
          <w:b/>
        </w:rPr>
        <w:t xml:space="preserve">Manuscript title: </w:t>
      </w:r>
      <w:r>
        <w:t>Asymmetric fiscal capacity and insulated spending in a transfer-dependent periphery: County-level evidence from Tibet, 2016–2024</w:t>
      </w:r>
    </w:p>
    <w:p>
      <w:r>
        <w:rPr>
          <w:b/>
        </w:rPr>
        <w:t xml:space="preserve">Author: </w:t>
      </w:r>
      <w:r>
        <w:t>Zhanpeng Wang (王展鹏), School of Finance and Economics, Tibet University, Lhasa, China</w:t>
      </w:r>
    </w:p>
    <w:p>
      <w:r>
        <w:t>☒ The author declares no known competing financial interests or personal relationships that could have appeared to influence the work reported in this paper.</w:t>
      </w:r>
    </w:p>
    <w:p>
      <w:r>
        <w:t>☐ The author declares the following financial interests/personal relationships which may be considered as potential competing interests: [none]</w:t>
      </w:r>
    </w:p>
    <w:p>
      <w:r>
        <w:t>Funding: This research did not receive any specific grant from funding agencies in the public, commercial, or not-for-profit sectors.</w:t>
      </w:r>
    </w:p>
    <w:p>
      <w:r>
        <w:t>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