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 xml:space="preserve">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 xml:space="preserve">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 xml:space="preserve">，相关研究多以五大发展理念搭建指标体系，并逐步向省域、城市群等尺度拓展</w:t>
      </w:r>
      <w:r>
        <w:rPr>
          <w:rFonts w:hint="eastAsia"/>
          <w:sz w:val="21"/>
          <w:szCs w:val="21"/>
          <w:vertAlign w:val="superscript"/>
        </w:rPr>
        <w:t>[9][10][11]</w:t>
      </w:r>
      <w:r>
        <w:rPr>
          <w:rFonts w:hint="eastAsia"/>
          <w:sz w:val="21"/>
          <w:szCs w:val="21"/>
        </w:rPr>
        <w:t xml:space="preserve">，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 xml:space="preserve">。国外关于“安全公正空间”的研究也提出，判断一个系统的可行域，应当同时考虑生态天花板与社会基础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 xml:space="preserve">。两支文献指向同一个判断：评价基准应当随评价对象所承担的功能而调整，不应默认一套普适的尺度。这也是本文重新界定西藏评价基准的一般性学理依据。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 xml:space="preserve">就西藏而言，已有研究普遍注意到它兼具安全屏障、生态屏障与发展追赶的多重使命</w:t>
      </w:r>
      <w:r>
        <w:rPr>
          <w:rFonts w:hint="eastAsia"/>
          <w:sz w:val="21"/>
          <w:szCs w:val="21"/>
          <w:vertAlign w:val="superscript"/>
        </w:rPr>
        <w:t>[2][14][15][16]</w:t>
      </w:r>
      <w:r>
        <w:rPr>
          <w:rFonts w:hint="eastAsia"/>
          <w:sz w:val="21"/>
          <w:szCs w:val="21"/>
        </w:rPr>
        <w:t xml:space="preserve">，聚焦发展水平的实证研究也渐次展开</w:t>
      </w:r>
      <w:r>
        <w:rPr>
          <w:rFonts w:hint="eastAsia"/>
          <w:sz w:val="21"/>
          <w:szCs w:val="21"/>
          <w:vertAlign w:val="superscript"/>
        </w:rPr>
        <w:t>[17][18][19][20][21]</w:t>
      </w:r>
      <w:r>
        <w:rPr>
          <w:rFonts w:hint="eastAsia"/>
          <w:sz w:val="21"/>
          <w:szCs w:val="21"/>
        </w:rPr>
        <w:t xml:space="preserve">，生态经济能值分析、生态安全冲突等领域同样有所积累</w:t>
      </w:r>
      <w:r>
        <w:rPr>
          <w:rFonts w:hint="eastAsia"/>
          <w:sz w:val="21"/>
          <w:szCs w:val="21"/>
          <w:vertAlign w:val="superscript"/>
        </w:rPr>
        <w:t>[22][23][24]</w:t>
      </w:r>
      <w:r>
        <w:rPr>
          <w:rFonts w:hint="eastAsia"/>
          <w:sz w:val="21"/>
          <w:szCs w:val="21"/>
        </w:rPr>
        <w:t xml:space="preserve">。但在这些研究中，安全大多未获独立地位：或作为外部背景加以定性讨论，或分解并入“社会民生”类二级指标。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 xml:space="preserve">等方面有所推进；国际复合指标方法学则发展出非补偿性聚合与失衡调整等技术</w:t>
      </w:r>
      <w:r>
        <w:rPr>
          <w:rFonts w:hint="eastAsia"/>
          <w:sz w:val="21"/>
          <w:szCs w:val="21"/>
          <w:vertAlign w:val="superscript"/>
        </w:rPr>
        <w:t>[29][30][31][32]</w:t>
      </w:r>
      <w:r>
        <w:rPr>
          <w:rFonts w:hint="eastAsia"/>
          <w:sz w:val="21"/>
          <w:szCs w:val="21"/>
        </w:rPr>
        <w:t xml:space="preserve">。不过，国内多数区域评价仍以加权求和或传统耦合协调度为主，两者都默认各维度之间可以相互补偿；非补偿性方法也较少与功能理论相衔接，后者恰恰能够解释“为何必须非补偿”。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8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与各年度统计公报的初步核算数不同，例如2023年修订后为2532.86亿元，公报初步核算数为2392.67亿元。</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