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eastAsia="黑体" w:hAnsi="Arial"/>
          <w:b/>
          <w:bCs/>
          <w:i w:val="false"/>
          <w:iCs w:val="false"/>
          <w:color w:val="000000"/>
          <w:sz w:val="30"/>
          <w:szCs w:val="30"/>
        </w:rPr>
        <w:t xml:space="preserve">附　　录</w:t>
      </w:r>
    </w:p>
    <w:p>
      <w:pPr>
        <w:spacing w:after="320"/>
        <w:jc w:val="center"/>
      </w:pPr>
      <w:r>
        <w:rPr>
          <w:rFonts w:ascii="Times New Roman" w:eastAsia="宋体" w:hAnsi="Times New Roman"/>
          <w:b w:val="false"/>
          <w:bCs w:val="false"/>
          <w:i w:val="false"/>
          <w:iCs w:val="false"/>
          <w:color w:val="595959"/>
          <w:sz w:val="19"/>
          <w:szCs w:val="19"/>
        </w:rPr>
        <w:t xml:space="preserve">《国家战略功能约束下西藏高质量发展的三元协调评价》</w:t>
      </w:r>
    </w:p>
    <w:p>
      <w:pPr>
        <w:keepNext/>
        <w:spacing w:after="120" w:before="300"/>
        <w:jc w:val="center"/>
      </w:pPr>
      <w:r>
        <w:rPr>
          <w:rFonts w:ascii="Arial" w:eastAsia="黑体" w:hAnsi="Arial"/>
          <w:b/>
          <w:bCs/>
          <w:i w:val="false"/>
          <w:iCs w:val="false"/>
          <w:color w:val="000000"/>
          <w:sz w:val="21"/>
          <w:szCs w:val="21"/>
        </w:rPr>
        <w:t xml:space="preserve">附表A1　关键指标留一法（LOO）完整结果</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5408"/>
        <w:gridCol w:w="2060"/>
        <w:gridCol w:w="2189"/>
        <w:gridCol w:w="2189"/>
        <w:gridCol w:w="2833"/>
      </w:tblGrid>
      <w:tr>
        <w:trPr>
          <w:tblHeader/>
        </w:trPr>
        <w:tc>
          <w:tcPr>
            <w:tcW w:type="dxa" w:w="540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剔除指标</w:t>
            </w:r>
          </w:p>
        </w:tc>
        <w:tc>
          <w:tcPr>
            <w:tcW w:type="dxa" w:w="206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所属子系统</w:t>
            </w:r>
          </w:p>
        </w:tc>
        <w:tc>
          <w:tcPr>
            <w:tcW w:type="dxa" w:w="2189"/>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DMPI(2016)</w:t>
            </w:r>
          </w:p>
        </w:tc>
        <w:tc>
          <w:tcPr>
            <w:tcW w:type="dxa" w:w="2189"/>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DMPI(2025)</w:t>
            </w:r>
          </w:p>
        </w:tc>
        <w:tc>
          <w:tcPr>
            <w:tcW w:type="dxa" w:w="2833"/>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发展最弱年数（共10年）</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S1 人均一般公共预算收入</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安全 S</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0.400</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0.755</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7</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S2 城乡居民收入比与全国差距</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安全 S</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0.392</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0.769</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8</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S3 居民医保人均财政补助标准</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安全 S</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0.402</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0.766</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8</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S4 基本养老保险参保率</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安全 S</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0.370</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0.722</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D1 人均GDP相对全国水平</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发展 D</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0.378</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0.745</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7</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D2 农村居民人均收入相对全国水平</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发展 D</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0.371</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0.732</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D3 外向度</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发展 D</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0.395</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0.791</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D4 人均接待游客</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发展 D</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0.405</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0.751</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5</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D5 发电量</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发展 D</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0.408</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0.746</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E1 单位GDP能耗指数</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生态 E</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0.426</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0.770</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6</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E2 森林覆盖率</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生态 E</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0.439</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0.740</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5</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E3 空气质量优良天数比例</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生态 E</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0.205</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0.741</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3</w:t>
            </w:r>
          </w:p>
        </w:tc>
      </w:tr>
      <w:tr>
        <w:tc>
          <w:tcPr>
            <w:tcW w:type="dxa" w:w="5408"/>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E4 草原综合植被盖度</w:t>
            </w:r>
          </w:p>
        </w:tc>
        <w:tc>
          <w:tcPr>
            <w:tcW w:type="dxa" w:w="206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生态 E</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0.439</w:t>
            </w:r>
          </w:p>
        </w:tc>
        <w:tc>
          <w:tcPr>
            <w:tcW w:type="dxa" w:w="2189"/>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0.762</w:t>
            </w:r>
          </w:p>
        </w:tc>
        <w:tc>
          <w:tcPr>
            <w:tcW w:type="dxa" w:w="283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5</w:t>
            </w:r>
          </w:p>
        </w:tc>
      </w:tr>
    </w:tbl>
    <w:p>
      <w:pPr>
        <w:spacing w:after="200" w:before="60"/>
        <w:jc w:val="left"/>
      </w:pPr>
      <w:r>
        <w:rPr>
          <w:rFonts w:ascii="Times New Roman" w:eastAsia="宋体" w:hAnsi="Times New Roman"/>
          <w:b w:val="false"/>
          <w:bCs w:val="false"/>
          <w:i w:val="false"/>
          <w:iCs w:val="false"/>
          <w:color w:val="404040"/>
          <w:sz w:val="16"/>
          <w:szCs w:val="16"/>
        </w:rPr>
        <w:t xml:space="preserve">注：逐一剔除单项指标后按其余设定不变重算。“发展最弱年数”指样本期10年中发展子系统指数在三者中最低的年数。13项设定下该年数在 2—9 年之间，其中 11 项设定下不少于3年，'
  + '故“2018—2022年为发展相对滞后的重要阶段”这一方向性判断总体成立，但具体年数不稳健。</w:t>
      </w:r>
    </w:p>
    <w:p>
      <w:pPr>
        <w:keepNext/>
        <w:spacing w:after="120" w:before="300"/>
        <w:jc w:val="center"/>
      </w:pPr>
      <w:r>
        <w:rPr>
          <w:rFonts w:ascii="Arial" w:eastAsia="黑体" w:hAnsi="Arial"/>
          <w:b/>
          <w:bCs/>
          <w:i w:val="false"/>
          <w:iCs w:val="false"/>
          <w:color w:val="000000"/>
          <w:sz w:val="21"/>
          <w:szCs w:val="21"/>
        </w:rPr>
        <w:t xml:space="preserve">附表A2　用于人均化与相对化处理的辅助基础序列</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3600"/>
        <w:gridCol w:w="900"/>
        <w:gridCol w:w="1018"/>
        <w:gridCol w:w="1018"/>
        <w:gridCol w:w="1018"/>
        <w:gridCol w:w="1018"/>
        <w:gridCol w:w="1018"/>
        <w:gridCol w:w="1018"/>
        <w:gridCol w:w="1018"/>
        <w:gridCol w:w="1018"/>
        <w:gridCol w:w="1018"/>
        <w:gridCol w:w="1018"/>
      </w:tblGrid>
      <w:tr>
        <w:trPr>
          <w:tblHeader/>
        </w:trPr>
        <w:tc>
          <w:tcPr>
            <w:tcW w:type="dxa" w:w="360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序列</w:t>
            </w:r>
          </w:p>
        </w:tc>
        <w:tc>
          <w:tcPr>
            <w:tcW w:type="dxa" w:w="90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单位</w:t>
            </w:r>
          </w:p>
        </w:tc>
        <w:tc>
          <w:tcPr>
            <w:tcW w:type="dxa" w:w="101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2016</w:t>
            </w:r>
          </w:p>
        </w:tc>
        <w:tc>
          <w:tcPr>
            <w:tcW w:type="dxa" w:w="101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2017</w:t>
            </w:r>
          </w:p>
        </w:tc>
        <w:tc>
          <w:tcPr>
            <w:tcW w:type="dxa" w:w="101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2018</w:t>
            </w:r>
          </w:p>
        </w:tc>
        <w:tc>
          <w:tcPr>
            <w:tcW w:type="dxa" w:w="101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2019</w:t>
            </w:r>
          </w:p>
        </w:tc>
        <w:tc>
          <w:tcPr>
            <w:tcW w:type="dxa" w:w="101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2020</w:t>
            </w:r>
          </w:p>
        </w:tc>
        <w:tc>
          <w:tcPr>
            <w:tcW w:type="dxa" w:w="101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2021</w:t>
            </w:r>
          </w:p>
        </w:tc>
        <w:tc>
          <w:tcPr>
            <w:tcW w:type="dxa" w:w="101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2022</w:t>
            </w:r>
          </w:p>
        </w:tc>
        <w:tc>
          <w:tcPr>
            <w:tcW w:type="dxa" w:w="101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2023</w:t>
            </w:r>
          </w:p>
        </w:tc>
        <w:tc>
          <w:tcPr>
            <w:tcW w:type="dxa" w:w="101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2024</w:t>
            </w:r>
          </w:p>
        </w:tc>
        <w:tc>
          <w:tcPr>
            <w:tcW w:type="dxa" w:w="101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2025</w:t>
            </w:r>
          </w:p>
        </w:tc>
      </w:tr>
      <w:tr>
        <w:tc>
          <w:tcPr>
            <w:tcW w:type="dxa" w:w="3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西藏年末常住人口</w:t>
            </w:r>
          </w:p>
        </w:tc>
        <w:tc>
          <w:tcPr>
            <w:tcW w:type="dxa" w:w="9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万人</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330.54</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337.15</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343.82</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350.56</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364.81</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366</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364</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365</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370</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374</w:t>
            </w:r>
          </w:p>
        </w:tc>
      </w:tr>
      <w:tr>
        <w:tc>
          <w:tcPr>
            <w:tcW w:type="dxa" w:w="3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全国农村居民人均可支配收入</w:t>
            </w:r>
          </w:p>
        </w:tc>
        <w:tc>
          <w:tcPr>
            <w:tcW w:type="dxa" w:w="9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元</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12363</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13432</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14617</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16021</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17131</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18931</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20133</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21691</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23119</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24456</w:t>
            </w:r>
          </w:p>
        </w:tc>
      </w:tr>
      <w:tr>
        <w:tc>
          <w:tcPr>
            <w:tcW w:type="dxa" w:w="3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全国城镇居民人均可支配收入</w:t>
            </w:r>
          </w:p>
        </w:tc>
        <w:tc>
          <w:tcPr>
            <w:tcW w:type="dxa" w:w="9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元</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33616</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36396</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39251</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42359</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43834</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47412</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49283</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51821</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54188</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56502</w:t>
            </w:r>
          </w:p>
        </w:tc>
      </w:tr>
      <w:tr>
        <w:tc>
          <w:tcPr>
            <w:tcW w:type="dxa" w:w="3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全国城乡居民收入比</w:t>
            </w:r>
          </w:p>
        </w:tc>
        <w:tc>
          <w:tcPr>
            <w:tcW w:type="dxa" w:w="9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倍</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2.7191</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2.7096</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2.6853</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2.6440</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2.5588</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2.5045</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2.4479</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2.3891</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2.3439</w:t>
            </w:r>
          </w:p>
        </w:tc>
        <w:tc>
          <w:tcPr>
            <w:tcW w:type="dxa" w:w="101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2.3104</w:t>
            </w:r>
          </w:p>
        </w:tc>
      </w:tr>
    </w:tbl>
    <w:p>
      <w:pPr>
        <w:spacing w:after="200" w:before="60"/>
        <w:jc w:val="left"/>
      </w:pPr>
      <w:r>
        <w:rPr>
          <w:rFonts w:ascii="Times New Roman" w:eastAsia="宋体" w:hAnsi="Times New Roman"/>
          <w:b w:val="false"/>
          <w:bCs w:val="false"/>
          <w:i w:val="false"/>
          <w:iCs w:val="false"/>
          <w:color w:val="404040"/>
          <w:sz w:val="16"/>
          <w:szCs w:val="16"/>
        </w:rPr>
        <w:t xml:space="preserve">注：西藏年末常住人口据历年《西藏自治区国民经济和社会发展统计公报》，其中2020年为第七次全国人口普查数；全国城乡居民人均可支配收入据国家统计局历年《居民收入和消费支出情况》；全国城乡居民收入比由前两项相除得出。该三条序列用于：S1（人均化）、S2（与全国差距）、D2（相对全国水平）、D4（人均化）。</w:t>
      </w:r>
    </w:p>
    <w:p>
      <w:pPr>
        <w:keepNext/>
        <w:spacing w:after="120" w:before="300"/>
        <w:jc w:val="center"/>
      </w:pPr>
      <w:r>
        <w:rPr>
          <w:rFonts w:ascii="Arial" w:eastAsia="黑体" w:hAnsi="Arial"/>
          <w:b/>
          <w:bCs/>
          <w:i w:val="false"/>
          <w:iCs w:val="false"/>
          <w:color w:val="000000"/>
          <w:sz w:val="21"/>
          <w:szCs w:val="21"/>
        </w:rPr>
        <w:t xml:space="preserve">附表A3　2024年七地市（区）主要经济指标</w:t>
      </w:r>
    </w:p>
    <w:p>
      <w:pPr>
        <w:spacing w:after="60" w:before="0" w:line="260"/>
      </w:pPr>
      <w:r>
        <w:rPr>
          <w:rFonts w:ascii="Times New Roman" w:eastAsia="宋体" w:hAnsi="Times New Roman"/>
          <w:b/>
          <w:bCs/>
          <w:i w:val="false"/>
          <w:iCs w:val="false"/>
          <w:color w:val="C00000"/>
          <w:sz w:val="18"/>
          <w:szCs w:val="18"/>
        </w:rPr>
        <w:t xml:space="preserve">【待补】</w:t>
      </w:r>
      <w:r>
        <w:rPr>
          <w:rFonts w:ascii="Times New Roman" w:eastAsia="宋体" w:hAnsi="Times New Roman"/>
          <w:b w:val="false"/>
          <w:bCs w:val="false"/>
          <w:i w:val="false"/>
          <w:iCs w:val="false"/>
          <w:color w:val="000000"/>
          <w:sz w:val="18"/>
          <w:szCs w:val="18"/>
        </w:rPr>
        <w:t xml:space="preserve">本表对应正文第五部分（四）的地市层面补充观察，需列出2024年拉萨市、日喀则市、昌都市、林芝市、山南市、那曲市、阿里地区七地市（区）的地区生产总值、占七地市合计比重、一般公共预算收入与财政自给率。</w:t>
      </w:r>
    </w:p>
    <w:p>
      <w:pPr>
        <w:spacing w:after="200" w:before="60"/>
        <w:jc w:val="left"/>
      </w:pPr>
      <w:r>
        <w:rPr>
          <w:rFonts w:ascii="Times New Roman" w:eastAsia="宋体" w:hAnsi="Times New Roman"/>
          <w:b w:val="false"/>
          <w:bCs w:val="false"/>
          <w:i w:val="false"/>
          <w:iCs w:val="false"/>
          <w:color w:val="404040"/>
          <w:sz w:val="16"/>
          <w:szCs w:val="16"/>
        </w:rPr>
        <w:t xml:space="preserve">注：正文引用值为“拉萨市占七地市合计的35.81%，阿里地区仅3.83%，除拉萨外的六个地市（区）财政自给率均低于11%”，请据此补齐全表。</w:t>
      </w:r>
    </w:p>
    <w:p>
      <w:pPr>
        <w:keepNext/>
        <w:spacing w:after="120" w:before="300"/>
        <w:jc w:val="center"/>
      </w:pPr>
      <w:r>
        <w:rPr>
          <w:rFonts w:ascii="Arial" w:eastAsia="黑体" w:hAnsi="Arial"/>
          <w:b/>
          <w:bCs/>
          <w:i w:val="false"/>
          <w:iCs w:val="false"/>
          <w:color w:val="000000"/>
          <w:sz w:val="21"/>
          <w:szCs w:val="21"/>
        </w:rPr>
        <w:t xml:space="preserve">附表A4　2016—2024年74个区县经济规模面板及空间分异检验</w:t>
      </w:r>
    </w:p>
    <w:p>
      <w:pPr>
        <w:spacing w:after="60" w:before="0" w:line="260"/>
      </w:pPr>
      <w:r>
        <w:rPr>
          <w:rFonts w:ascii="Times New Roman" w:eastAsia="宋体" w:hAnsi="Times New Roman"/>
          <w:b/>
          <w:bCs/>
          <w:i w:val="false"/>
          <w:iCs w:val="false"/>
          <w:color w:val="C00000"/>
          <w:sz w:val="18"/>
          <w:szCs w:val="18"/>
        </w:rPr>
        <w:t xml:space="preserve">【待补】</w:t>
      </w:r>
      <w:r>
        <w:rPr>
          <w:rFonts w:ascii="Times New Roman" w:eastAsia="宋体" w:hAnsi="Times New Roman"/>
          <w:b w:val="false"/>
          <w:bCs w:val="false"/>
          <w:i w:val="false"/>
          <w:iCs w:val="false"/>
          <w:color w:val="000000"/>
          <w:sz w:val="18"/>
          <w:szCs w:val="18"/>
        </w:rPr>
        <w:t xml:space="preserve">本表对应正文第五部分（四）的县域层面补充观察，需列出74个区县2016—2024年的地区生产总值，以及按总量口径与人均口径（户籍、常住两种人口口径）计算的泰尔指数、斯皮尔曼秩相关系数。</w:t>
      </w:r>
    </w:p>
    <w:p>
      <w:pPr>
        <w:spacing w:after="200" w:before="60"/>
        <w:jc w:val="left"/>
      </w:pPr>
      <w:r>
        <w:rPr>
          <w:rFonts w:ascii="Times New Roman" w:eastAsia="宋体" w:hAnsi="Times New Roman"/>
          <w:b w:val="false"/>
          <w:bCs w:val="false"/>
          <w:i w:val="false"/>
          <w:iCs w:val="false"/>
          <w:color w:val="404040"/>
          <w:sz w:val="16"/>
          <w:szCs w:val="16"/>
        </w:rPr>
        <w:t xml:space="preserve">注：正文引用值为“总量口径泰尔指数自2019年峰值0.770降至2024年的0.621；剔除城关区后其余73个县域由2016年的0.362升至2024年的0.412；总量与人均排序的斯皮尔曼秩相关由2016年的0.344降至2024年的0.178”，请据此补齐全表。</w:t>
      </w:r>
    </w:p>
    <w:p>
      <w:pPr>
        <w:keepNext/>
        <w:spacing w:after="120" w:before="300"/>
        <w:jc w:val="center"/>
      </w:pPr>
      <w:r>
        <w:rPr>
          <w:rFonts w:ascii="Arial" w:eastAsia="黑体" w:hAnsi="Arial"/>
          <w:b/>
          <w:bCs/>
          <w:i w:val="false"/>
          <w:iCs w:val="false"/>
          <w:color w:val="000000"/>
          <w:sz w:val="21"/>
          <w:szCs w:val="21"/>
        </w:rPr>
        <w:t xml:space="preserve">附表A5　13项指标标准化前取值（2016—2025年）</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600"/>
        <w:gridCol w:w="3402"/>
        <w:gridCol w:w="620"/>
        <w:gridCol w:w="1006"/>
        <w:gridCol w:w="1006"/>
        <w:gridCol w:w="1006"/>
        <w:gridCol w:w="1006"/>
        <w:gridCol w:w="1006"/>
        <w:gridCol w:w="1006"/>
        <w:gridCol w:w="1006"/>
        <w:gridCol w:w="1006"/>
        <w:gridCol w:w="1006"/>
        <w:gridCol w:w="1006"/>
      </w:tblGrid>
      <w:tr>
        <w:trPr>
          <w:tblHeader/>
        </w:trPr>
        <w:tc>
          <w:tcPr>
            <w:tcW w:type="dxa" w:w="60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编码</w:t>
            </w:r>
          </w:p>
        </w:tc>
        <w:tc>
          <w:tcPr>
            <w:tcW w:type="dxa" w:w="3402"/>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三级指标</w:t>
            </w:r>
          </w:p>
        </w:tc>
        <w:tc>
          <w:tcPr>
            <w:tcW w:type="dxa" w:w="62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方向</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2016</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2017</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2018</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2019</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2020</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2021</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2022</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2023</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2024</w:t>
            </w:r>
          </w:p>
        </w:tc>
        <w:tc>
          <w:tcPr>
            <w:tcW w:type="dxa" w:w="1006"/>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2025</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S1</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人均一般公共预算收入（元/人）</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4719</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5512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6700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6332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6058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5891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4935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6483</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7492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8500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S2</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城乡居民收入比与全国差距（倍）</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逆向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0.338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0.260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0.266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0.245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0.261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0.241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0.230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0.216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0.226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0.226</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S3</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居民医保人均财政补助标准（元/人年）</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420.0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450.0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515.0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515.0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550.0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580.0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615.0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675.0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705.0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735.0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S4</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基本养老保险参保率（%）</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85.50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89.30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91.15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92.60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94.10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95.20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95.50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95.80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96.31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96.50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D1</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人均GDP相对全国水平（%）</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65.42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65.89</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66.22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69.78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72.88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68.38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68.50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73.44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78.58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81.77</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D2</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农村居民人均收入相对全国水平（%）</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73.56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76.91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78.33</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80.84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85.21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89.46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90.44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91.85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93.33</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94.80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D3</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外向度（进出口总额/GDP，%）</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4.315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4.286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3.001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2.786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1.090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1.872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2.058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4.334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4.543</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2.797</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D4</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人均接待游客（万人次/万人）</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7.006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7.597</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9.798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11.45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9.608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11.35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8.249</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15.12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17.27</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18.91</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D5</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发电量（亿千瓦时）</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46.34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50.24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61.26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70.87</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69.12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84.32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114.8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137.4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144.1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162.1</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E1</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单位GDP能耗指数</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逆向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96.80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93.41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90.51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87.98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86.66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84.06</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81.20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78.85</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76.41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73.89</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E2</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森林覆盖率（%）</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11.98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12.14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12.14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12.14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12.31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12.31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12.31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12.31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12.31</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12.54</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E3</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空气质量优良天数比例（%）</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96.80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97.30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98.90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99.60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99.40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99.20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99.00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99.40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99.50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99.60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E4</w:t>
            </w:r>
          </w:p>
        </w:tc>
        <w:tc>
          <w:tcPr>
            <w:tcW w:type="dxa" w:w="3402"/>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草原综合植被盖度（%）</w:t>
            </w:r>
          </w:p>
        </w:tc>
        <w:tc>
          <w:tcPr>
            <w:tcW w:type="dxa" w:w="62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正向</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42.30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44.20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45.90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46.70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46.90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47.14</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47.50</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47.78</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48.02</w:t>
            </w:r>
          </w:p>
        </w:tc>
        <w:tc>
          <w:tcPr>
            <w:tcW w:type="dxa" w:w="1006"/>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48.07</w:t>
            </w:r>
          </w:p>
        </w:tc>
      </w:tr>
    </w:tbl>
    <w:p>
      <w:pPr>
        <w:spacing w:after="200" w:before="60"/>
        <w:jc w:val="left"/>
      </w:pPr>
      <w:r>
        <w:rPr>
          <w:rFonts w:ascii="Times New Roman" w:eastAsia="宋体" w:hAnsi="Times New Roman"/>
          <w:b w:val="false"/>
          <w:bCs w:val="false"/>
          <w:i w:val="false"/>
          <w:iCs w:val="false"/>
          <w:color w:val="404040"/>
          <w:sz w:val="16"/>
          <w:szCs w:val="16"/>
        </w:rPr>
        <w:t xml:space="preserve">注：各项取值口径见正文表1。S1、D2、D3、D4为按附表A2辅助序列换算所得；D3分母的地区生产总值采用含第五次全国经济普查修订的最新核算口径；D5取统计公报“规上工业主要产品产量”所载发电量。</w:t>
      </w:r>
    </w:p>
    <w:p>
      <w:pPr>
        <w:keepNext/>
        <w:spacing w:after="120" w:before="300"/>
        <w:jc w:val="center"/>
      </w:pPr>
      <w:r>
        <w:rPr>
          <w:rFonts w:ascii="Arial" w:eastAsia="黑体" w:hAnsi="Arial"/>
          <w:b/>
          <w:bCs/>
          <w:i w:val="false"/>
          <w:iCs w:val="false"/>
          <w:color w:val="000000"/>
          <w:sz w:val="21"/>
          <w:szCs w:val="21"/>
        </w:rPr>
        <w:t xml:space="preserve">附表A6　13项指标标准化后取值</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600"/>
        <w:gridCol w:w="3000"/>
        <w:gridCol w:w="700"/>
        <w:gridCol w:w="700"/>
        <w:gridCol w:w="968"/>
        <w:gridCol w:w="968"/>
        <w:gridCol w:w="968"/>
        <w:gridCol w:w="968"/>
        <w:gridCol w:w="968"/>
        <w:gridCol w:w="968"/>
        <w:gridCol w:w="968"/>
        <w:gridCol w:w="968"/>
        <w:gridCol w:w="968"/>
        <w:gridCol w:w="968"/>
      </w:tblGrid>
      <w:tr>
        <w:trPr>
          <w:tblHeader/>
        </w:trPr>
        <w:tc>
          <w:tcPr>
            <w:tcW w:type="dxa" w:w="60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编码</w:t>
            </w:r>
          </w:p>
        </w:tc>
        <w:tc>
          <w:tcPr>
            <w:tcW w:type="dxa" w:w="300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三级指标</w:t>
            </w:r>
          </w:p>
        </w:tc>
        <w:tc>
          <w:tcPr>
            <w:tcW w:type="dxa" w:w="70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下限</w:t>
            </w:r>
          </w:p>
        </w:tc>
        <w:tc>
          <w:tcPr>
            <w:tcW w:type="dxa" w:w="70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上限</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2016</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2017</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2018</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2019</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2020</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2021</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2022</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2023</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2024</w:t>
            </w:r>
          </w:p>
        </w:tc>
        <w:tc>
          <w:tcPr>
            <w:tcW w:type="dxa" w:w="968"/>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2025</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S1</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人均一般公共预算收入（元/人）</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12000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0.3954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0.4601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0.5571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0.5271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0.5047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0.4911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0.4130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0.5394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0.6218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0.7042</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S2</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城乡居民收入比与全国差距（倍）</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0.5529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0.5786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0.5763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0.5834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0.5782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0.5844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0.5884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0.5928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0.5896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0.5896</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S3</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居民医保人均财政补助标准（元/人年）</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1200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0.3530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0.3775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0.4306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0.4306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0.4592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0.4837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0.5122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0.5613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0.5857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0.6103</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S4</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基本养老保险参保率（%）</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0.8479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0.8851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0.9033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0.9175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0.9322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0.9430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0.9459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0.9488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0.9538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0.9557</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D1</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人均GDP相对全国水平（%）</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0.6511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0.6558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0.6590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0.6939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0.7242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0.6801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0.6813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0.7297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0.7801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0.8113</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D2</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农村居民人均收入相对全国水平（%）</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0.7309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0.7637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0.7777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0.8022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0.8451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0.8867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0.8963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0.9102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0.9247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0.9390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D3</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外向度（进出口总额/GDP，%）</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0.4329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0.4300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0.3041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0.2830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0.1168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0.1935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0.2117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0.4348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0.4553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0.2841</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D4</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人均接待游客（万人次/万人）</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0.2847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0.3078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0.3941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0.4586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0.3866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0.4548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0.3334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0.6025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0.6869</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0.7514</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D5</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发电量（亿千瓦时）</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0.2371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0.2562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0.3102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0.3573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0.3487</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0.4232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0.5723</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0.6832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0.7161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0.8042</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E1</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单位GDP能耗指数</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60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0.0884</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0.1715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0.2425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0.3045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0.3368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0.4005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0.4706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0.5282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0.5880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0.6497</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E2</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森林覆盖率（%）</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11.98</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12.51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0.3058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0.3058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0.3058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0.6202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0.6202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0.6202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0.6202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0.6202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0.9900</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E3</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空气质量优良天数比例（%）</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0.9586</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0.9635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0.9792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0.9861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0.9841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0.9822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0.9802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0.9841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0.9851</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0.9861</w:t>
            </w:r>
          </w:p>
        </w:tc>
      </w:tr>
      <w:tr>
        <w:tc>
          <w:tcPr>
            <w:tcW w:type="dxa" w:w="6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E4</w:t>
            </w:r>
          </w:p>
        </w:tc>
        <w:tc>
          <w:tcPr>
            <w:tcW w:type="dxa" w:w="3000"/>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草原综合植被盖度（%）</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42.3</w:t>
            </w:r>
          </w:p>
        </w:tc>
        <w:tc>
          <w:tcPr>
            <w:tcW w:type="dxa" w:w="70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50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0.0100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0.2518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0.4682</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0.5700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0.5955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0.6260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0.6718</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0.7075</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0.7380</w:t>
            </w:r>
          </w:p>
        </w:tc>
        <w:tc>
          <w:tcPr>
            <w:tcW w:type="dxa" w:w="968"/>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0.7444</w:t>
            </w:r>
          </w:p>
        </w:tc>
      </w:tr>
    </w:tbl>
    <w:p>
      <w:pPr>
        <w:spacing w:after="200" w:before="60"/>
        <w:jc w:val="left"/>
      </w:pPr>
      <w:r>
        <w:rPr>
          <w:rFonts w:ascii="Times New Roman" w:eastAsia="宋体" w:hAnsi="Times New Roman"/>
          <w:b w:val="false"/>
          <w:bCs w:val="false"/>
          <w:i w:val="false"/>
          <w:iCs w:val="false"/>
          <w:color w:val="404040"/>
          <w:sz w:val="16"/>
          <w:szCs w:val="16"/>
        </w:rPr>
        <w:t xml:space="preserve">注：按正文式(1)（正向）或式(2)（逆向）以固定基准标准化，超出[0,1]的部分截断，再按式(3) x′=0.98x*+0.01 平移压缩至[0.01,0.99]。子系统指数为各子系统内标准化值的等权平均。</w:t>
      </w:r>
    </w:p>
    <w:p>
      <w:pPr>
        <w:keepNext/>
        <w:spacing w:after="120" w:before="300"/>
        <w:jc w:val="center"/>
      </w:pPr>
      <w:r>
        <w:rPr>
          <w:rFonts w:ascii="Arial" w:eastAsia="黑体" w:hAnsi="Arial"/>
          <w:b/>
          <w:bCs/>
          <w:i w:val="false"/>
          <w:iCs w:val="false"/>
          <w:color w:val="000000"/>
          <w:sz w:val="21"/>
          <w:szCs w:val="21"/>
        </w:rPr>
        <w:t xml:space="preserve">附表A7　CRITIC—熵值组合权重与结构性贡献缺口完整结果</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683"/>
        <w:gridCol w:w="4779"/>
        <w:gridCol w:w="1934"/>
        <w:gridCol w:w="1934"/>
        <w:gridCol w:w="1934"/>
        <w:gridCol w:w="3413"/>
      </w:tblGrid>
      <w:tr>
        <w:trPr>
          <w:tblHeader/>
        </w:trPr>
        <w:tc>
          <w:tcPr>
            <w:tcW w:type="dxa" w:w="683"/>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编码</w:t>
            </w:r>
          </w:p>
        </w:tc>
        <w:tc>
          <w:tcPr>
            <w:tcW w:type="dxa" w:w="4779"/>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三级指标</w:t>
            </w:r>
          </w:p>
        </w:tc>
        <w:tc>
          <w:tcPr>
            <w:tcW w:type="dxa" w:w="1934"/>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熵值权重</w:t>
            </w:r>
          </w:p>
        </w:tc>
        <w:tc>
          <w:tcPr>
            <w:tcW w:type="dxa" w:w="1934"/>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CRITIC权重</w:t>
            </w:r>
          </w:p>
        </w:tc>
        <w:tc>
          <w:tcPr>
            <w:tcW w:type="dxa" w:w="1934"/>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组合权重</w:t>
            </w:r>
          </w:p>
        </w:tc>
        <w:tc>
          <w:tcPr>
            <w:tcW w:type="dxa" w:w="3413"/>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结构性贡献缺口（样本期均值）</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S1</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人均一般公共预算收入（元/人）</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0.0214</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0.0688</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0.0116</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1.05%</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S2</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城乡居民收入比与全国差距（倍）</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0.0003</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0.0071</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0.0000</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S3</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居民医保人均财政补助标准（元/人年）</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0.0225</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0.0346</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0.0061</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0.60%</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S4</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基本养老保险参保率（%）</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0.0010</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0.0178</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0.0001</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D1</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人均GDP相对全国水平（%）</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0.0040</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0.0304</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0.0010</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0.05%</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D2</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农村居民人均收入相对全国水平（%）</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0.0053</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0.0348</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0.0015</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0.04%</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D3</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外向度（进出口总额/GDP，%）</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0.1058</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0.2730</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0.2286</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31.10%</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D4</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人均接待游客（万人次/万人）</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0.0796</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0.0839</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0.0528</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5.13%</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D5</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发电量（亿千瓦时）</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0.1296</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0.0961</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0.0985</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9.19%</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E1</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单位GDP能耗指数</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0.1765</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0.0724</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0.1011</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11.45%</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E2</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森林覆盖率（%）</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0.2538</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0.1510</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0.3033</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25.57%</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E3</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空气质量优良天数比例（%）</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0.0001</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0.0068</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0.0000</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w:t>
            </w:r>
          </w:p>
        </w:tc>
      </w:tr>
      <w:tr>
        <w:tc>
          <w:tcPr>
            <w:tcW w:type="dxa" w:w="683"/>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E4</w:t>
            </w:r>
          </w:p>
        </w:tc>
        <w:tc>
          <w:tcPr>
            <w:tcW w:type="dxa" w:w="4779"/>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草原综合植被盖度（%）</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0.2002</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0.1233</w:t>
            </w:r>
          </w:p>
        </w:tc>
        <w:tc>
          <w:tcPr>
            <w:tcW w:type="dxa" w:w="193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0.1953</w:t>
            </w:r>
          </w:p>
        </w:tc>
        <w:tc>
          <w:tcPr>
            <w:tcW w:type="dxa" w:w="3413"/>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15.82%</w:t>
            </w:r>
          </w:p>
        </w:tc>
      </w:tr>
    </w:tbl>
    <w:p>
      <w:pPr>
        <w:spacing w:after="200" w:before="60"/>
        <w:jc w:val="left"/>
      </w:pPr>
      <w:r>
        <w:rPr>
          <w:rFonts w:ascii="Times New Roman" w:eastAsia="宋体" w:hAnsi="Times New Roman"/>
          <w:b w:val="false"/>
          <w:bCs w:val="false"/>
          <w:i w:val="false"/>
          <w:iCs w:val="false"/>
          <w:color w:val="404040"/>
          <w:sz w:val="16"/>
          <w:szCs w:val="16"/>
        </w:rPr>
        <w:t xml:space="preserve">注：组合权重由熵值权重与CRITIC权重相乘后归一得出，仅用于结构性贡献缺口诊断与稳健性对照，不参与子系统合成（子系统内为等权）。前四项组合权重合计 0.8283，其余九项合计 0.1717；安全类四项权重均低于1.2%。结构性贡献缺口为各指标组合权重与其偏离度(1−x′)之积占当年13项该乘积之和的比重，逐年计算后取样本期均值，合计为100%。</w:t>
      </w:r>
    </w:p>
    <w:p>
      <w:pPr>
        <w:keepNext/>
        <w:spacing w:after="120" w:before="300"/>
        <w:jc w:val="center"/>
      </w:pPr>
      <w:r>
        <w:rPr>
          <w:rFonts w:ascii="Arial" w:eastAsia="黑体" w:hAnsi="Arial"/>
          <w:b/>
          <w:bCs/>
          <w:i w:val="false"/>
          <w:iCs w:val="false"/>
          <w:color w:val="000000"/>
          <w:sz w:val="21"/>
          <w:szCs w:val="21"/>
        </w:rPr>
        <w:t xml:space="preserve">附表A8　三子系统综合指数与MPI协调指数（与正文表3对照）</w:t>
      </w:r>
    </w:p>
    <w:tbl>
      <w:tblPr>
        <w:tblW w:type="dxa" w:w="14678"/>
        <w:tblBorders>
          <w:top w:val="single" w:color="auto" w:sz="4"/>
          <w:left w:val="single" w:color="auto" w:sz="4"/>
          <w:bottom w:val="single" w:color="auto" w:sz="4"/>
          <w:right w:val="single" w:color="auto" w:sz="4"/>
          <w:insideH w:val="single" w:color="auto" w:sz="4"/>
          <w:insideV w:val="single" w:color="auto" w:sz="4"/>
        </w:tblBorders>
      </w:tblPr>
      <w:tblGrid>
        <w:gridCol w:w="1355"/>
        <w:gridCol w:w="2032"/>
        <w:gridCol w:w="2032"/>
        <w:gridCol w:w="2032"/>
        <w:gridCol w:w="2032"/>
        <w:gridCol w:w="2484"/>
        <w:gridCol w:w="2710"/>
      </w:tblGrid>
      <w:tr>
        <w:trPr>
          <w:tblHeader/>
        </w:trPr>
        <w:tc>
          <w:tcPr>
            <w:tcW w:type="dxa" w:w="1355"/>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年份</w:t>
            </w:r>
          </w:p>
        </w:tc>
        <w:tc>
          <w:tcPr>
            <w:tcW w:type="dxa" w:w="2032"/>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安全 US</w:t>
            </w:r>
          </w:p>
        </w:tc>
        <w:tc>
          <w:tcPr>
            <w:tcW w:type="dxa" w:w="2032"/>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发展 UD</w:t>
            </w:r>
          </w:p>
        </w:tc>
        <w:tc>
          <w:tcPr>
            <w:tcW w:type="dxa" w:w="2032"/>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生态 UE</w:t>
            </w:r>
          </w:p>
        </w:tc>
        <w:tc>
          <w:tcPr>
            <w:tcW w:type="dxa" w:w="2032"/>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M 均值</w:t>
            </w:r>
          </w:p>
        </w:tc>
        <w:tc>
          <w:tcPr>
            <w:tcW w:type="dxa" w:w="2484"/>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S² 总体方差</w:t>
            </w:r>
          </w:p>
        </w:tc>
        <w:tc>
          <w:tcPr>
            <w:tcW w:type="dxa" w:w="2710"/>
            <w:shd w:fill="DCE6F1" w:color="auto" w:val="clear"/>
            <w:tcMar>
              <w:top w:type="dxa" w:w="40"/>
              <w:left w:type="dxa" w:w="70"/>
              <w:bottom w:type="dxa" w:w="40"/>
              <w:right w:type="dxa" w:w="70"/>
            </w:tcMar>
            <w:vAlign w:val="center"/>
          </w:tcPr>
          <w:p>
            <w:pPr>
              <w:spacing w:after="0" w:before="0" w:line="220"/>
              <w:jc w:val="center"/>
            </w:pPr>
            <w:r>
              <w:rPr>
                <w:rFonts w:ascii="Times New Roman" w:eastAsia="宋体" w:hAnsi="Times New Roman"/>
                <w:b/>
                <w:bCs/>
                <w:i w:val="false"/>
                <w:iCs w:val="false"/>
                <w:color w:val="000000"/>
                <w:sz w:val="16"/>
                <w:szCs w:val="16"/>
              </w:rPr>
              <w:t xml:space="preserve">MPI协调指数 D</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2016</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0.5373</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0.4673</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0.2668</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0.4238</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0.013141</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0.3928</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2017</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0.5753</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0.4827</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0.4232</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0.4937</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0.003917</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0.4858</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2018</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0.6168</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0.4890</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0.4989</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0.5349</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0.003370</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0.5286</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2019</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0.6147</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0.5190</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0.5416</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0.5584</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0.001668</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0.5554</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2020</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0.6186</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0.4843</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0.6341</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0.5790</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0.004524</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0.5712</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2021</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0.6255</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0.5277</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0.6572</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0.6035</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0.003038</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0.5984</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2022</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0.6149</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0.5390</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0.6857</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0.6132</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0.003588</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0.6073</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2023</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0.6606</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0.6721</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0.7100</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0.6809</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0.000445</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0.6802</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2024</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0.6878</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0.7126</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0.7328</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0.7111</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0.000339</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0.7106</w:t>
            </w:r>
          </w:p>
        </w:tc>
      </w:tr>
      <w:tr>
        <w:tc>
          <w:tcPr>
            <w:tcW w:type="dxa" w:w="1355"/>
            <w:tcMar>
              <w:top w:type="dxa" w:w="40"/>
              <w:left w:type="dxa" w:w="70"/>
              <w:bottom w:type="dxa" w:w="40"/>
              <w:right w:type="dxa" w:w="70"/>
            </w:tcMar>
            <w:vAlign w:val="center"/>
          </w:tcPr>
          <w:p>
            <w:pPr>
              <w:spacing w:after="0" w:before="0" w:line="220"/>
              <w:jc w:val="left"/>
            </w:pPr>
            <w:r>
              <w:rPr>
                <w:rFonts w:ascii="Times New Roman" w:eastAsia="宋体" w:hAnsi="Times New Roman"/>
                <w:b w:val="false"/>
                <w:bCs w:val="false"/>
                <w:i w:val="false"/>
                <w:iCs w:val="false"/>
                <w:color w:val="000000"/>
                <w:sz w:val="16"/>
                <w:szCs w:val="16"/>
              </w:rPr>
              <w:t xml:space="preserve">2025</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0.7149</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0.7180</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0.8425</w:t>
            </w:r>
          </w:p>
        </w:tc>
        <w:tc>
          <w:tcPr>
            <w:tcW w:type="dxa" w:w="2032"/>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0.7585</w:t>
            </w:r>
          </w:p>
        </w:tc>
        <w:tc>
          <w:tcPr>
            <w:tcW w:type="dxa" w:w="2484"/>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0.003532</w:t>
            </w:r>
          </w:p>
        </w:tc>
        <w:tc>
          <w:tcPr>
            <w:tcW w:type="dxa" w:w="2710"/>
            <w:tcMar>
              <w:top w:type="dxa" w:w="40"/>
              <w:left w:type="dxa" w:w="70"/>
              <w:bottom w:type="dxa" w:w="40"/>
              <w:right w:type="dxa" w:w="70"/>
            </w:tcMar>
            <w:vAlign w:val="center"/>
          </w:tcPr>
          <w:p>
            <w:pPr>
              <w:spacing w:after="0" w:before="0" w:line="220"/>
              <w:jc w:val="center"/>
            </w:pPr>
            <w:r>
              <w:rPr>
                <w:rFonts w:ascii="Times New Roman" w:eastAsia="宋体" w:hAnsi="Times New Roman"/>
                <w:b w:val="false"/>
                <w:bCs w:val="false"/>
                <w:i w:val="false"/>
                <w:iCs w:val="false"/>
                <w:color w:val="000000"/>
                <w:sz w:val="16"/>
                <w:szCs w:val="16"/>
              </w:rPr>
              <w:t xml:space="preserve">0.7538</w:t>
            </w:r>
          </w:p>
        </w:tc>
      </w:tr>
    </w:tbl>
    <w:p>
      <w:pPr>
        <w:spacing w:after="200" w:before="60"/>
        <w:jc w:val="left"/>
      </w:pPr>
      <w:r>
        <w:rPr>
          <w:rFonts w:ascii="Times New Roman" w:eastAsia="宋体" w:hAnsi="Times New Roman"/>
          <w:b w:val="false"/>
          <w:bCs w:val="false"/>
          <w:i w:val="false"/>
          <w:iCs w:val="false"/>
          <w:color w:val="404040"/>
          <w:sz w:val="16"/>
          <w:szCs w:val="16"/>
        </w:rPr>
        <w:t xml:space="preserve">注：本表为正文表3的四位小数版本，并列出MPI计算的中间量。D = M − S²/M，其中M为三子系统综合指数的算术平均，S²为其总体方差。正文表3所载为三位小数的舍入结果。</w:t>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sz w:val="18"/>
        <w:szCs w:val="18"/>
      </w:rPr>
    </w:rPrDefault>
    <w:pPrDefault>
      <w:pPr>
        <w:spacing w:line="2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dc:title>
  <dc:creator>附录</dc:creator>
  <cp:lastModifiedBy>Un-named</cp:lastModifiedBy>
  <cp:revision>1</cp:revision>
  <dcterms:created xsi:type="dcterms:W3CDTF">2026-09-15T10:57:04.567Z</dcterms:created>
  <dcterms:modified xsi:type="dcterms:W3CDTF">2026-09-15T10:57:04.579Z</dcterms:modified>
</cp:coreProperties>
</file>

<file path=docProps/custom.xml><?xml version="1.0" encoding="utf-8"?>
<Properties xmlns="http://schemas.openxmlformats.org/officeDocument/2006/custom-properties" xmlns:vt="http://schemas.openxmlformats.org/officeDocument/2006/docPropsVTypes"/>
</file>