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602DC">
      <w:pPr>
        <w:spacing w:before="120" w:after="200"/>
        <w:jc w:val="center"/>
      </w:pPr>
      <w:r>
        <w:rPr>
          <w:rFonts w:eastAsia="黑体"/>
          <w:b/>
          <w:bCs/>
          <w:sz w:val="30"/>
          <w:szCs w:val="30"/>
        </w:rPr>
        <w:t>从</w:t>
      </w:r>
      <w:r>
        <w:rPr>
          <w:rFonts w:hint="eastAsia" w:eastAsia="黑体"/>
          <w:b/>
          <w:bCs/>
          <w:sz w:val="30"/>
          <w:szCs w:val="30"/>
          <w:lang w:eastAsia="zh-CN"/>
        </w:rPr>
        <w:t>“</w:t>
      </w:r>
      <w:r>
        <w:rPr>
          <w:rFonts w:eastAsia="黑体"/>
          <w:b/>
          <w:bCs/>
          <w:sz w:val="30"/>
          <w:szCs w:val="30"/>
        </w:rPr>
        <w:t>流量</w:t>
      </w:r>
      <w:r>
        <w:rPr>
          <w:rFonts w:hint="eastAsia" w:eastAsia="黑体"/>
          <w:b/>
          <w:bCs/>
          <w:sz w:val="30"/>
          <w:szCs w:val="30"/>
          <w:lang w:eastAsia="zh-CN"/>
        </w:rPr>
        <w:t>”</w:t>
      </w:r>
      <w:r>
        <w:rPr>
          <w:rFonts w:eastAsia="黑体"/>
          <w:b/>
          <w:bCs/>
          <w:sz w:val="30"/>
          <w:szCs w:val="30"/>
        </w:rPr>
        <w:t>到</w:t>
      </w:r>
      <w:r>
        <w:rPr>
          <w:rFonts w:hint="eastAsia" w:eastAsia="黑体"/>
          <w:b/>
          <w:bCs/>
          <w:sz w:val="30"/>
          <w:szCs w:val="30"/>
          <w:lang w:eastAsia="zh-CN"/>
        </w:rPr>
        <w:t>“</w:t>
      </w:r>
      <w:r>
        <w:rPr>
          <w:rFonts w:eastAsia="黑体"/>
          <w:b/>
          <w:bCs/>
          <w:sz w:val="30"/>
          <w:szCs w:val="30"/>
        </w:rPr>
        <w:t>留量</w:t>
      </w:r>
      <w:r>
        <w:rPr>
          <w:rFonts w:hint="eastAsia" w:eastAsia="黑体"/>
          <w:b/>
          <w:bCs/>
          <w:sz w:val="30"/>
          <w:szCs w:val="30"/>
          <w:lang w:eastAsia="zh-CN"/>
        </w:rPr>
        <w:t>”</w:t>
      </w:r>
      <w:r>
        <w:rPr>
          <w:rFonts w:eastAsia="黑体"/>
          <w:b/>
          <w:bCs/>
          <w:sz w:val="30"/>
          <w:szCs w:val="30"/>
        </w:rPr>
        <w:t>：西藏文旅财政奖补政策优化</w:t>
      </w:r>
    </w:p>
    <w:p w14:paraId="1D6831AA">
      <w:pPr>
        <w:spacing w:after="200"/>
        <w:jc w:val="center"/>
      </w:pPr>
      <w:r>
        <w:rPr>
          <w:rFonts w:hint="eastAsia"/>
          <w:highlight w:val="yellow"/>
        </w:rPr>
        <w:t>【作者姓名】</w:t>
      </w:r>
    </w:p>
    <w:p w14:paraId="73318AE8">
      <w:pPr>
        <w:spacing w:after="200"/>
        <w:jc w:val="center"/>
      </w:pPr>
      <w:r>
        <w:rPr>
          <w:rFonts w:hint="eastAsia"/>
        </w:rPr>
        <w:t>（</w:t>
      </w:r>
      <w:r>
        <w:rPr>
          <w:rFonts w:hint="eastAsia"/>
          <w:highlight w:val="yellow"/>
        </w:rPr>
        <w:t>【单位】</w:t>
      </w:r>
      <w:r>
        <w:rPr>
          <w:rFonts w:hint="eastAsia"/>
        </w:rPr>
        <w:t>　</w:t>
      </w:r>
      <w:r>
        <w:rPr>
          <w:rFonts w:hint="eastAsia"/>
          <w:highlight w:val="yellow"/>
        </w:rPr>
        <w:t>【城市】</w:t>
      </w:r>
      <w:r>
        <w:rPr>
          <w:rFonts w:hint="eastAsia"/>
        </w:rPr>
        <w:t>　</w:t>
      </w:r>
      <w:r>
        <w:rPr>
          <w:rFonts w:hint="eastAsia"/>
          <w:highlight w:val="yellow"/>
        </w:rPr>
        <w:t>【邮编】</w:t>
      </w:r>
      <w:r>
        <w:rPr>
          <w:rFonts w:hint="eastAsia"/>
        </w:rPr>
        <w:t>）</w:t>
      </w:r>
      <w:r>
        <w:rPr>
          <w:vertAlign w:val="superscript"/>
        </w:rPr>
        <w:footnoteReference w:id="0"/>
      </w:r>
    </w:p>
    <w:p w14:paraId="5145215B">
      <w:pPr>
        <w:spacing w:after="60"/>
        <w:ind w:firstLine="420"/>
        <w:jc w:val="both"/>
      </w:pPr>
      <w:r>
        <w:rPr>
          <w:rFonts w:eastAsia="黑体"/>
          <w:b/>
          <w:bCs/>
        </w:rPr>
        <w:t>摘要　</w:t>
      </w:r>
      <w:r>
        <w:rPr>
          <w:rFonts w:hint="eastAsia"/>
          <w:sz w:val="18"/>
          <w:szCs w:val="18"/>
        </w:rPr>
        <w:t>短视频流量激励已成为偏远地区文旅传播的新型财政工具。西藏以“12条措施”和新媒体奖励实施细则为依托，按点赞量分档兑付奖励，并对博主“李要得”兑现50万元现象级热点奖励，以较低的财政成本撬动了千万级线上传播，但线上热度向线下产业增量和富民增收的转化并不顺畅。本文以流量经济、公共财政与产业融合理论为支撑，构建“热点触发—客流导入—线路承接—消费落地—富民增收”的流量转化分析框架，结合西藏文旅产业发展数据与政策文本，识别出流量评价维度单一、事前培育不足、政策协同碎片化、基金撬动能力弱、金融支撑薄弱、绩效监管不健全六方面堵点。据此提出构建“基础热度奖励+产业实效附加奖励”双激励机制、前移扶持关口培育本土业态与创作主体、建立流量富民利益联结机制、创新基金风险分担与分期出资、以财政撬动文旅金融、健全全链条绩效监管等优化路径，推动文旅财政政策由“为热度买单”转向“为实效买单”。</w:t>
      </w:r>
    </w:p>
    <w:p w14:paraId="5043B7EE">
      <w:pPr>
        <w:spacing w:after="160"/>
        <w:ind w:firstLine="420"/>
        <w:jc w:val="both"/>
      </w:pPr>
      <w:r>
        <w:rPr>
          <w:rFonts w:eastAsia="黑体"/>
          <w:b/>
          <w:bCs/>
        </w:rPr>
        <w:t>关键词　</w:t>
      </w:r>
      <w:r>
        <w:rPr>
          <w:rFonts w:hint="eastAsia"/>
          <w:sz w:val="18"/>
          <w:szCs w:val="18"/>
        </w:rPr>
        <w:t>西藏；文旅产业；短视频流量；财政奖补；流量转化；兴边富民</w:t>
      </w:r>
    </w:p>
    <w:p w14:paraId="38DF751B">
      <w:pPr>
        <w:keepNext/>
        <w:spacing w:before="260" w:after="120"/>
      </w:pPr>
      <w:r>
        <w:rPr>
          <w:rFonts w:eastAsia="黑体"/>
          <w:b/>
          <w:bCs/>
          <w:sz w:val="28"/>
          <w:szCs w:val="28"/>
        </w:rPr>
        <w:t>一、引言</w:t>
      </w:r>
    </w:p>
    <w:p w14:paraId="654FE607">
      <w:pPr>
        <w:ind w:firstLine="420"/>
        <w:jc w:val="both"/>
      </w:pPr>
      <w:r>
        <w:rPr>
          <w:rFonts w:hint="eastAsia"/>
          <w:sz w:val="21"/>
          <w:szCs w:val="21"/>
        </w:rPr>
        <w:t>党的二十大报告提出“坚持以文塑旅、以旅彰文，推进文化和旅游深度融合发展”</w:t>
      </w:r>
      <w:r>
        <w:rPr>
          <w:rFonts w:hint="eastAsia"/>
          <w:sz w:val="21"/>
          <w:szCs w:val="21"/>
          <w:vertAlign w:val="superscript"/>
        </w:rPr>
        <w:t>[1]</w:t>
      </w:r>
      <w:r>
        <w:rPr>
          <w:rFonts w:hint="eastAsia"/>
          <w:sz w:val="21"/>
          <w:szCs w:val="21"/>
        </w:rPr>
        <w:t>。党的二十届三中全会提出“健全文化产业体系和市场体系，完善文化经济政策。探索文化和科技融合的有效机制，加快发展新型文化业态”</w:t>
      </w:r>
      <w:r>
        <w:rPr>
          <w:rFonts w:hint="eastAsia"/>
          <w:sz w:val="21"/>
          <w:szCs w:val="21"/>
          <w:vertAlign w:val="superscript"/>
        </w:rPr>
        <w:t>[2]</w:t>
      </w:r>
      <w:r>
        <w:rPr>
          <w:rFonts w:hint="eastAsia"/>
          <w:sz w:val="21"/>
          <w:szCs w:val="21"/>
        </w:rPr>
        <w:t>，文旅融合由发展导向进一步转向体制机制改革。党的二十届四中全会通过的“十五五”规划建议进一步提出“推动文化建设数智化赋能、信息化转型，发展新型文化业态”</w:t>
      </w:r>
      <w:r>
        <w:rPr>
          <w:rFonts w:hint="eastAsia"/>
          <w:sz w:val="21"/>
          <w:szCs w:val="21"/>
          <w:vertAlign w:val="superscript"/>
        </w:rPr>
        <w:t>[3]</w:t>
      </w:r>
      <w:r>
        <w:rPr>
          <w:rFonts w:hint="eastAsia"/>
          <w:sz w:val="21"/>
          <w:szCs w:val="21"/>
        </w:rPr>
        <w:t>，为短视频等数字化文化业态的发展提供了政策遵循。</w:t>
      </w:r>
    </w:p>
    <w:p w14:paraId="12CE19A3">
      <w:pPr>
        <w:ind w:firstLine="420"/>
        <w:jc w:val="both"/>
      </w:pPr>
      <w:r>
        <w:rPr>
          <w:rFonts w:hint="eastAsia"/>
          <w:sz w:val="21"/>
          <w:szCs w:val="21"/>
        </w:rPr>
        <w:t>西藏是我国重要的中华民族特色文化保护地和世界旅游目的地，已将文化旅游列为全区重点推进的“九大产业”之一。2025年8月，西藏自治区人民政府办公厅印发《财政支持文化旅游产业高质量发展十二条措施》（以下简称“12条措施”），提出鼓励各相关主体利用新媒体平台宣传推介西藏文旅资源，财政给予适当支持</w:t>
      </w:r>
      <w:r>
        <w:rPr>
          <w:rFonts w:hint="eastAsia"/>
          <w:sz w:val="21"/>
          <w:szCs w:val="21"/>
          <w:vertAlign w:val="superscript"/>
        </w:rPr>
        <w:t>[4]</w:t>
      </w:r>
      <w:r>
        <w:rPr>
          <w:rFonts w:hint="eastAsia"/>
          <w:sz w:val="21"/>
          <w:szCs w:val="21"/>
        </w:rPr>
        <w:t>。2026年3月，自治区财政厅、文化和旅游厅、体育局联合印发“12条措施”的18项实施细则（以下简称“18项细则”），《西藏自治区新媒体平台宣传推介西藏文旅资源奖励实施细则（试行）》（以下简称“奖励细则”）为其中之一，按作品点赞量分档兑付奖励</w:t>
      </w:r>
      <w:r>
        <w:rPr>
          <w:rFonts w:hint="eastAsia"/>
          <w:sz w:val="21"/>
          <w:szCs w:val="21"/>
          <w:vertAlign w:val="superscript"/>
        </w:rPr>
        <w:t>[5]</w:t>
      </w:r>
      <w:r>
        <w:rPr>
          <w:rFonts w:hint="eastAsia"/>
          <w:sz w:val="21"/>
          <w:szCs w:val="21"/>
        </w:rPr>
        <w:t>，由此形成了较为系统的短视频文旅流量财政奖补机制。2026年7月，自媒体博主“李要得”记录从重庆乘出租车直达拉萨的短视频走红，西藏自治区文化和旅游厅、财政厅随即发布公告，确认对其兑现50万元现象级热点奖励。这种“事后绩效赎买”以较低的财政成本撬动了千万级线上传播，推动西藏文旅线上曝光量与网络搜索热度创下新高。</w:t>
      </w:r>
    </w:p>
    <w:p w14:paraId="4D83AFBE">
      <w:pPr>
        <w:ind w:firstLine="420"/>
        <w:jc w:val="both"/>
      </w:pPr>
      <w:r>
        <w:rPr>
          <w:rFonts w:hint="eastAsia"/>
          <w:sz w:val="21"/>
          <w:szCs w:val="21"/>
        </w:rPr>
        <w:t>但流量激励模式的治理短板也随之显现，核心在于公共财政支出能否有效转化为经济收益，具体表现为线上超级流量与线下落地实效不匹配、传播势能与产业动能不同步、网络热点与富民增收不挂钩，财政资金的撬动效能尚未充分体现推动线上线下融合的政策导向</w:t>
      </w:r>
      <w:r>
        <w:rPr>
          <w:rFonts w:hint="eastAsia"/>
          <w:sz w:val="21"/>
          <w:szCs w:val="21"/>
          <w:vertAlign w:val="superscript"/>
        </w:rPr>
        <w:t>[6]</w:t>
      </w:r>
      <w:r>
        <w:rPr>
          <w:rFonts w:hint="eastAsia"/>
          <w:sz w:val="21"/>
          <w:szCs w:val="21"/>
        </w:rPr>
        <w:t>。从传播环境看，截至2025年12月，我国网民规模达11.25亿人，短视频用户占网民整体的95.4%</w:t>
      </w:r>
      <w:r>
        <w:rPr>
          <w:rFonts w:hint="eastAsia"/>
          <w:sz w:val="21"/>
          <w:szCs w:val="21"/>
          <w:vertAlign w:val="superscript"/>
        </w:rPr>
        <w:t>[7]</w:t>
      </w:r>
      <w:r>
        <w:rPr>
          <w:rFonts w:hint="eastAsia"/>
          <w:sz w:val="21"/>
          <w:szCs w:val="21"/>
        </w:rPr>
        <w:t>，短视频已成为大众获取信息、作出消费决策的核心渠道；在数字经济时代，流量是实现资源开放、连接、共享和增值的重要配置手段</w:t>
      </w:r>
      <w:r>
        <w:rPr>
          <w:rFonts w:hint="eastAsia"/>
          <w:sz w:val="21"/>
          <w:szCs w:val="21"/>
          <w:vertAlign w:val="superscript"/>
        </w:rPr>
        <w:t>[8]</w:t>
      </w:r>
      <w:r>
        <w:rPr>
          <w:rFonts w:hint="eastAsia"/>
          <w:sz w:val="21"/>
          <w:szCs w:val="21"/>
        </w:rPr>
        <w:t>。如何让财政资金撬动的“流量”沉淀为可持续的“留量”，已成为西藏文旅高质量发展亟待回答的问题。</w:t>
      </w:r>
    </w:p>
    <w:p w14:paraId="1954A064">
      <w:pPr>
        <w:ind w:firstLine="420"/>
        <w:jc w:val="both"/>
      </w:pPr>
      <w:r>
        <w:rPr>
          <w:rFonts w:hint="eastAsia"/>
          <w:sz w:val="21"/>
          <w:szCs w:val="21"/>
        </w:rPr>
        <w:t>基于此，本文围绕三个问题展开：一是短视频流量从线上传播到线下实效需要经过哪些环节；二是现行财政奖补政策在这些环节上存在哪些堵点；三是如何在不重构现有政策框架的前提下优化财政政策。本文的边际贡献主要体现在三个方面：第一，在研究视角上，将流量经济、公共财政与产业融合理论结合起来，构建“热点触发—客流导入—线路承接—消费落地—富民增收”的流量转化分析框架；第二，在研究对象上，聚焦西藏短视频流量奖补这一较新的财政实践，结合政策文本与典型案例识别其现实困境；第三，在政策设计上，提出“基础热度奖励+产业实效附加奖励”的双激励指标方案，为同类地区完善流量奖补政策提供参考。</w:t>
      </w:r>
    </w:p>
    <w:p w14:paraId="35027252">
      <w:pPr>
        <w:keepNext/>
        <w:spacing w:before="260" w:after="120"/>
      </w:pPr>
      <w:r>
        <w:rPr>
          <w:rFonts w:eastAsia="黑体"/>
          <w:b/>
          <w:bCs/>
          <w:sz w:val="28"/>
          <w:szCs w:val="28"/>
        </w:rPr>
        <w:t>二、文献回顾与分析框架</w:t>
      </w:r>
    </w:p>
    <w:p w14:paraId="26D0AD94">
      <w:pPr>
        <w:keepNext/>
        <w:spacing w:before="160" w:after="80"/>
      </w:pPr>
      <w:r>
        <w:rPr>
          <w:rFonts w:eastAsia="黑体"/>
          <w:b/>
          <w:bCs/>
          <w:sz w:val="21"/>
          <w:szCs w:val="21"/>
        </w:rPr>
        <w:t>（一）文献回顾</w:t>
      </w:r>
    </w:p>
    <w:p w14:paraId="39910BF4">
      <w:pPr>
        <w:ind w:firstLine="420"/>
        <w:jc w:val="both"/>
      </w:pPr>
      <w:r>
        <w:rPr>
          <w:rFonts w:hint="eastAsia"/>
          <w:sz w:val="21"/>
          <w:szCs w:val="21"/>
        </w:rPr>
        <w:t>围绕本文主题，现有研究主要集中在文旅流量经济、短视频文旅传播、西藏文旅融合和文旅财政政策四个方面。</w:t>
      </w:r>
    </w:p>
    <w:p w14:paraId="1841493C">
      <w:pPr>
        <w:ind w:firstLine="420"/>
        <w:jc w:val="both"/>
      </w:pPr>
      <w:r>
        <w:rPr>
          <w:rFonts w:hint="eastAsia"/>
          <w:sz w:val="21"/>
          <w:szCs w:val="21"/>
        </w:rPr>
        <w:t>在文旅流量经济方面，何伦凤与曾睿以丁真“出圈”带动理塘文旅发展为例，证实流量能够有效助推偏远地区文旅产业“破圈”</w:t>
      </w:r>
      <w:r>
        <w:rPr>
          <w:rFonts w:hint="eastAsia"/>
          <w:sz w:val="21"/>
          <w:szCs w:val="21"/>
          <w:vertAlign w:val="superscript"/>
        </w:rPr>
        <w:t>[9]</w:t>
      </w:r>
      <w:r>
        <w:rPr>
          <w:rFonts w:hint="eastAsia"/>
          <w:sz w:val="21"/>
          <w:szCs w:val="21"/>
        </w:rPr>
        <w:t>；林明水等指出，旅游地根据需求变化优化服务供给是流量经济促进旅游业发展的关键路径，需统筹有效市场与有为政府，借助流量的空间效应塑造旅游品牌</w:t>
      </w:r>
      <w:r>
        <w:rPr>
          <w:rFonts w:hint="eastAsia"/>
          <w:sz w:val="21"/>
          <w:szCs w:val="21"/>
          <w:vertAlign w:val="superscript"/>
        </w:rPr>
        <w:t>[10]</w:t>
      </w:r>
      <w:r>
        <w:rPr>
          <w:rFonts w:hint="eastAsia"/>
          <w:sz w:val="21"/>
          <w:szCs w:val="21"/>
        </w:rPr>
        <w:t>。任新玉与李燕军以吉林省乡村旅游为例指出，流量经济发展应坚守“质量”初心，通过品质提升和人文符号赋能实现从“流量”向“留量”的转化，政府需在基础设施、资金、人才等层面提供多元支撑</w:t>
      </w:r>
      <w:r>
        <w:rPr>
          <w:rFonts w:hint="eastAsia"/>
          <w:sz w:val="21"/>
          <w:szCs w:val="21"/>
          <w:vertAlign w:val="superscript"/>
        </w:rPr>
        <w:t>[11]</w:t>
      </w:r>
      <w:r>
        <w:rPr>
          <w:rFonts w:hint="eastAsia"/>
          <w:sz w:val="21"/>
          <w:szCs w:val="21"/>
        </w:rPr>
        <w:t>。</w:t>
      </w:r>
    </w:p>
    <w:p w14:paraId="1348AB84">
      <w:pPr>
        <w:ind w:firstLine="420"/>
        <w:jc w:val="both"/>
      </w:pPr>
      <w:r>
        <w:rPr>
          <w:rFonts w:hint="eastAsia"/>
          <w:sz w:val="21"/>
          <w:szCs w:val="21"/>
        </w:rPr>
        <w:t>在短视频文旅传播方面，研究多采用案例分析、内容分析等方法。叶勇与吴懿君以全国多地文旅局长短视频为样本，证实短视频具有引流、塑形、提质三重赋能效应，并提出内容创新、矩阵传播、主播培育等策略</w:t>
      </w:r>
      <w:r>
        <w:rPr>
          <w:rFonts w:hint="eastAsia"/>
          <w:sz w:val="21"/>
          <w:szCs w:val="21"/>
          <w:vertAlign w:val="superscript"/>
        </w:rPr>
        <w:t>[12]</w:t>
      </w:r>
      <w:r>
        <w:rPr>
          <w:rFonts w:hint="eastAsia"/>
          <w:sz w:val="21"/>
          <w:szCs w:val="21"/>
        </w:rPr>
        <w:t>；曹冬松与方雷基于典型城市案例指出，流量具有正负双重效应，需通过政府治理转型规避流量风险，实现流量长效赋能</w:t>
      </w:r>
      <w:r>
        <w:rPr>
          <w:rFonts w:hint="eastAsia"/>
          <w:sz w:val="21"/>
          <w:szCs w:val="21"/>
          <w:vertAlign w:val="superscript"/>
        </w:rPr>
        <w:t>[13]</w:t>
      </w:r>
      <w:r>
        <w:rPr>
          <w:rFonts w:hint="eastAsia"/>
          <w:sz w:val="21"/>
          <w:szCs w:val="21"/>
        </w:rPr>
        <w:t>。</w:t>
      </w:r>
    </w:p>
    <w:p w14:paraId="2FA1EB43">
      <w:pPr>
        <w:ind w:firstLine="420"/>
        <w:jc w:val="both"/>
      </w:pPr>
      <w:r>
        <w:rPr>
          <w:rFonts w:hint="eastAsia"/>
          <w:sz w:val="21"/>
          <w:szCs w:val="21"/>
        </w:rPr>
        <w:t>在西藏文旅融合方面，学界普遍立足乡村振兴战略，论证文旅融合对西藏乡村发展和农牧民增收的带动作用，并提出完善资金机制、搭建数字平台、挖掘乡土元素等对策</w:t>
      </w:r>
      <w:r>
        <w:rPr>
          <w:rFonts w:hint="eastAsia"/>
          <w:sz w:val="21"/>
          <w:szCs w:val="21"/>
          <w:vertAlign w:val="superscript"/>
        </w:rPr>
        <w:t>[14-15]</w:t>
      </w:r>
      <w:r>
        <w:rPr>
          <w:rFonts w:hint="eastAsia"/>
          <w:sz w:val="21"/>
          <w:szCs w:val="21"/>
        </w:rPr>
        <w:t>。孔少华等运用投入产出理论与共生理论测度发现，西藏文旅直接融合水平高于全国，但完全融合水平低于全国</w:t>
      </w:r>
      <w:r>
        <w:rPr>
          <w:rFonts w:hint="eastAsia"/>
          <w:sz w:val="21"/>
          <w:szCs w:val="21"/>
          <w:vertAlign w:val="superscript"/>
        </w:rPr>
        <w:t>[16]</w:t>
      </w:r>
      <w:r>
        <w:rPr>
          <w:rFonts w:hint="eastAsia"/>
          <w:sz w:val="21"/>
          <w:szCs w:val="21"/>
        </w:rPr>
        <w:t>；化睿云认为，沉浸式文旅可突破西藏地理条件限制，实现民族文化的创新性表达</w:t>
      </w:r>
      <w:r>
        <w:rPr>
          <w:rFonts w:hint="eastAsia"/>
          <w:sz w:val="21"/>
          <w:szCs w:val="21"/>
          <w:vertAlign w:val="superscript"/>
        </w:rPr>
        <w:t>[17]</w:t>
      </w:r>
      <w:r>
        <w:rPr>
          <w:rFonts w:hint="eastAsia"/>
          <w:sz w:val="21"/>
          <w:szCs w:val="21"/>
        </w:rPr>
        <w:t>。</w:t>
      </w:r>
    </w:p>
    <w:p w14:paraId="3168C8DF">
      <w:pPr>
        <w:ind w:firstLine="420"/>
        <w:jc w:val="both"/>
      </w:pPr>
      <w:r>
        <w:rPr>
          <w:rFonts w:hint="eastAsia"/>
          <w:sz w:val="21"/>
          <w:szCs w:val="21"/>
        </w:rPr>
        <w:t>在文旅财政政策方面，彭坤杰等运用地理探测器模型发现，财政政策是区域文旅融合发展的首要驱动因素，且与科技创新、消费能力存在较强的交互效应</w:t>
      </w:r>
      <w:r>
        <w:rPr>
          <w:rFonts w:hint="eastAsia"/>
          <w:sz w:val="21"/>
          <w:szCs w:val="21"/>
          <w:vertAlign w:val="superscript"/>
        </w:rPr>
        <w:t>[18]</w:t>
      </w:r>
      <w:r>
        <w:rPr>
          <w:rFonts w:hint="eastAsia"/>
          <w:sz w:val="21"/>
          <w:szCs w:val="21"/>
        </w:rPr>
        <w:t>；胡羽珊等基于居民文旅消费微观数据估计，1元消费券可撬动4.1～4.4元居民消费，但存在受众不均衡、对弱势群体赋能不足等问题</w:t>
      </w:r>
      <w:r>
        <w:rPr>
          <w:rFonts w:hint="eastAsia"/>
          <w:sz w:val="21"/>
          <w:szCs w:val="21"/>
          <w:vertAlign w:val="superscript"/>
        </w:rPr>
        <w:t>[19]</w:t>
      </w:r>
      <w:r>
        <w:rPr>
          <w:rFonts w:hint="eastAsia"/>
          <w:sz w:val="21"/>
          <w:szCs w:val="21"/>
        </w:rPr>
        <w:t>。此外，地方文旅财政普遍存在投入精准度不足、融资渠道单一、特色扶持缺位、绩效监管薄弱等问题</w:t>
      </w:r>
      <w:r>
        <w:rPr>
          <w:rFonts w:hint="eastAsia"/>
          <w:sz w:val="21"/>
          <w:szCs w:val="21"/>
          <w:vertAlign w:val="superscript"/>
        </w:rPr>
        <w:t>[20-21]</w:t>
      </w:r>
      <w:r>
        <w:rPr>
          <w:rFonts w:hint="eastAsia"/>
          <w:sz w:val="21"/>
          <w:szCs w:val="21"/>
        </w:rPr>
        <w:t>。</w:t>
      </w:r>
    </w:p>
    <w:p w14:paraId="25583810">
      <w:pPr>
        <w:ind w:firstLine="420"/>
        <w:jc w:val="both"/>
      </w:pPr>
      <w:r>
        <w:rPr>
          <w:rFonts w:hint="eastAsia"/>
          <w:sz w:val="21"/>
          <w:szCs w:val="21"/>
        </w:rPr>
        <w:t>综上，现有研究证实了流量对偏远地区文旅发展的带动作用，也关注到财政政策在文旅融合中的驱动效应，但将二者结合起来、专门讨论短视频流量财政奖补如何转化为产业实效的研究仍较少，针对西藏这一边疆民族地区的研究更为缺乏。本文尝试在这一方向上加以推进。</w:t>
      </w:r>
    </w:p>
    <w:p w14:paraId="189172D9">
      <w:pPr>
        <w:keepNext/>
        <w:spacing w:before="160" w:after="80"/>
      </w:pPr>
      <w:r>
        <w:rPr>
          <w:rFonts w:eastAsia="黑体"/>
          <w:b/>
          <w:bCs/>
          <w:sz w:val="21"/>
          <w:szCs w:val="21"/>
        </w:rPr>
        <w:t>（二）分析框架</w:t>
      </w:r>
    </w:p>
    <w:p w14:paraId="232E45B3">
      <w:pPr>
        <w:ind w:firstLine="420"/>
        <w:jc w:val="both"/>
      </w:pPr>
      <w:r>
        <w:rPr>
          <w:rFonts w:hint="eastAsia"/>
          <w:sz w:val="21"/>
          <w:szCs w:val="21"/>
        </w:rPr>
        <w:t>本文以流量经济理论解释短视频流量对文旅资源的配置作用，以公共财政理论讨论奖补资金的效率与绩效约束，以产业融合理论刻画流量向文旅业态与消费的传导过程。在此基础上，从现状分析入手，识别短视频流量奖补在转化链条各环节上的现实困境，并按维度提出对应的优化路径，最终服务于从“流量”到“留量”、再到产业增量与富民增收的政策目标（见图1）。</w:t>
      </w:r>
    </w:p>
    <w:p w14:paraId="09BB1D4E">
      <w:pPr>
        <w:keepNext/>
        <w:spacing w:before="120" w:after="40"/>
        <w:jc w:val="center"/>
      </w:pPr>
      <w:r>
        <w:drawing>
          <wp:inline distT="0" distB="0" distL="0" distR="0">
            <wp:extent cx="5039995" cy="3615690"/>
            <wp:effectExtent l="0" t="0" r="4445" b="11430"/>
            <wp:docPr id="201" nam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1"/>
                    <pic:cNvPicPr>
                      <a:picLocks noChangeAspect="1"/>
                    </pic:cNvPicPr>
                  </pic:nvPicPr>
                  <pic:blipFill>
                    <a:blip r:embed="rId6"/>
                    <a:stretch>
                      <a:fillRect/>
                    </a:stretch>
                  </pic:blipFill>
                  <pic:spPr>
                    <a:xfrm>
                      <a:off x="0" y="0"/>
                      <a:ext cx="5040000" cy="3616143"/>
                    </a:xfrm>
                    <a:prstGeom prst="rect">
                      <a:avLst/>
                    </a:prstGeom>
                  </pic:spPr>
                </pic:pic>
              </a:graphicData>
            </a:graphic>
          </wp:inline>
        </w:drawing>
      </w:r>
    </w:p>
    <w:p w14:paraId="7FDF987F">
      <w:pPr>
        <w:keepNext/>
        <w:spacing w:after="60"/>
        <w:jc w:val="center"/>
      </w:pPr>
      <w:r>
        <w:rPr>
          <w:rFonts w:eastAsia="黑体"/>
          <w:b/>
          <w:bCs/>
          <w:sz w:val="21"/>
          <w:szCs w:val="21"/>
        </w:rPr>
        <w:t>图1　本文分析框架</w:t>
      </w:r>
    </w:p>
    <w:p w14:paraId="3BB1803F">
      <w:pPr>
        <w:spacing w:after="140"/>
        <w:jc w:val="both"/>
      </w:pPr>
      <w:r>
        <w:rPr>
          <w:rFonts w:hint="eastAsia"/>
          <w:sz w:val="18"/>
          <w:szCs w:val="18"/>
        </w:rPr>
        <w:t>注：现实困境与优化路径按流量评价、业态培育、政策协同、产业基金、金融支撑、绩效监管六个维度一一对应。</w:t>
      </w:r>
    </w:p>
    <w:p w14:paraId="683864DE">
      <w:pPr>
        <w:keepNext/>
        <w:spacing w:before="260" w:after="120"/>
      </w:pPr>
      <w:r>
        <w:rPr>
          <w:rFonts w:eastAsia="黑体"/>
          <w:b/>
          <w:bCs/>
          <w:sz w:val="28"/>
          <w:szCs w:val="28"/>
        </w:rPr>
        <w:t>三、西藏文旅产业发展与财政政策现状</w:t>
      </w:r>
    </w:p>
    <w:p w14:paraId="7EEF7568">
      <w:pPr>
        <w:keepNext/>
        <w:spacing w:before="160" w:after="80"/>
      </w:pPr>
      <w:r>
        <w:rPr>
          <w:rFonts w:eastAsia="黑体"/>
          <w:b/>
          <w:bCs/>
          <w:sz w:val="21"/>
          <w:szCs w:val="21"/>
        </w:rPr>
        <w:t>（一）西藏文旅产业发展成效</w:t>
      </w:r>
    </w:p>
    <w:p w14:paraId="5C53DFB3">
      <w:pPr>
        <w:ind w:firstLine="420"/>
        <w:jc w:val="both"/>
      </w:pPr>
      <w:r>
        <w:rPr>
          <w:rFonts w:hint="eastAsia"/>
          <w:sz w:val="21"/>
          <w:szCs w:val="21"/>
        </w:rPr>
        <w:t>“十四五”以来，西藏文旅产业步入发展快车道。据西藏大学图登克珠教授团队基于西藏旅游40年发展数据的测算，在其他条件保持不变的情况下，西藏旅游总收入每增加1亿元，可带动GDP增加3.57亿元、第三产业增加值增加1.9亿元</w:t>
      </w:r>
      <w:r>
        <w:rPr>
          <w:rFonts w:hint="eastAsia"/>
          <w:sz w:val="21"/>
          <w:szCs w:val="21"/>
          <w:vertAlign w:val="superscript"/>
        </w:rPr>
        <w:t>[22]</w:t>
      </w:r>
      <w:r>
        <w:rPr>
          <w:rFonts w:hint="eastAsia"/>
          <w:sz w:val="21"/>
          <w:szCs w:val="21"/>
        </w:rPr>
        <w:t>。“十四五”期间，西藏累计接待国内外游客约2.61亿人次、实现旅游收入约3062亿元，分别约为“十三五”时期的1.66倍和1.44倍</w:t>
      </w:r>
      <w:r>
        <w:rPr>
          <w:rFonts w:hint="eastAsia"/>
          <w:sz w:val="21"/>
          <w:szCs w:val="21"/>
          <w:vertAlign w:val="superscript"/>
        </w:rPr>
        <w:t>[23-24]</w:t>
      </w:r>
      <w:r>
        <w:rPr>
          <w:rFonts w:hint="eastAsia"/>
          <w:sz w:val="21"/>
          <w:szCs w:val="21"/>
        </w:rPr>
        <w:t>；旅游总花费相当于地区生产总值的比例由2021年的21.2%升至2025年的26.9%</w:t>
      </w:r>
      <w:r>
        <w:rPr>
          <w:rFonts w:hint="eastAsia"/>
          <w:sz w:val="21"/>
          <w:szCs w:val="21"/>
          <w:vertAlign w:val="superscript"/>
        </w:rPr>
        <w:t>[23]</w:t>
      </w:r>
      <w:r>
        <w:rPr>
          <w:rFonts w:hint="eastAsia"/>
          <w:sz w:val="21"/>
          <w:szCs w:val="21"/>
        </w:rPr>
        <w:t>。2025年，全区接待国内外游客7073.37万人次，同比增长10.71%，实现旅游总花费816.81亿元，同比增长9.51%，文化产业产值达150.13亿元，同比增长35.29%</w:t>
      </w:r>
      <w:r>
        <w:rPr>
          <w:rFonts w:hint="eastAsia"/>
          <w:sz w:val="21"/>
          <w:szCs w:val="21"/>
          <w:vertAlign w:val="superscript"/>
        </w:rPr>
        <w:t>[25]</w:t>
      </w:r>
      <w:r>
        <w:rPr>
          <w:rFonts w:hint="eastAsia"/>
          <w:sz w:val="21"/>
          <w:szCs w:val="21"/>
        </w:rPr>
        <w:t>；乡村旅游直接和间接带动农牧民就业34.55万人，31万农牧民通过参与乡村旅游实现人均年增收近5000元（见表1）。文旅产业已成为带动农牧民增收的主渠道。</w:t>
      </w:r>
    </w:p>
    <w:p w14:paraId="13A9E3BA">
      <w:pPr>
        <w:keepNext/>
        <w:spacing w:before="140" w:after="40"/>
        <w:jc w:val="center"/>
      </w:pPr>
      <w:r>
        <w:rPr>
          <w:rFonts w:eastAsia="黑体"/>
          <w:b/>
          <w:bCs/>
          <w:sz w:val="21"/>
          <w:szCs w:val="21"/>
        </w:rPr>
        <w:t>表1　西藏文旅产业发展主要指标</w:t>
      </w:r>
    </w:p>
    <w:tbl>
      <w:tblPr>
        <w:tblStyle w:val="15"/>
        <w:tblW w:w="80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00"/>
        <w:gridCol w:w="4300"/>
        <w:gridCol w:w="2000"/>
      </w:tblGrid>
      <w:tr w14:paraId="4346588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PrEx>
        <w:trPr>
          <w:cantSplit/>
          <w:tblHeader/>
          <w:jc w:val="center"/>
        </w:trPr>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35C18D54">
            <w:pPr>
              <w:spacing w:line="240" w:lineRule="auto"/>
              <w:jc w:val="center"/>
            </w:pPr>
            <w:r>
              <w:rPr>
                <w:rFonts w:hint="eastAsia"/>
                <w:b/>
                <w:bCs/>
                <w:sz w:val="18"/>
                <w:szCs w:val="18"/>
              </w:rPr>
              <w:t>类别</w:t>
            </w:r>
          </w:p>
        </w:tc>
        <w:tc>
          <w:tcPr>
            <w:tcW w:w="4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84BFEB7">
            <w:pPr>
              <w:spacing w:line="240" w:lineRule="auto"/>
              <w:jc w:val="center"/>
            </w:pPr>
            <w:r>
              <w:rPr>
                <w:rFonts w:hint="eastAsia"/>
                <w:b/>
                <w:bCs/>
                <w:sz w:val="18"/>
                <w:szCs w:val="18"/>
              </w:rPr>
              <w:t>指标</w:t>
            </w:r>
          </w:p>
        </w:tc>
        <w:tc>
          <w:tcPr>
            <w:tcW w:w="20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63B2C248">
            <w:pPr>
              <w:spacing w:line="240" w:lineRule="auto"/>
              <w:jc w:val="center"/>
            </w:pPr>
            <w:r>
              <w:rPr>
                <w:rFonts w:hint="eastAsia"/>
                <w:b/>
                <w:bCs/>
                <w:sz w:val="18"/>
                <w:szCs w:val="18"/>
              </w:rPr>
              <w:t>数值</w:t>
            </w:r>
          </w:p>
        </w:tc>
      </w:tr>
      <w:tr w14:paraId="03D749D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17BF18B8">
            <w:pPr>
              <w:spacing w:line="240" w:lineRule="auto"/>
              <w:jc w:val="center"/>
            </w:pPr>
            <w:r>
              <w:rPr>
                <w:rFonts w:hint="eastAsia"/>
                <w:sz w:val="18"/>
                <w:szCs w:val="18"/>
              </w:rPr>
              <w:t>带动效应</w:t>
            </w:r>
          </w:p>
        </w:tc>
        <w:tc>
          <w:tcPr>
            <w:tcW w:w="4300" w:type="dxa"/>
            <w:tcBorders>
              <w:left w:val="nil"/>
              <w:right w:val="nil"/>
            </w:tcBorders>
            <w:tcMar>
              <w:top w:w="30" w:type="dxa"/>
              <w:left w:w="60" w:type="dxa"/>
              <w:bottom w:w="30" w:type="dxa"/>
              <w:right w:w="60" w:type="dxa"/>
            </w:tcMar>
            <w:vAlign w:val="center"/>
          </w:tcPr>
          <w:p w14:paraId="77D718AF">
            <w:pPr>
              <w:spacing w:line="240" w:lineRule="auto"/>
              <w:jc w:val="left"/>
            </w:pPr>
            <w:r>
              <w:rPr>
                <w:rFonts w:hint="eastAsia"/>
                <w:sz w:val="18"/>
                <w:szCs w:val="18"/>
              </w:rPr>
              <w:t>旅游总收入每增加1亿元带动GDP增加</w:t>
            </w:r>
          </w:p>
        </w:tc>
        <w:tc>
          <w:tcPr>
            <w:tcW w:w="2000" w:type="dxa"/>
            <w:tcBorders>
              <w:left w:val="nil"/>
              <w:right w:val="nil"/>
            </w:tcBorders>
            <w:tcMar>
              <w:top w:w="30" w:type="dxa"/>
              <w:left w:w="60" w:type="dxa"/>
              <w:bottom w:w="30" w:type="dxa"/>
              <w:right w:w="60" w:type="dxa"/>
            </w:tcMar>
            <w:vAlign w:val="center"/>
          </w:tcPr>
          <w:p w14:paraId="5724F11F">
            <w:pPr>
              <w:spacing w:line="240" w:lineRule="auto"/>
              <w:jc w:val="center"/>
            </w:pPr>
            <w:r>
              <w:rPr>
                <w:rFonts w:hint="eastAsia"/>
                <w:sz w:val="18"/>
                <w:szCs w:val="18"/>
              </w:rPr>
              <w:t>3.57亿元</w:t>
            </w:r>
          </w:p>
        </w:tc>
      </w:tr>
      <w:tr w14:paraId="6553467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7BF00512">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6DF27B4E">
            <w:pPr>
              <w:spacing w:line="240" w:lineRule="auto"/>
              <w:jc w:val="left"/>
            </w:pPr>
            <w:r>
              <w:rPr>
                <w:rFonts w:hint="eastAsia"/>
                <w:sz w:val="18"/>
                <w:szCs w:val="18"/>
              </w:rPr>
              <w:t>旅游总收入每增加1亿元带动第三产业增加值增加</w:t>
            </w:r>
          </w:p>
        </w:tc>
        <w:tc>
          <w:tcPr>
            <w:tcW w:w="2000" w:type="dxa"/>
            <w:tcBorders>
              <w:left w:val="nil"/>
              <w:right w:val="nil"/>
            </w:tcBorders>
            <w:tcMar>
              <w:top w:w="30" w:type="dxa"/>
              <w:left w:w="60" w:type="dxa"/>
              <w:bottom w:w="30" w:type="dxa"/>
              <w:right w:w="60" w:type="dxa"/>
            </w:tcMar>
            <w:vAlign w:val="center"/>
          </w:tcPr>
          <w:p w14:paraId="4A2E217A">
            <w:pPr>
              <w:spacing w:line="240" w:lineRule="auto"/>
              <w:jc w:val="center"/>
            </w:pPr>
            <w:r>
              <w:rPr>
                <w:rFonts w:hint="eastAsia"/>
                <w:sz w:val="18"/>
                <w:szCs w:val="18"/>
              </w:rPr>
              <w:t>1.9亿元</w:t>
            </w:r>
          </w:p>
        </w:tc>
      </w:tr>
      <w:tr w14:paraId="77C6AF6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6D56BA60">
            <w:pPr>
              <w:spacing w:line="240" w:lineRule="auto"/>
              <w:jc w:val="center"/>
            </w:pPr>
            <w:r>
              <w:rPr>
                <w:rFonts w:hint="eastAsia"/>
                <w:sz w:val="18"/>
                <w:szCs w:val="18"/>
              </w:rPr>
              <w:t>“十四五”成效</w:t>
            </w:r>
          </w:p>
        </w:tc>
        <w:tc>
          <w:tcPr>
            <w:tcW w:w="4300" w:type="dxa"/>
            <w:tcBorders>
              <w:left w:val="nil"/>
              <w:right w:val="nil"/>
            </w:tcBorders>
            <w:tcMar>
              <w:top w:w="30" w:type="dxa"/>
              <w:left w:w="60" w:type="dxa"/>
              <w:bottom w:w="30" w:type="dxa"/>
              <w:right w:w="60" w:type="dxa"/>
            </w:tcMar>
            <w:vAlign w:val="center"/>
          </w:tcPr>
          <w:p w14:paraId="255A6E42">
            <w:pPr>
              <w:spacing w:line="240" w:lineRule="auto"/>
              <w:jc w:val="left"/>
            </w:pPr>
            <w:r>
              <w:rPr>
                <w:rFonts w:hint="eastAsia"/>
                <w:sz w:val="18"/>
                <w:szCs w:val="18"/>
              </w:rPr>
              <w:t>旅游总花费相当于地区生产总值的比例</w:t>
            </w:r>
          </w:p>
        </w:tc>
        <w:tc>
          <w:tcPr>
            <w:tcW w:w="2000" w:type="dxa"/>
            <w:tcBorders>
              <w:left w:val="nil"/>
              <w:right w:val="nil"/>
            </w:tcBorders>
            <w:tcMar>
              <w:top w:w="30" w:type="dxa"/>
              <w:left w:w="60" w:type="dxa"/>
              <w:bottom w:w="30" w:type="dxa"/>
              <w:right w:w="60" w:type="dxa"/>
            </w:tcMar>
            <w:vAlign w:val="center"/>
          </w:tcPr>
          <w:p w14:paraId="5F1E72A6">
            <w:pPr>
              <w:spacing w:line="240" w:lineRule="auto"/>
              <w:jc w:val="left"/>
            </w:pPr>
            <w:r>
              <w:rPr>
                <w:rFonts w:hint="eastAsia"/>
                <w:sz w:val="18"/>
                <w:szCs w:val="18"/>
              </w:rPr>
              <w:t>21.2%（2021年）→26.9%（2025年）</w:t>
            </w:r>
          </w:p>
        </w:tc>
      </w:tr>
      <w:tr w14:paraId="32BEAF7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4662B6B1">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0F8781D8">
            <w:pPr>
              <w:spacing w:line="240" w:lineRule="auto"/>
              <w:jc w:val="left"/>
            </w:pPr>
            <w:r>
              <w:rPr>
                <w:rFonts w:hint="eastAsia"/>
                <w:sz w:val="18"/>
                <w:szCs w:val="18"/>
              </w:rPr>
              <w:t>累计接待游客人次（与“十三五”时期之比）</w:t>
            </w:r>
          </w:p>
        </w:tc>
        <w:tc>
          <w:tcPr>
            <w:tcW w:w="2000" w:type="dxa"/>
            <w:tcBorders>
              <w:left w:val="nil"/>
              <w:right w:val="nil"/>
            </w:tcBorders>
            <w:tcMar>
              <w:top w:w="30" w:type="dxa"/>
              <w:left w:w="60" w:type="dxa"/>
              <w:bottom w:w="30" w:type="dxa"/>
              <w:right w:w="60" w:type="dxa"/>
            </w:tcMar>
            <w:vAlign w:val="center"/>
          </w:tcPr>
          <w:p w14:paraId="3008D6FB">
            <w:pPr>
              <w:spacing w:line="240" w:lineRule="auto"/>
              <w:jc w:val="center"/>
            </w:pPr>
            <w:r>
              <w:rPr>
                <w:rFonts w:hint="eastAsia"/>
                <w:sz w:val="18"/>
                <w:szCs w:val="18"/>
              </w:rPr>
              <w:t>约1.66倍</w:t>
            </w:r>
          </w:p>
        </w:tc>
      </w:tr>
      <w:tr w14:paraId="757E8F1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574F81CF">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708E5DA4">
            <w:pPr>
              <w:spacing w:line="240" w:lineRule="auto"/>
              <w:jc w:val="left"/>
            </w:pPr>
            <w:r>
              <w:rPr>
                <w:rFonts w:hint="eastAsia"/>
                <w:sz w:val="18"/>
                <w:szCs w:val="18"/>
              </w:rPr>
              <w:t>累计旅游收入（与“十三五”时期之比）</w:t>
            </w:r>
          </w:p>
        </w:tc>
        <w:tc>
          <w:tcPr>
            <w:tcW w:w="2000" w:type="dxa"/>
            <w:tcBorders>
              <w:left w:val="nil"/>
              <w:right w:val="nil"/>
            </w:tcBorders>
            <w:tcMar>
              <w:top w:w="30" w:type="dxa"/>
              <w:left w:w="60" w:type="dxa"/>
              <w:bottom w:w="30" w:type="dxa"/>
              <w:right w:w="60" w:type="dxa"/>
            </w:tcMar>
            <w:vAlign w:val="center"/>
          </w:tcPr>
          <w:p w14:paraId="5BFFB1D1">
            <w:pPr>
              <w:spacing w:line="240" w:lineRule="auto"/>
              <w:jc w:val="center"/>
            </w:pPr>
            <w:r>
              <w:rPr>
                <w:rFonts w:hint="eastAsia"/>
                <w:sz w:val="18"/>
                <w:szCs w:val="18"/>
              </w:rPr>
              <w:t>约1.44倍</w:t>
            </w:r>
          </w:p>
        </w:tc>
      </w:tr>
      <w:tr w14:paraId="4E3810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2A9E9629">
            <w:pPr>
              <w:spacing w:line="240" w:lineRule="auto"/>
              <w:jc w:val="center"/>
            </w:pPr>
            <w:r>
              <w:rPr>
                <w:rFonts w:hint="eastAsia"/>
                <w:sz w:val="18"/>
                <w:szCs w:val="18"/>
              </w:rPr>
              <w:t>2025年发展</w:t>
            </w:r>
          </w:p>
        </w:tc>
        <w:tc>
          <w:tcPr>
            <w:tcW w:w="4300" w:type="dxa"/>
            <w:tcBorders>
              <w:left w:val="nil"/>
              <w:right w:val="nil"/>
            </w:tcBorders>
            <w:tcMar>
              <w:top w:w="30" w:type="dxa"/>
              <w:left w:w="60" w:type="dxa"/>
              <w:bottom w:w="30" w:type="dxa"/>
              <w:right w:w="60" w:type="dxa"/>
            </w:tcMar>
            <w:vAlign w:val="center"/>
          </w:tcPr>
          <w:p w14:paraId="7A86352E">
            <w:pPr>
              <w:spacing w:line="240" w:lineRule="auto"/>
              <w:jc w:val="center"/>
            </w:pPr>
            <w:r>
              <w:rPr>
                <w:rFonts w:hint="eastAsia"/>
                <w:sz w:val="18"/>
                <w:szCs w:val="18"/>
              </w:rPr>
              <w:t>接待国内外游客</w:t>
            </w:r>
          </w:p>
        </w:tc>
        <w:tc>
          <w:tcPr>
            <w:tcW w:w="2000" w:type="dxa"/>
            <w:tcBorders>
              <w:left w:val="nil"/>
              <w:right w:val="nil"/>
            </w:tcBorders>
            <w:tcMar>
              <w:top w:w="30" w:type="dxa"/>
              <w:left w:w="60" w:type="dxa"/>
              <w:bottom w:w="30" w:type="dxa"/>
              <w:right w:w="60" w:type="dxa"/>
            </w:tcMar>
            <w:vAlign w:val="center"/>
          </w:tcPr>
          <w:p w14:paraId="1B2AB800">
            <w:pPr>
              <w:spacing w:line="240" w:lineRule="auto"/>
              <w:jc w:val="center"/>
            </w:pPr>
            <w:r>
              <w:rPr>
                <w:rFonts w:hint="eastAsia"/>
                <w:sz w:val="18"/>
                <w:szCs w:val="18"/>
              </w:rPr>
              <w:t>7073.37万人次</w:t>
            </w:r>
          </w:p>
        </w:tc>
      </w:tr>
      <w:tr w14:paraId="25BBDE8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7E141A48">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612BE35E">
            <w:pPr>
              <w:spacing w:line="240" w:lineRule="auto"/>
              <w:jc w:val="center"/>
            </w:pPr>
            <w:r>
              <w:rPr>
                <w:rFonts w:hint="eastAsia"/>
                <w:sz w:val="18"/>
                <w:szCs w:val="18"/>
              </w:rPr>
              <w:t>旅游总花费</w:t>
            </w:r>
          </w:p>
        </w:tc>
        <w:tc>
          <w:tcPr>
            <w:tcW w:w="2000" w:type="dxa"/>
            <w:tcBorders>
              <w:left w:val="nil"/>
              <w:right w:val="nil"/>
            </w:tcBorders>
            <w:tcMar>
              <w:top w:w="30" w:type="dxa"/>
              <w:left w:w="60" w:type="dxa"/>
              <w:bottom w:w="30" w:type="dxa"/>
              <w:right w:w="60" w:type="dxa"/>
            </w:tcMar>
            <w:vAlign w:val="center"/>
          </w:tcPr>
          <w:p w14:paraId="0B397CB5">
            <w:pPr>
              <w:spacing w:line="240" w:lineRule="auto"/>
              <w:jc w:val="center"/>
            </w:pPr>
            <w:r>
              <w:rPr>
                <w:rFonts w:hint="eastAsia"/>
                <w:sz w:val="18"/>
                <w:szCs w:val="18"/>
              </w:rPr>
              <w:t>816.81亿元</w:t>
            </w:r>
          </w:p>
        </w:tc>
      </w:tr>
      <w:tr w14:paraId="3099EF5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326EC9CF">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1B50AF08">
            <w:pPr>
              <w:spacing w:line="240" w:lineRule="auto"/>
              <w:jc w:val="center"/>
            </w:pPr>
            <w:r>
              <w:rPr>
                <w:rFonts w:hint="eastAsia"/>
                <w:sz w:val="18"/>
                <w:szCs w:val="18"/>
              </w:rPr>
              <w:t>文化产业产值</w:t>
            </w:r>
          </w:p>
        </w:tc>
        <w:tc>
          <w:tcPr>
            <w:tcW w:w="2000" w:type="dxa"/>
            <w:tcBorders>
              <w:left w:val="nil"/>
              <w:right w:val="nil"/>
            </w:tcBorders>
            <w:tcMar>
              <w:top w:w="30" w:type="dxa"/>
              <w:left w:w="60" w:type="dxa"/>
              <w:bottom w:w="30" w:type="dxa"/>
              <w:right w:w="60" w:type="dxa"/>
            </w:tcMar>
            <w:vAlign w:val="center"/>
          </w:tcPr>
          <w:p w14:paraId="54804375">
            <w:pPr>
              <w:spacing w:line="240" w:lineRule="auto"/>
              <w:jc w:val="center"/>
            </w:pPr>
            <w:r>
              <w:rPr>
                <w:rFonts w:hint="eastAsia"/>
                <w:sz w:val="18"/>
                <w:szCs w:val="18"/>
              </w:rPr>
              <w:t>150.13亿元</w:t>
            </w:r>
          </w:p>
        </w:tc>
      </w:tr>
      <w:tr w14:paraId="664235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right w:val="nil"/>
            </w:tcBorders>
            <w:tcMar>
              <w:top w:w="30" w:type="dxa"/>
              <w:left w:w="60" w:type="dxa"/>
              <w:bottom w:w="30" w:type="dxa"/>
              <w:right w:w="60" w:type="dxa"/>
            </w:tcMar>
            <w:vAlign w:val="center"/>
          </w:tcPr>
          <w:p w14:paraId="56750F41">
            <w:pPr>
              <w:spacing w:line="240" w:lineRule="auto"/>
              <w:jc w:val="center"/>
            </w:pPr>
          </w:p>
        </w:tc>
        <w:tc>
          <w:tcPr>
            <w:tcW w:w="4300" w:type="dxa"/>
            <w:tcBorders>
              <w:left w:val="nil"/>
              <w:right w:val="nil"/>
            </w:tcBorders>
            <w:tcMar>
              <w:top w:w="30" w:type="dxa"/>
              <w:left w:w="60" w:type="dxa"/>
              <w:bottom w:w="30" w:type="dxa"/>
              <w:right w:w="60" w:type="dxa"/>
            </w:tcMar>
            <w:vAlign w:val="center"/>
          </w:tcPr>
          <w:p w14:paraId="00DC29F4">
            <w:pPr>
              <w:spacing w:line="240" w:lineRule="auto"/>
              <w:jc w:val="center"/>
            </w:pPr>
            <w:r>
              <w:rPr>
                <w:rFonts w:hint="eastAsia"/>
                <w:sz w:val="18"/>
                <w:szCs w:val="18"/>
              </w:rPr>
              <w:t>游客人均花费（测算）</w:t>
            </w:r>
          </w:p>
        </w:tc>
        <w:tc>
          <w:tcPr>
            <w:tcW w:w="2000" w:type="dxa"/>
            <w:tcBorders>
              <w:left w:val="nil"/>
              <w:right w:val="nil"/>
            </w:tcBorders>
            <w:tcMar>
              <w:top w:w="30" w:type="dxa"/>
              <w:left w:w="60" w:type="dxa"/>
              <w:bottom w:w="30" w:type="dxa"/>
              <w:right w:w="60" w:type="dxa"/>
            </w:tcMar>
            <w:vAlign w:val="center"/>
          </w:tcPr>
          <w:p w14:paraId="5C9073A6">
            <w:pPr>
              <w:spacing w:line="240" w:lineRule="auto"/>
              <w:jc w:val="center"/>
            </w:pPr>
            <w:r>
              <w:rPr>
                <w:rFonts w:hint="eastAsia"/>
                <w:sz w:val="18"/>
                <w:szCs w:val="18"/>
              </w:rPr>
              <w:t>约1155元</w:t>
            </w:r>
          </w:p>
        </w:tc>
      </w:tr>
      <w:tr w14:paraId="4D50FA8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restart"/>
            <w:tcBorders>
              <w:left w:val="nil"/>
              <w:right w:val="nil"/>
            </w:tcBorders>
            <w:tcMar>
              <w:top w:w="30" w:type="dxa"/>
              <w:left w:w="60" w:type="dxa"/>
              <w:bottom w:w="30" w:type="dxa"/>
              <w:right w:w="60" w:type="dxa"/>
            </w:tcMar>
            <w:vAlign w:val="center"/>
          </w:tcPr>
          <w:p w14:paraId="6BACCF43">
            <w:pPr>
              <w:spacing w:line="240" w:lineRule="auto"/>
              <w:jc w:val="center"/>
            </w:pPr>
            <w:r>
              <w:rPr>
                <w:rFonts w:hint="eastAsia"/>
                <w:sz w:val="18"/>
                <w:szCs w:val="18"/>
              </w:rPr>
              <w:t>富民成效</w:t>
            </w:r>
          </w:p>
        </w:tc>
        <w:tc>
          <w:tcPr>
            <w:tcW w:w="4300" w:type="dxa"/>
            <w:tcBorders>
              <w:left w:val="nil"/>
              <w:right w:val="nil"/>
            </w:tcBorders>
            <w:tcMar>
              <w:top w:w="30" w:type="dxa"/>
              <w:left w:w="60" w:type="dxa"/>
              <w:bottom w:w="30" w:type="dxa"/>
              <w:right w:w="60" w:type="dxa"/>
            </w:tcMar>
            <w:vAlign w:val="center"/>
          </w:tcPr>
          <w:p w14:paraId="3E093DB8">
            <w:pPr>
              <w:spacing w:line="240" w:lineRule="auto"/>
              <w:jc w:val="left"/>
            </w:pPr>
            <w:r>
              <w:rPr>
                <w:rFonts w:hint="eastAsia"/>
                <w:sz w:val="18"/>
                <w:szCs w:val="18"/>
              </w:rPr>
              <w:t>乡村旅游直接和间接带动农牧民就业</w:t>
            </w:r>
          </w:p>
        </w:tc>
        <w:tc>
          <w:tcPr>
            <w:tcW w:w="2000" w:type="dxa"/>
            <w:tcBorders>
              <w:left w:val="nil"/>
              <w:right w:val="nil"/>
            </w:tcBorders>
            <w:tcMar>
              <w:top w:w="30" w:type="dxa"/>
              <w:left w:w="60" w:type="dxa"/>
              <w:bottom w:w="30" w:type="dxa"/>
              <w:right w:w="60" w:type="dxa"/>
            </w:tcMar>
            <w:vAlign w:val="center"/>
          </w:tcPr>
          <w:p w14:paraId="59E6ABC1">
            <w:pPr>
              <w:spacing w:line="240" w:lineRule="auto"/>
              <w:jc w:val="center"/>
            </w:pPr>
            <w:r>
              <w:rPr>
                <w:rFonts w:hint="eastAsia"/>
                <w:sz w:val="18"/>
                <w:szCs w:val="18"/>
              </w:rPr>
              <w:t>34.55万人</w:t>
            </w:r>
          </w:p>
        </w:tc>
      </w:tr>
      <w:tr w14:paraId="056C3C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vMerge w:val="continue"/>
            <w:tcBorders>
              <w:left w:val="nil"/>
              <w:bottom w:val="single" w:color="000000" w:sz="12" w:space="0"/>
              <w:right w:val="nil"/>
            </w:tcBorders>
            <w:tcMar>
              <w:top w:w="30" w:type="dxa"/>
              <w:left w:w="60" w:type="dxa"/>
              <w:bottom w:w="30" w:type="dxa"/>
              <w:right w:w="60" w:type="dxa"/>
            </w:tcMar>
            <w:vAlign w:val="center"/>
          </w:tcPr>
          <w:p w14:paraId="7CDFA9DA">
            <w:pPr>
              <w:spacing w:line="240" w:lineRule="auto"/>
              <w:jc w:val="center"/>
            </w:pPr>
          </w:p>
        </w:tc>
        <w:tc>
          <w:tcPr>
            <w:tcW w:w="4300" w:type="dxa"/>
            <w:tcBorders>
              <w:left w:val="nil"/>
              <w:bottom w:val="single" w:color="000000" w:sz="12" w:space="0"/>
              <w:right w:val="nil"/>
            </w:tcBorders>
            <w:tcMar>
              <w:top w:w="30" w:type="dxa"/>
              <w:left w:w="60" w:type="dxa"/>
              <w:bottom w:w="30" w:type="dxa"/>
              <w:right w:w="60" w:type="dxa"/>
            </w:tcMar>
            <w:vAlign w:val="center"/>
          </w:tcPr>
          <w:p w14:paraId="3BC9111B">
            <w:pPr>
              <w:spacing w:line="240" w:lineRule="auto"/>
              <w:jc w:val="left"/>
            </w:pPr>
            <w:r>
              <w:rPr>
                <w:rFonts w:hint="eastAsia"/>
                <w:sz w:val="18"/>
                <w:szCs w:val="18"/>
              </w:rPr>
              <w:t>参与乡村旅游农牧民人均年增收（31万人）</w:t>
            </w:r>
          </w:p>
        </w:tc>
        <w:tc>
          <w:tcPr>
            <w:tcW w:w="2000" w:type="dxa"/>
            <w:tcBorders>
              <w:left w:val="nil"/>
              <w:bottom w:val="single" w:color="000000" w:sz="12" w:space="0"/>
              <w:right w:val="nil"/>
            </w:tcBorders>
            <w:tcMar>
              <w:top w:w="30" w:type="dxa"/>
              <w:left w:w="60" w:type="dxa"/>
              <w:bottom w:w="30" w:type="dxa"/>
              <w:right w:w="60" w:type="dxa"/>
            </w:tcMar>
            <w:vAlign w:val="center"/>
          </w:tcPr>
          <w:p w14:paraId="5436E8A3">
            <w:pPr>
              <w:spacing w:line="240" w:lineRule="auto"/>
              <w:jc w:val="center"/>
            </w:pPr>
            <w:r>
              <w:rPr>
                <w:rFonts w:hint="eastAsia"/>
                <w:sz w:val="18"/>
                <w:szCs w:val="18"/>
              </w:rPr>
              <w:t>近5000元</w:t>
            </w:r>
          </w:p>
        </w:tc>
      </w:tr>
    </w:tbl>
    <w:p w14:paraId="632B845A">
      <w:pPr>
        <w:spacing w:before="30" w:after="140"/>
      </w:pPr>
      <w:r>
        <w:rPr>
          <w:rFonts w:hint="eastAsia"/>
          <w:sz w:val="18"/>
          <w:szCs w:val="18"/>
        </w:rPr>
        <w:t>注：带动效应数据来源于西藏大学图登克珠教授团队测算</w:t>
      </w:r>
      <w:r>
        <w:rPr>
          <w:rFonts w:hint="eastAsia"/>
          <w:sz w:val="18"/>
          <w:szCs w:val="18"/>
          <w:vertAlign w:val="superscript"/>
        </w:rPr>
        <w:t>[22]</w:t>
      </w:r>
      <w:r>
        <w:rPr>
          <w:rFonts w:hint="eastAsia"/>
          <w:sz w:val="18"/>
          <w:szCs w:val="18"/>
        </w:rPr>
        <w:t>；2025年接待人次、旅游总花费和文化产业产值来源于官方发布数据</w:t>
      </w:r>
      <w:r>
        <w:rPr>
          <w:rFonts w:hint="eastAsia"/>
          <w:sz w:val="18"/>
          <w:szCs w:val="18"/>
          <w:vertAlign w:val="superscript"/>
        </w:rPr>
        <w:t>[25]</w:t>
      </w:r>
      <w:r>
        <w:rPr>
          <w:rFonts w:hint="eastAsia"/>
          <w:sz w:val="18"/>
          <w:szCs w:val="18"/>
        </w:rPr>
        <w:t>；“十四五”成效由作者根据历年统计公报测算</w:t>
      </w:r>
      <w:r>
        <w:rPr>
          <w:rFonts w:hint="eastAsia"/>
          <w:sz w:val="18"/>
          <w:szCs w:val="18"/>
          <w:vertAlign w:val="superscript"/>
        </w:rPr>
        <w:t>[23-24]</w:t>
      </w:r>
      <w:r>
        <w:rPr>
          <w:rFonts w:hint="eastAsia"/>
          <w:sz w:val="18"/>
          <w:szCs w:val="18"/>
        </w:rPr>
        <w:t>；人均花费为旅游总花费除以接待人次；其余根据公开资料整理。</w:t>
      </w:r>
    </w:p>
    <w:p w14:paraId="08BBCA2B">
      <w:pPr>
        <w:ind w:firstLine="420"/>
        <w:jc w:val="both"/>
      </w:pPr>
      <w:r>
        <w:rPr>
          <w:rFonts w:hint="eastAsia"/>
          <w:sz w:val="21"/>
          <w:szCs w:val="21"/>
        </w:rPr>
        <w:t>在此基础上，西藏以流量激励为抓手推动文旅品牌传播。2026年6月7日，自治区文化和旅游厅通过“文化西藏”官方渠道对外发布新媒体奖励政策，以市场化、绩效化的财政投放方式撬动短视频平台传播资源。7月4日，“李要得”在抖音发布视频《青春没有售价，从重庆打出租车直达拉萨》，上线约22小时点赞量即突破千万，单条播放量达3.2亿次，点赞率约6.5%。7月5日，西藏自治区文化和旅游厅、财政厅发布公告，确认该作品达到奖励细则中单条原创作品点赞量500万以上并形成现象级热点的最高奖励标准</w:t>
      </w:r>
      <w:r>
        <w:rPr>
          <w:rFonts w:hint="eastAsia"/>
          <w:sz w:val="21"/>
          <w:szCs w:val="21"/>
          <w:vertAlign w:val="superscript"/>
        </w:rPr>
        <w:t>[26]</w:t>
      </w:r>
      <w:r>
        <w:rPr>
          <w:rFonts w:hint="eastAsia"/>
          <w:sz w:val="21"/>
          <w:szCs w:val="21"/>
        </w:rPr>
        <w:t>。7月26日，50万元奖励到账，博主向两位随行司机各支付1万元，其余48万元以网友名义用于公益捐赠</w:t>
      </w:r>
      <w:r>
        <w:rPr>
          <w:rFonts w:hint="eastAsia"/>
          <w:sz w:val="21"/>
          <w:szCs w:val="21"/>
          <w:vertAlign w:val="superscript"/>
        </w:rPr>
        <w:t>[27]</w:t>
      </w:r>
      <w:r>
        <w:rPr>
          <w:rFonts w:hint="eastAsia"/>
          <w:sz w:val="21"/>
          <w:szCs w:val="21"/>
        </w:rPr>
        <w:t>。据某部门监测预警平台对7月4日—8月8日舆情的分析，相关舆论中支持性声音约占60%，集中肯定西藏文旅的契约精神与博主的公益之举，评论区大量网友表示“想去西藏”（见图2）。</w:t>
      </w:r>
    </w:p>
    <w:p w14:paraId="6D30DBF7">
      <w:pPr>
        <w:keepNext/>
        <w:spacing w:before="120" w:after="40"/>
        <w:jc w:val="center"/>
      </w:pPr>
      <w:r>
        <w:drawing>
          <wp:inline distT="0" distB="0" distL="0" distR="0">
            <wp:extent cx="5039995" cy="2271395"/>
            <wp:effectExtent l="0" t="0" r="4445" b="14605"/>
            <wp:docPr id="202" nam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2"/>
                    <pic:cNvPicPr>
                      <a:picLocks noChangeAspect="1"/>
                    </pic:cNvPicPr>
                  </pic:nvPicPr>
                  <pic:blipFill>
                    <a:blip r:embed="rId7"/>
                    <a:stretch>
                      <a:fillRect/>
                    </a:stretch>
                  </pic:blipFill>
                  <pic:spPr>
                    <a:xfrm>
                      <a:off x="0" y="0"/>
                      <a:ext cx="5040000" cy="2271508"/>
                    </a:xfrm>
                    <a:prstGeom prst="rect">
                      <a:avLst/>
                    </a:prstGeom>
                  </pic:spPr>
                </pic:pic>
              </a:graphicData>
            </a:graphic>
          </wp:inline>
        </w:drawing>
      </w:r>
    </w:p>
    <w:p w14:paraId="3596C84E">
      <w:pPr>
        <w:keepNext/>
        <w:spacing w:after="60"/>
        <w:jc w:val="center"/>
      </w:pPr>
      <w:r>
        <w:rPr>
          <w:rFonts w:eastAsia="黑体"/>
          <w:b/>
          <w:bCs/>
          <w:sz w:val="21"/>
          <w:szCs w:val="21"/>
        </w:rPr>
        <w:t>图2　</w:t>
      </w:r>
      <w:r>
        <w:rPr>
          <w:rFonts w:hint="eastAsia" w:eastAsia="黑体"/>
          <w:b/>
          <w:bCs/>
          <w:sz w:val="21"/>
          <w:szCs w:val="21"/>
          <w:lang w:eastAsia="zh-CN"/>
        </w:rPr>
        <w:t>“</w:t>
      </w:r>
      <w:r>
        <w:rPr>
          <w:rFonts w:eastAsia="黑体"/>
          <w:b/>
          <w:bCs/>
          <w:sz w:val="21"/>
          <w:szCs w:val="21"/>
        </w:rPr>
        <w:t>李要得</w:t>
      </w:r>
      <w:r>
        <w:rPr>
          <w:rFonts w:hint="eastAsia" w:eastAsia="黑体"/>
          <w:b/>
          <w:bCs/>
          <w:sz w:val="21"/>
          <w:szCs w:val="21"/>
          <w:lang w:eastAsia="zh-CN"/>
        </w:rPr>
        <w:t>”</w:t>
      </w:r>
      <w:r>
        <w:rPr>
          <w:rFonts w:eastAsia="黑体"/>
          <w:b/>
          <w:bCs/>
          <w:sz w:val="21"/>
          <w:szCs w:val="21"/>
        </w:rPr>
        <w:t>事件传播与政策兑现时间线</w:t>
      </w:r>
    </w:p>
    <w:p w14:paraId="7AB49678">
      <w:pPr>
        <w:spacing w:after="140"/>
        <w:jc w:val="both"/>
      </w:pPr>
      <w:r>
        <w:rPr>
          <w:rFonts w:hint="eastAsia"/>
          <w:sz w:val="18"/>
          <w:szCs w:val="18"/>
        </w:rPr>
        <w:t>注：舆论结构数据来源于某部门监测预警平台对2026年7月4日—8月8日舆情的分析。</w:t>
      </w:r>
    </w:p>
    <w:p w14:paraId="1A440E3C">
      <w:pPr>
        <w:keepNext/>
        <w:spacing w:before="160" w:after="80"/>
      </w:pPr>
      <w:r>
        <w:rPr>
          <w:rFonts w:eastAsia="黑体"/>
          <w:b/>
          <w:bCs/>
          <w:sz w:val="21"/>
          <w:szCs w:val="21"/>
        </w:rPr>
        <w:t>（二）西藏文旅产业发展现存短板</w:t>
      </w:r>
    </w:p>
    <w:p w14:paraId="4AE61AA3">
      <w:pPr>
        <w:ind w:firstLine="420"/>
        <w:jc w:val="both"/>
      </w:pPr>
      <w:r>
        <w:rPr>
          <w:rFonts w:hint="eastAsia"/>
          <w:sz w:val="21"/>
          <w:szCs w:val="21"/>
        </w:rPr>
        <w:t>与此同时，相关舆论中约40%为争议性声音，不少网友质疑以公共财政奖励宣传视频能否真正带动旅游消费。结合实地调研情况看，西藏文旅产业仍存在业态层次偏低、基础设施滞后、经营主体偏弱等深层次问题，难以承接短视频流量爆发带来的市场需求。</w:t>
      </w:r>
    </w:p>
    <w:p w14:paraId="0C890739">
      <w:pPr>
        <w:ind w:firstLine="420"/>
        <w:jc w:val="both"/>
      </w:pPr>
      <w:r>
        <w:rPr>
          <w:rFonts w:hint="eastAsia"/>
          <w:sz w:val="21"/>
          <w:szCs w:val="21"/>
        </w:rPr>
        <w:t>一是产业能级偏低，消费结构单一。西藏全区盘点文旅资源5.8万余处，但开发利用率不足40%，大量优质的边境、乡村和小众文旅资源处于闲置状态。产业空间布局呈现“头部拥挤、边缘闲置”的格局：布达拉宫等头部景区旺季需预约限流，而冈仁波齐等世界级资源年接待量仅约15万人次；全区75%的文旅配套设施集中在拉萨、林芝两市。同时，“门票经济”特征突出，按2025年旅游总花费与接待人次测算，游客人均花费约1155元，其中交通、住宿、门票等刚性支出占比约65%，购物、演艺、文创、体验等弹性增值消费占比不足20%（见图3），产业链纵向延伸不足，深度体验业态匮乏。</w:t>
      </w:r>
    </w:p>
    <w:p w14:paraId="764D7E4B">
      <w:pPr>
        <w:keepNext/>
        <w:spacing w:before="120" w:after="40"/>
        <w:jc w:val="center"/>
      </w:pPr>
      <w:r>
        <w:drawing>
          <wp:inline distT="0" distB="0" distL="0" distR="0">
            <wp:extent cx="5039995" cy="1702435"/>
            <wp:effectExtent l="0" t="0" r="4445" b="4445"/>
            <wp:docPr id="203" nam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3"/>
                    <pic:cNvPicPr>
                      <a:picLocks noChangeAspect="1"/>
                    </pic:cNvPicPr>
                  </pic:nvPicPr>
                  <pic:blipFill>
                    <a:blip r:embed="rId8"/>
                    <a:stretch>
                      <a:fillRect/>
                    </a:stretch>
                  </pic:blipFill>
                  <pic:spPr>
                    <a:xfrm>
                      <a:off x="0" y="0"/>
                      <a:ext cx="5040000" cy="1702600"/>
                    </a:xfrm>
                    <a:prstGeom prst="rect">
                      <a:avLst/>
                    </a:prstGeom>
                  </pic:spPr>
                </pic:pic>
              </a:graphicData>
            </a:graphic>
          </wp:inline>
        </w:drawing>
      </w:r>
    </w:p>
    <w:p w14:paraId="53BD0C2D">
      <w:pPr>
        <w:keepNext/>
        <w:spacing w:after="60"/>
        <w:jc w:val="center"/>
      </w:pPr>
      <w:r>
        <w:rPr>
          <w:rFonts w:eastAsia="黑体"/>
          <w:b/>
          <w:bCs/>
          <w:sz w:val="21"/>
          <w:szCs w:val="21"/>
        </w:rPr>
        <w:t>图3　2025年西藏游客人均花费结构</w:t>
      </w:r>
    </w:p>
    <w:p w14:paraId="3CF858F2">
      <w:pPr>
        <w:spacing w:after="140"/>
        <w:jc w:val="both"/>
      </w:pPr>
      <w:r>
        <w:rPr>
          <w:rFonts w:hint="eastAsia"/>
          <w:sz w:val="18"/>
          <w:szCs w:val="18"/>
        </w:rPr>
        <w:t>注：人均花费为2025年旅游总花费除以接待人次；弹性增值消费占比为“不足20%”，图中按20%示意；“其他”为推算余项。</w:t>
      </w:r>
    </w:p>
    <w:p w14:paraId="42E990DF">
      <w:pPr>
        <w:ind w:firstLine="420"/>
        <w:jc w:val="both"/>
      </w:pPr>
      <w:r>
        <w:rPr>
          <w:rFonts w:hint="eastAsia"/>
          <w:sz w:val="21"/>
          <w:szCs w:val="21"/>
        </w:rPr>
        <w:t>二是基础设施支撑薄弱，游览体验受限。西藏地域辽阔、景点分散，进出藏通道依赖支线机场与青藏铁路，航班密度低、季节性波动大、出行成本高。截至2024年底，全区公路通车总里程达12.49万公里</w:t>
      </w:r>
      <w:r>
        <w:rPr>
          <w:rFonts w:hint="eastAsia"/>
          <w:sz w:val="21"/>
          <w:szCs w:val="21"/>
          <w:vertAlign w:val="superscript"/>
        </w:rPr>
        <w:t>[28]</w:t>
      </w:r>
      <w:r>
        <w:rPr>
          <w:rFonts w:hint="eastAsia"/>
          <w:sz w:val="21"/>
          <w:szCs w:val="21"/>
        </w:rPr>
        <w:t>，但高等级公路仅1196公里，不足总里程的1%</w:t>
      </w:r>
      <w:r>
        <w:rPr>
          <w:rFonts w:hint="eastAsia"/>
          <w:sz w:val="21"/>
          <w:szCs w:val="21"/>
          <w:vertAlign w:val="superscript"/>
        </w:rPr>
        <w:t>[29]</w:t>
      </w:r>
      <w:r>
        <w:rPr>
          <w:rFonts w:hint="eastAsia"/>
          <w:sz w:val="21"/>
          <w:szCs w:val="21"/>
        </w:rPr>
        <w:t>，乡村景点和边境景点通达性较差。A级景区在线预约、智能导览、智慧停车等系统覆盖率不足40%，医疗救援、信息咨询、应急保障等公共服务体系尚不完善，游客在途时间长、有效游览时间短，难以承接大规模流量转化。</w:t>
      </w:r>
    </w:p>
    <w:p w14:paraId="7F5B0D29">
      <w:pPr>
        <w:ind w:firstLine="420"/>
        <w:jc w:val="both"/>
      </w:pPr>
      <w:r>
        <w:rPr>
          <w:rFonts w:hint="eastAsia"/>
          <w:sz w:val="21"/>
          <w:szCs w:val="21"/>
        </w:rPr>
        <w:t>三是经营主体“小散弱”，产业带动能力不足。全区涉旅经营主体中个体工商户占比超过85%，规模以上文旅企业数量极少。西藏旅游股份有限公司作为区内唯一的文旅上市企业，70%以上的收入依赖景区交通与门票业务，文创研发、文旅运营和业态创新能力薄弱。小微文旅主体普遍存在轻资产、缺抵押、财务不规范、现金流季节性波动大等问题，难以承接流量红利并开展规模化经营。</w:t>
      </w:r>
    </w:p>
    <w:p w14:paraId="428EA503">
      <w:pPr>
        <w:keepNext/>
        <w:spacing w:before="160" w:after="80"/>
      </w:pPr>
      <w:r>
        <w:rPr>
          <w:rFonts w:eastAsia="黑体"/>
          <w:b/>
          <w:bCs/>
          <w:sz w:val="21"/>
          <w:szCs w:val="21"/>
        </w:rPr>
        <w:t>（三）西藏文旅财政与金融扶持政策现状</w:t>
      </w:r>
    </w:p>
    <w:p w14:paraId="4C15843E">
      <w:pPr>
        <w:ind w:firstLine="420"/>
        <w:jc w:val="both"/>
      </w:pPr>
      <w:r>
        <w:rPr>
          <w:rFonts w:hint="eastAsia"/>
          <w:sz w:val="21"/>
          <w:szCs w:val="21"/>
        </w:rPr>
        <w:t>目前，西藏已形成以财政奖补为主体、产业基金为杠杆、金融服务为补充的文旅扶持政策体系（见表2）。</w:t>
      </w:r>
    </w:p>
    <w:p w14:paraId="33EA71D2">
      <w:pPr>
        <w:keepNext/>
        <w:spacing w:before="140" w:after="40"/>
        <w:jc w:val="center"/>
      </w:pPr>
      <w:r>
        <w:rPr>
          <w:rFonts w:eastAsia="黑体"/>
          <w:b/>
          <w:bCs/>
          <w:sz w:val="21"/>
          <w:szCs w:val="21"/>
        </w:rPr>
        <w:t>表2　西藏文旅财政金融扶持政策体系概览</w:t>
      </w:r>
    </w:p>
    <w:tbl>
      <w:tblPr>
        <w:tblStyle w:val="15"/>
        <w:tblW w:w="82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00"/>
        <w:gridCol w:w="1800"/>
        <w:gridCol w:w="2700"/>
        <w:gridCol w:w="2600"/>
      </w:tblGrid>
      <w:tr w14:paraId="7DD807E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1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7A90D968">
            <w:pPr>
              <w:spacing w:line="240" w:lineRule="auto"/>
              <w:jc w:val="center"/>
            </w:pPr>
            <w:r>
              <w:rPr>
                <w:rFonts w:hint="eastAsia"/>
                <w:b/>
                <w:bCs/>
                <w:sz w:val="18"/>
                <w:szCs w:val="18"/>
              </w:rPr>
              <w:t>政策体系</w:t>
            </w:r>
          </w:p>
        </w:tc>
        <w:tc>
          <w:tcPr>
            <w:tcW w:w="18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5FB1D4DF">
            <w:pPr>
              <w:spacing w:line="240" w:lineRule="auto"/>
              <w:jc w:val="center"/>
            </w:pPr>
            <w:r>
              <w:rPr>
                <w:rFonts w:hint="eastAsia"/>
                <w:b/>
                <w:bCs/>
                <w:sz w:val="18"/>
                <w:szCs w:val="18"/>
              </w:rPr>
              <w:t>政策工具</w:t>
            </w:r>
          </w:p>
        </w:tc>
        <w:tc>
          <w:tcPr>
            <w:tcW w:w="2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49FE80AB">
            <w:pPr>
              <w:spacing w:line="240" w:lineRule="auto"/>
              <w:jc w:val="center"/>
            </w:pPr>
            <w:r>
              <w:rPr>
                <w:rFonts w:hint="eastAsia"/>
                <w:b/>
                <w:bCs/>
                <w:sz w:val="18"/>
                <w:szCs w:val="18"/>
              </w:rPr>
              <w:t>主要内容</w:t>
            </w:r>
          </w:p>
        </w:tc>
        <w:tc>
          <w:tcPr>
            <w:tcW w:w="26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D1059A8">
            <w:pPr>
              <w:spacing w:line="240" w:lineRule="auto"/>
              <w:jc w:val="center"/>
            </w:pPr>
            <w:r>
              <w:rPr>
                <w:rFonts w:hint="eastAsia"/>
                <w:b/>
                <w:bCs/>
                <w:sz w:val="18"/>
                <w:szCs w:val="18"/>
              </w:rPr>
              <w:t>支持方式与力度</w:t>
            </w:r>
          </w:p>
        </w:tc>
      </w:tr>
      <w:tr w14:paraId="2ECDAF2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restart"/>
            <w:tcBorders>
              <w:left w:val="nil"/>
              <w:right w:val="nil"/>
            </w:tcBorders>
            <w:tcMar>
              <w:top w:w="30" w:type="dxa"/>
              <w:left w:w="60" w:type="dxa"/>
              <w:bottom w:w="30" w:type="dxa"/>
              <w:right w:w="60" w:type="dxa"/>
            </w:tcMar>
            <w:vAlign w:val="center"/>
          </w:tcPr>
          <w:p w14:paraId="4FDA3F0B">
            <w:pPr>
              <w:spacing w:line="240" w:lineRule="auto"/>
              <w:jc w:val="center"/>
            </w:pPr>
            <w:r>
              <w:rPr>
                <w:rFonts w:hint="eastAsia"/>
                <w:sz w:val="18"/>
                <w:szCs w:val="18"/>
              </w:rPr>
              <w:t>财政奖补</w:t>
            </w:r>
          </w:p>
        </w:tc>
        <w:tc>
          <w:tcPr>
            <w:tcW w:w="1800" w:type="dxa"/>
            <w:tcBorders>
              <w:left w:val="nil"/>
              <w:right w:val="nil"/>
            </w:tcBorders>
            <w:tcMar>
              <w:top w:w="30" w:type="dxa"/>
              <w:left w:w="60" w:type="dxa"/>
              <w:bottom w:w="30" w:type="dxa"/>
              <w:right w:w="60" w:type="dxa"/>
            </w:tcMar>
            <w:vAlign w:val="center"/>
          </w:tcPr>
          <w:p w14:paraId="3B6CB84D">
            <w:pPr>
              <w:spacing w:line="240" w:lineRule="auto"/>
              <w:jc w:val="center"/>
            </w:pPr>
            <w:r>
              <w:rPr>
                <w:rFonts w:hint="eastAsia"/>
                <w:sz w:val="18"/>
                <w:szCs w:val="18"/>
              </w:rPr>
              <w:t>新媒体流量奖励</w:t>
            </w:r>
          </w:p>
        </w:tc>
        <w:tc>
          <w:tcPr>
            <w:tcW w:w="2700" w:type="dxa"/>
            <w:tcBorders>
              <w:left w:val="nil"/>
              <w:right w:val="nil"/>
            </w:tcBorders>
            <w:tcMar>
              <w:top w:w="30" w:type="dxa"/>
              <w:left w:w="60" w:type="dxa"/>
              <w:bottom w:w="30" w:type="dxa"/>
              <w:right w:w="60" w:type="dxa"/>
            </w:tcMar>
            <w:vAlign w:val="center"/>
          </w:tcPr>
          <w:p w14:paraId="37B80D0C">
            <w:pPr>
              <w:spacing w:line="240" w:lineRule="auto"/>
              <w:jc w:val="left"/>
            </w:pPr>
            <w:r>
              <w:rPr>
                <w:rFonts w:hint="eastAsia"/>
                <w:sz w:val="18"/>
                <w:szCs w:val="18"/>
              </w:rPr>
              <w:t>按作品点赞量分档奖励，现象级热点作品单独认定</w:t>
            </w:r>
          </w:p>
        </w:tc>
        <w:tc>
          <w:tcPr>
            <w:tcW w:w="2600" w:type="dxa"/>
            <w:tcBorders>
              <w:left w:val="nil"/>
              <w:right w:val="nil"/>
            </w:tcBorders>
            <w:tcMar>
              <w:top w:w="30" w:type="dxa"/>
              <w:left w:w="60" w:type="dxa"/>
              <w:bottom w:w="30" w:type="dxa"/>
              <w:right w:w="60" w:type="dxa"/>
            </w:tcMar>
            <w:vAlign w:val="center"/>
          </w:tcPr>
          <w:p w14:paraId="109DD21D">
            <w:pPr>
              <w:spacing w:line="240" w:lineRule="auto"/>
              <w:jc w:val="center"/>
            </w:pPr>
            <w:r>
              <w:rPr>
                <w:rFonts w:hint="eastAsia"/>
                <w:sz w:val="18"/>
                <w:szCs w:val="18"/>
              </w:rPr>
              <w:t>单条作品最高50万元</w:t>
            </w:r>
          </w:p>
        </w:tc>
      </w:tr>
      <w:tr w14:paraId="690FFBD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5258E8F6">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534C0D41">
            <w:pPr>
              <w:spacing w:line="240" w:lineRule="auto"/>
              <w:jc w:val="center"/>
            </w:pPr>
            <w:r>
              <w:rPr>
                <w:rFonts w:hint="eastAsia"/>
                <w:sz w:val="18"/>
                <w:szCs w:val="18"/>
              </w:rPr>
              <w:t>专项业态奖补</w:t>
            </w:r>
          </w:p>
        </w:tc>
        <w:tc>
          <w:tcPr>
            <w:tcW w:w="2700" w:type="dxa"/>
            <w:tcBorders>
              <w:left w:val="nil"/>
              <w:right w:val="nil"/>
            </w:tcBorders>
            <w:tcMar>
              <w:top w:w="30" w:type="dxa"/>
              <w:left w:w="60" w:type="dxa"/>
              <w:bottom w:w="30" w:type="dxa"/>
              <w:right w:w="60" w:type="dxa"/>
            </w:tcMar>
            <w:vAlign w:val="center"/>
          </w:tcPr>
          <w:p w14:paraId="045C3993">
            <w:pPr>
              <w:spacing w:line="240" w:lineRule="auto"/>
              <w:jc w:val="left"/>
            </w:pPr>
            <w:r>
              <w:rPr>
                <w:rFonts w:hint="eastAsia"/>
                <w:sz w:val="18"/>
                <w:szCs w:val="18"/>
              </w:rPr>
              <w:t>精品线路、夜间经济、乡村旅游等</w:t>
            </w:r>
          </w:p>
        </w:tc>
        <w:tc>
          <w:tcPr>
            <w:tcW w:w="2600" w:type="dxa"/>
            <w:tcBorders>
              <w:left w:val="nil"/>
              <w:right w:val="nil"/>
            </w:tcBorders>
            <w:tcMar>
              <w:top w:w="30" w:type="dxa"/>
              <w:left w:w="60" w:type="dxa"/>
              <w:bottom w:w="30" w:type="dxa"/>
              <w:right w:w="60" w:type="dxa"/>
            </w:tcMar>
            <w:vAlign w:val="center"/>
          </w:tcPr>
          <w:p w14:paraId="6FE4895A">
            <w:pPr>
              <w:spacing w:line="240" w:lineRule="auto"/>
              <w:jc w:val="left"/>
            </w:pPr>
            <w:r>
              <w:rPr>
                <w:rFonts w:hint="eastAsia"/>
                <w:sz w:val="18"/>
                <w:szCs w:val="18"/>
              </w:rPr>
              <w:t>精品线路每县每年最高500万元</w:t>
            </w:r>
          </w:p>
        </w:tc>
      </w:tr>
      <w:tr w14:paraId="628C3FC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6C4937AD">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5D8EB454">
            <w:pPr>
              <w:spacing w:line="240" w:lineRule="auto"/>
              <w:jc w:val="center"/>
            </w:pPr>
            <w:r>
              <w:rPr>
                <w:rFonts w:hint="eastAsia"/>
                <w:sz w:val="18"/>
                <w:szCs w:val="18"/>
              </w:rPr>
              <w:t>消费提振</w:t>
            </w:r>
          </w:p>
        </w:tc>
        <w:tc>
          <w:tcPr>
            <w:tcW w:w="2700" w:type="dxa"/>
            <w:tcBorders>
              <w:left w:val="nil"/>
              <w:right w:val="nil"/>
            </w:tcBorders>
            <w:tcMar>
              <w:top w:w="30" w:type="dxa"/>
              <w:left w:w="60" w:type="dxa"/>
              <w:bottom w:w="30" w:type="dxa"/>
              <w:right w:w="60" w:type="dxa"/>
            </w:tcMar>
            <w:vAlign w:val="center"/>
          </w:tcPr>
          <w:p w14:paraId="28A73337">
            <w:pPr>
              <w:spacing w:line="240" w:lineRule="auto"/>
              <w:jc w:val="center"/>
            </w:pPr>
            <w:r>
              <w:rPr>
                <w:rFonts w:hint="eastAsia"/>
                <w:sz w:val="18"/>
                <w:szCs w:val="18"/>
              </w:rPr>
              <w:t>地（市）文体旅消费券</w:t>
            </w:r>
          </w:p>
        </w:tc>
        <w:tc>
          <w:tcPr>
            <w:tcW w:w="2600" w:type="dxa"/>
            <w:tcBorders>
              <w:left w:val="nil"/>
              <w:right w:val="nil"/>
            </w:tcBorders>
            <w:tcMar>
              <w:top w:w="30" w:type="dxa"/>
              <w:left w:w="60" w:type="dxa"/>
              <w:bottom w:w="30" w:type="dxa"/>
              <w:right w:w="60" w:type="dxa"/>
            </w:tcMar>
            <w:vAlign w:val="center"/>
          </w:tcPr>
          <w:p w14:paraId="3379101A">
            <w:pPr>
              <w:spacing w:line="240" w:lineRule="auto"/>
              <w:jc w:val="center"/>
            </w:pPr>
            <w:r>
              <w:rPr>
                <w:rFonts w:hint="eastAsia"/>
                <w:sz w:val="18"/>
                <w:szCs w:val="18"/>
              </w:rPr>
              <w:t>按不超过50%比例配套</w:t>
            </w:r>
          </w:p>
        </w:tc>
      </w:tr>
      <w:tr w14:paraId="6DABA78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02FCFAA0">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6479FFB4">
            <w:pPr>
              <w:spacing w:line="240" w:lineRule="auto"/>
              <w:jc w:val="center"/>
            </w:pPr>
            <w:r>
              <w:rPr>
                <w:rFonts w:hint="eastAsia"/>
                <w:sz w:val="18"/>
                <w:szCs w:val="18"/>
              </w:rPr>
              <w:t>交通与基础设施</w:t>
            </w:r>
          </w:p>
        </w:tc>
        <w:tc>
          <w:tcPr>
            <w:tcW w:w="2700" w:type="dxa"/>
            <w:tcBorders>
              <w:left w:val="nil"/>
              <w:right w:val="nil"/>
            </w:tcBorders>
            <w:tcMar>
              <w:top w:w="30" w:type="dxa"/>
              <w:left w:w="60" w:type="dxa"/>
              <w:bottom w:w="30" w:type="dxa"/>
              <w:right w:w="60" w:type="dxa"/>
            </w:tcMar>
            <w:vAlign w:val="center"/>
          </w:tcPr>
          <w:p w14:paraId="5795E2EA">
            <w:pPr>
              <w:spacing w:line="240" w:lineRule="auto"/>
              <w:jc w:val="left"/>
            </w:pPr>
            <w:r>
              <w:rPr>
                <w:rFonts w:hint="eastAsia"/>
                <w:sz w:val="18"/>
                <w:szCs w:val="18"/>
              </w:rPr>
              <w:t>旺季进出藏新开航线或加密航班</w:t>
            </w:r>
          </w:p>
        </w:tc>
        <w:tc>
          <w:tcPr>
            <w:tcW w:w="2600" w:type="dxa"/>
            <w:tcBorders>
              <w:left w:val="nil"/>
              <w:right w:val="nil"/>
            </w:tcBorders>
            <w:tcMar>
              <w:top w:w="30" w:type="dxa"/>
              <w:left w:w="60" w:type="dxa"/>
              <w:bottom w:w="30" w:type="dxa"/>
              <w:right w:w="60" w:type="dxa"/>
            </w:tcMar>
            <w:vAlign w:val="center"/>
          </w:tcPr>
          <w:p w14:paraId="2522F75A">
            <w:pPr>
              <w:spacing w:line="240" w:lineRule="auto"/>
              <w:jc w:val="center"/>
            </w:pPr>
            <w:r>
              <w:rPr>
                <w:rFonts w:hint="eastAsia"/>
                <w:sz w:val="18"/>
                <w:szCs w:val="18"/>
              </w:rPr>
              <w:t>每飞行小时最高1.8万元</w:t>
            </w:r>
          </w:p>
        </w:tc>
      </w:tr>
      <w:tr w14:paraId="79938CC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restart"/>
            <w:tcBorders>
              <w:left w:val="nil"/>
              <w:right w:val="nil"/>
            </w:tcBorders>
            <w:tcMar>
              <w:top w:w="30" w:type="dxa"/>
              <w:left w:w="60" w:type="dxa"/>
              <w:bottom w:w="30" w:type="dxa"/>
              <w:right w:w="60" w:type="dxa"/>
            </w:tcMar>
            <w:vAlign w:val="center"/>
          </w:tcPr>
          <w:p w14:paraId="26F21EAC">
            <w:pPr>
              <w:spacing w:line="240" w:lineRule="auto"/>
              <w:jc w:val="center"/>
            </w:pPr>
            <w:r>
              <w:rPr>
                <w:rFonts w:hint="eastAsia"/>
                <w:sz w:val="18"/>
                <w:szCs w:val="18"/>
              </w:rPr>
              <w:t>产业基金</w:t>
            </w:r>
          </w:p>
        </w:tc>
        <w:tc>
          <w:tcPr>
            <w:tcW w:w="1800" w:type="dxa"/>
            <w:tcBorders>
              <w:left w:val="nil"/>
              <w:right w:val="nil"/>
            </w:tcBorders>
            <w:tcMar>
              <w:top w:w="30" w:type="dxa"/>
              <w:left w:w="60" w:type="dxa"/>
              <w:bottom w:w="30" w:type="dxa"/>
              <w:right w:w="60" w:type="dxa"/>
            </w:tcMar>
            <w:vAlign w:val="center"/>
          </w:tcPr>
          <w:p w14:paraId="062B0B50">
            <w:pPr>
              <w:spacing w:line="240" w:lineRule="auto"/>
              <w:jc w:val="center"/>
            </w:pPr>
            <w:r>
              <w:rPr>
                <w:rFonts w:hint="eastAsia"/>
                <w:sz w:val="18"/>
                <w:szCs w:val="18"/>
              </w:rPr>
              <w:t>区级文旅产业发展基金</w:t>
            </w:r>
          </w:p>
        </w:tc>
        <w:tc>
          <w:tcPr>
            <w:tcW w:w="2700" w:type="dxa"/>
            <w:tcBorders>
              <w:left w:val="nil"/>
              <w:right w:val="nil"/>
            </w:tcBorders>
            <w:tcMar>
              <w:top w:w="30" w:type="dxa"/>
              <w:left w:w="60" w:type="dxa"/>
              <w:bottom w:w="30" w:type="dxa"/>
              <w:right w:w="60" w:type="dxa"/>
            </w:tcMar>
            <w:vAlign w:val="center"/>
          </w:tcPr>
          <w:p w14:paraId="3118BAD3">
            <w:pPr>
              <w:spacing w:line="240" w:lineRule="auto"/>
              <w:jc w:val="left"/>
            </w:pPr>
            <w:r>
              <w:rPr>
                <w:rFonts w:hint="eastAsia"/>
                <w:sz w:val="18"/>
                <w:szCs w:val="18"/>
              </w:rPr>
              <w:t>数字文创、文旅新业态、重大项目、龙头企业</w:t>
            </w:r>
          </w:p>
        </w:tc>
        <w:tc>
          <w:tcPr>
            <w:tcW w:w="2600" w:type="dxa"/>
            <w:tcBorders>
              <w:left w:val="nil"/>
              <w:right w:val="nil"/>
            </w:tcBorders>
            <w:tcMar>
              <w:top w:w="30" w:type="dxa"/>
              <w:left w:w="60" w:type="dxa"/>
              <w:bottom w:w="30" w:type="dxa"/>
              <w:right w:w="60" w:type="dxa"/>
            </w:tcMar>
            <w:vAlign w:val="center"/>
          </w:tcPr>
          <w:p w14:paraId="166FDDF0">
            <w:pPr>
              <w:spacing w:line="240" w:lineRule="auto"/>
              <w:jc w:val="center"/>
            </w:pPr>
            <w:r>
              <w:rPr>
                <w:rFonts w:hint="eastAsia"/>
                <w:sz w:val="18"/>
                <w:szCs w:val="18"/>
              </w:rPr>
              <w:t>一期不低于30亿元</w:t>
            </w:r>
          </w:p>
        </w:tc>
      </w:tr>
      <w:tr w14:paraId="72FA195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vMerge w:val="continue"/>
            <w:tcBorders>
              <w:left w:val="nil"/>
              <w:right w:val="nil"/>
            </w:tcBorders>
            <w:tcMar>
              <w:top w:w="30" w:type="dxa"/>
              <w:left w:w="60" w:type="dxa"/>
              <w:bottom w:w="30" w:type="dxa"/>
              <w:right w:w="60" w:type="dxa"/>
            </w:tcMar>
            <w:vAlign w:val="center"/>
          </w:tcPr>
          <w:p w14:paraId="39258A8B">
            <w:pPr>
              <w:spacing w:line="240" w:lineRule="auto"/>
              <w:jc w:val="center"/>
            </w:pPr>
          </w:p>
        </w:tc>
        <w:tc>
          <w:tcPr>
            <w:tcW w:w="1800" w:type="dxa"/>
            <w:tcBorders>
              <w:left w:val="nil"/>
              <w:right w:val="nil"/>
            </w:tcBorders>
            <w:tcMar>
              <w:top w:w="30" w:type="dxa"/>
              <w:left w:w="60" w:type="dxa"/>
              <w:bottom w:w="30" w:type="dxa"/>
              <w:right w:w="60" w:type="dxa"/>
            </w:tcMar>
            <w:vAlign w:val="center"/>
          </w:tcPr>
          <w:p w14:paraId="251AF5D4">
            <w:pPr>
              <w:spacing w:line="240" w:lineRule="auto"/>
              <w:jc w:val="center"/>
            </w:pPr>
            <w:r>
              <w:rPr>
                <w:rFonts w:hint="eastAsia"/>
                <w:sz w:val="18"/>
                <w:szCs w:val="18"/>
              </w:rPr>
              <w:t>拉萨市产业强市投资基金</w:t>
            </w:r>
          </w:p>
        </w:tc>
        <w:tc>
          <w:tcPr>
            <w:tcW w:w="2700" w:type="dxa"/>
            <w:tcBorders>
              <w:left w:val="nil"/>
              <w:right w:val="nil"/>
            </w:tcBorders>
            <w:tcMar>
              <w:top w:w="30" w:type="dxa"/>
              <w:left w:w="60" w:type="dxa"/>
              <w:bottom w:w="30" w:type="dxa"/>
              <w:right w:w="60" w:type="dxa"/>
            </w:tcMar>
            <w:vAlign w:val="center"/>
          </w:tcPr>
          <w:p w14:paraId="102EE12A">
            <w:pPr>
              <w:spacing w:line="240" w:lineRule="auto"/>
              <w:jc w:val="left"/>
            </w:pPr>
            <w:r>
              <w:rPr>
                <w:rFonts w:hint="eastAsia"/>
                <w:sz w:val="18"/>
                <w:szCs w:val="18"/>
              </w:rPr>
              <w:t>母子基金模式，设立文化旅游产业发展子基金</w:t>
            </w:r>
          </w:p>
        </w:tc>
        <w:tc>
          <w:tcPr>
            <w:tcW w:w="2600" w:type="dxa"/>
            <w:tcBorders>
              <w:left w:val="nil"/>
              <w:right w:val="nil"/>
            </w:tcBorders>
            <w:tcMar>
              <w:top w:w="30" w:type="dxa"/>
              <w:left w:w="60" w:type="dxa"/>
              <w:bottom w:w="30" w:type="dxa"/>
              <w:right w:w="60" w:type="dxa"/>
            </w:tcMar>
            <w:vAlign w:val="center"/>
          </w:tcPr>
          <w:p w14:paraId="31273DE3">
            <w:pPr>
              <w:spacing w:line="240" w:lineRule="auto"/>
              <w:jc w:val="center"/>
            </w:pPr>
            <w:r>
              <w:rPr>
                <w:rFonts w:hint="eastAsia"/>
                <w:sz w:val="18"/>
                <w:szCs w:val="18"/>
              </w:rPr>
              <w:t>母基金总规模15亿元</w:t>
            </w:r>
          </w:p>
        </w:tc>
      </w:tr>
      <w:tr w14:paraId="37DA282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bottom w:val="single" w:color="000000" w:sz="12" w:space="0"/>
              <w:right w:val="nil"/>
            </w:tcBorders>
            <w:tcMar>
              <w:top w:w="30" w:type="dxa"/>
              <w:left w:w="60" w:type="dxa"/>
              <w:bottom w:w="30" w:type="dxa"/>
              <w:right w:w="60" w:type="dxa"/>
            </w:tcMar>
            <w:vAlign w:val="center"/>
          </w:tcPr>
          <w:p w14:paraId="7251B6CF">
            <w:pPr>
              <w:spacing w:line="240" w:lineRule="auto"/>
              <w:jc w:val="center"/>
            </w:pPr>
            <w:r>
              <w:rPr>
                <w:rFonts w:hint="eastAsia"/>
                <w:sz w:val="18"/>
                <w:szCs w:val="18"/>
              </w:rPr>
              <w:t>金融支撑</w:t>
            </w:r>
          </w:p>
        </w:tc>
        <w:tc>
          <w:tcPr>
            <w:tcW w:w="1800" w:type="dxa"/>
            <w:tcBorders>
              <w:left w:val="nil"/>
              <w:bottom w:val="single" w:color="000000" w:sz="12" w:space="0"/>
              <w:right w:val="nil"/>
            </w:tcBorders>
            <w:tcMar>
              <w:top w:w="30" w:type="dxa"/>
              <w:left w:w="60" w:type="dxa"/>
              <w:bottom w:w="30" w:type="dxa"/>
              <w:right w:w="60" w:type="dxa"/>
            </w:tcMar>
            <w:vAlign w:val="center"/>
          </w:tcPr>
          <w:p w14:paraId="617B3D5A">
            <w:pPr>
              <w:spacing w:line="240" w:lineRule="auto"/>
              <w:jc w:val="center"/>
            </w:pPr>
            <w:r>
              <w:rPr>
                <w:rFonts w:hint="eastAsia"/>
                <w:sz w:val="18"/>
                <w:szCs w:val="18"/>
              </w:rPr>
              <w:t>招商推介与专项信贷</w:t>
            </w:r>
          </w:p>
        </w:tc>
        <w:tc>
          <w:tcPr>
            <w:tcW w:w="2700" w:type="dxa"/>
            <w:tcBorders>
              <w:left w:val="nil"/>
              <w:bottom w:val="single" w:color="000000" w:sz="12" w:space="0"/>
              <w:right w:val="nil"/>
            </w:tcBorders>
            <w:tcMar>
              <w:top w:w="30" w:type="dxa"/>
              <w:left w:w="60" w:type="dxa"/>
              <w:bottom w:w="30" w:type="dxa"/>
              <w:right w:w="60" w:type="dxa"/>
            </w:tcMar>
            <w:vAlign w:val="center"/>
          </w:tcPr>
          <w:p w14:paraId="34B0A5B6">
            <w:pPr>
              <w:spacing w:line="240" w:lineRule="auto"/>
              <w:jc w:val="left"/>
            </w:pPr>
            <w:r>
              <w:rPr>
                <w:rFonts w:hint="eastAsia"/>
                <w:sz w:val="18"/>
                <w:szCs w:val="18"/>
              </w:rPr>
              <w:t>文旅项目招商推介，推出“文旅贷”等产品</w:t>
            </w:r>
          </w:p>
        </w:tc>
        <w:tc>
          <w:tcPr>
            <w:tcW w:w="2600" w:type="dxa"/>
            <w:tcBorders>
              <w:left w:val="nil"/>
              <w:bottom w:val="single" w:color="000000" w:sz="12" w:space="0"/>
              <w:right w:val="nil"/>
            </w:tcBorders>
            <w:tcMar>
              <w:top w:w="30" w:type="dxa"/>
              <w:left w:w="60" w:type="dxa"/>
              <w:bottom w:w="30" w:type="dxa"/>
              <w:right w:w="60" w:type="dxa"/>
            </w:tcMar>
            <w:vAlign w:val="center"/>
          </w:tcPr>
          <w:p w14:paraId="1BA2BA15">
            <w:pPr>
              <w:spacing w:line="240" w:lineRule="auto"/>
              <w:jc w:val="left"/>
            </w:pPr>
            <w:r>
              <w:rPr>
                <w:rFonts w:hint="eastAsia"/>
                <w:sz w:val="18"/>
                <w:szCs w:val="18"/>
              </w:rPr>
              <w:t>2025年推介项目73个，估算投资91.67亿元</w:t>
            </w:r>
          </w:p>
        </w:tc>
      </w:tr>
    </w:tbl>
    <w:p w14:paraId="326A2C6D">
      <w:pPr>
        <w:spacing w:before="30" w:after="140"/>
      </w:pPr>
      <w:r>
        <w:rPr>
          <w:rFonts w:hint="eastAsia"/>
          <w:sz w:val="18"/>
          <w:szCs w:val="18"/>
        </w:rPr>
        <w:t>注：根据“12条措施”</w:t>
      </w:r>
      <w:r>
        <w:rPr>
          <w:rFonts w:hint="eastAsia"/>
          <w:sz w:val="18"/>
          <w:szCs w:val="18"/>
          <w:vertAlign w:val="superscript"/>
        </w:rPr>
        <w:t>[4]</w:t>
      </w:r>
      <w:r>
        <w:rPr>
          <w:rFonts w:hint="eastAsia"/>
          <w:sz w:val="18"/>
          <w:szCs w:val="18"/>
        </w:rPr>
        <w:t>、“18项细则”及公开资料整理。</w:t>
      </w:r>
    </w:p>
    <w:p w14:paraId="43CD6B32">
      <w:pPr>
        <w:ind w:firstLine="420"/>
        <w:jc w:val="both"/>
      </w:pPr>
      <w:r>
        <w:rPr>
          <w:rFonts w:hint="eastAsia"/>
          <w:sz w:val="21"/>
          <w:szCs w:val="21"/>
        </w:rPr>
        <w:t>第一，文旅财政奖补政策。“12条措施”覆盖产业培育、品牌建设、基础设施、宣传推广、消费提振、乡村文旅等领域</w:t>
      </w:r>
      <w:r>
        <w:rPr>
          <w:rFonts w:hint="eastAsia"/>
          <w:sz w:val="21"/>
          <w:szCs w:val="21"/>
          <w:vertAlign w:val="superscript"/>
        </w:rPr>
        <w:t>[4]</w:t>
      </w:r>
      <w:r>
        <w:rPr>
          <w:rFonts w:hint="eastAsia"/>
          <w:sz w:val="21"/>
          <w:szCs w:val="21"/>
        </w:rPr>
        <w:t>；奖励细则以作品点赞量为核心评价指标设置阶梯式奖励，单条现象级热点作品最高可获50万元奖励</w:t>
      </w:r>
      <w:r>
        <w:rPr>
          <w:rFonts w:hint="eastAsia"/>
          <w:sz w:val="21"/>
          <w:szCs w:val="21"/>
          <w:vertAlign w:val="superscript"/>
        </w:rPr>
        <w:t>[5]</w:t>
      </w:r>
      <w:r>
        <w:rPr>
          <w:rFonts w:hint="eastAsia"/>
          <w:sz w:val="21"/>
          <w:szCs w:val="21"/>
        </w:rPr>
        <w:t>。同时，“12条措施”对新认定精品旅游线路给予沿线每县每年最高500万元、连补3年的配套基础设施补助，对成功打造夜间文化和旅游消费集聚区的市县给予50万元一次性奖励，对地（市）发放的文体旅消费券按不超过50%的比例予以配套，对旅游旺季进出藏新开航线或加密航班给予每飞行小时最高1.8万元补贴</w:t>
      </w:r>
      <w:r>
        <w:rPr>
          <w:rFonts w:hint="eastAsia"/>
          <w:sz w:val="21"/>
          <w:szCs w:val="21"/>
          <w:vertAlign w:val="superscript"/>
        </w:rPr>
        <w:t>[4]</w:t>
      </w:r>
      <w:r>
        <w:rPr>
          <w:rFonts w:hint="eastAsia"/>
          <w:sz w:val="21"/>
          <w:szCs w:val="21"/>
        </w:rPr>
        <w:t>，形成“基础扶持+流量激励+增量奖励”的财政扶持模式。</w:t>
      </w:r>
    </w:p>
    <w:p w14:paraId="238A8853">
      <w:pPr>
        <w:ind w:firstLine="420"/>
        <w:jc w:val="both"/>
      </w:pPr>
      <w:r>
        <w:rPr>
          <w:rFonts w:hint="eastAsia"/>
          <w:sz w:val="21"/>
          <w:szCs w:val="21"/>
        </w:rPr>
        <w:t>第二，文旅产业基金。2025年，西藏设立一期规模不低于30亿元的区级文旅产业发展基金</w:t>
      </w:r>
      <w:r>
        <w:rPr>
          <w:rFonts w:hint="eastAsia"/>
          <w:sz w:val="21"/>
          <w:szCs w:val="21"/>
          <w:vertAlign w:val="superscript"/>
        </w:rPr>
        <w:t>[4]</w:t>
      </w:r>
      <w:r>
        <w:rPr>
          <w:rFonts w:hint="eastAsia"/>
          <w:sz w:val="21"/>
          <w:szCs w:val="21"/>
        </w:rPr>
        <w:t>，重点支持数字文创、文旅新业态、重大文旅项目和龙头企业培育；拉萨市设立总规模15亿元的产业强市投资基金</w:t>
      </w:r>
      <w:r>
        <w:rPr>
          <w:rFonts w:hint="eastAsia"/>
          <w:sz w:val="21"/>
          <w:szCs w:val="21"/>
          <w:vertAlign w:val="superscript"/>
        </w:rPr>
        <w:t>[30]</w:t>
      </w:r>
      <w:r>
        <w:rPr>
          <w:rFonts w:hint="eastAsia"/>
          <w:sz w:val="21"/>
          <w:szCs w:val="21"/>
        </w:rPr>
        <w:t>，并设立西藏文化旅游创意园区文化旅游产业发展基金子基金</w:t>
      </w:r>
      <w:r>
        <w:rPr>
          <w:rFonts w:hint="eastAsia"/>
          <w:sz w:val="21"/>
          <w:szCs w:val="21"/>
          <w:vertAlign w:val="superscript"/>
        </w:rPr>
        <w:t>[31]</w:t>
      </w:r>
      <w:r>
        <w:rPr>
          <w:rFonts w:hint="eastAsia"/>
          <w:sz w:val="21"/>
          <w:szCs w:val="21"/>
        </w:rPr>
        <w:t>。目前，基金已储备白鲸文旅、三鸟短剧、天堂草原开发等项目。</w:t>
      </w:r>
    </w:p>
    <w:p w14:paraId="233ABF28">
      <w:pPr>
        <w:ind w:firstLine="420"/>
        <w:jc w:val="both"/>
      </w:pPr>
      <w:r>
        <w:rPr>
          <w:rFonts w:hint="eastAsia"/>
          <w:sz w:val="21"/>
          <w:szCs w:val="21"/>
        </w:rPr>
        <w:t>第三，文旅金融支撑。2025年，西藏在北京举办文旅招商推介会，推介文旅项目73个、估算投资91.67亿元</w:t>
      </w:r>
      <w:r>
        <w:rPr>
          <w:rFonts w:hint="eastAsia"/>
          <w:sz w:val="21"/>
          <w:szCs w:val="21"/>
          <w:vertAlign w:val="superscript"/>
        </w:rPr>
        <w:t>[32]</w:t>
      </w:r>
      <w:r>
        <w:rPr>
          <w:rFonts w:hint="eastAsia"/>
          <w:sz w:val="21"/>
          <w:szCs w:val="21"/>
        </w:rPr>
        <w:t>。金融机构方面，农业银行拉萨分行推出“文旅贷”产品，发放了全区农行首笔“文旅贷”200万元</w:t>
      </w:r>
      <w:r>
        <w:rPr>
          <w:rFonts w:hint="eastAsia"/>
          <w:sz w:val="21"/>
          <w:szCs w:val="21"/>
          <w:vertAlign w:val="superscript"/>
        </w:rPr>
        <w:t>[33]</w:t>
      </w:r>
      <w:r>
        <w:rPr>
          <w:rFonts w:hint="eastAsia"/>
          <w:sz w:val="21"/>
          <w:szCs w:val="21"/>
        </w:rPr>
        <w:t>。但文旅金融渗透率总体偏低，截至2025年末，农业银行、工商银行、兴业银行区内文旅贷款占比分别仅为0.64%、0.02%和1.08%（见图4），专项金融产品稀缺、担保体系不完善、风险分担机制缺失。</w:t>
      </w:r>
    </w:p>
    <w:p w14:paraId="782EF100">
      <w:pPr>
        <w:keepNext/>
        <w:spacing w:before="120" w:after="40"/>
        <w:jc w:val="center"/>
      </w:pPr>
      <w:r>
        <w:drawing>
          <wp:inline distT="0" distB="0" distL="0" distR="0">
            <wp:extent cx="3959860" cy="1945640"/>
            <wp:effectExtent l="0" t="0" r="2540" b="5080"/>
            <wp:docPr id="204" name="图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4"/>
                    <pic:cNvPicPr>
                      <a:picLocks noChangeAspect="1"/>
                    </pic:cNvPicPr>
                  </pic:nvPicPr>
                  <pic:blipFill>
                    <a:blip r:embed="rId9"/>
                    <a:stretch>
                      <a:fillRect/>
                    </a:stretch>
                  </pic:blipFill>
                  <pic:spPr>
                    <a:xfrm>
                      <a:off x="0" y="0"/>
                      <a:ext cx="3960000" cy="1946232"/>
                    </a:xfrm>
                    <a:prstGeom prst="rect">
                      <a:avLst/>
                    </a:prstGeom>
                  </pic:spPr>
                </pic:pic>
              </a:graphicData>
            </a:graphic>
          </wp:inline>
        </w:drawing>
      </w:r>
    </w:p>
    <w:p w14:paraId="419E5105">
      <w:pPr>
        <w:keepNext/>
        <w:spacing w:after="60"/>
        <w:jc w:val="center"/>
      </w:pPr>
      <w:r>
        <w:rPr>
          <w:rFonts w:eastAsia="黑体"/>
          <w:b/>
          <w:bCs/>
          <w:sz w:val="21"/>
          <w:szCs w:val="21"/>
        </w:rPr>
        <w:t>图4　截至2025年末区内部分银行文旅贷款占比</w:t>
      </w:r>
    </w:p>
    <w:p w14:paraId="7C58C181">
      <w:pPr>
        <w:spacing w:after="140"/>
        <w:jc w:val="both"/>
      </w:pPr>
      <w:r>
        <w:rPr>
          <w:rFonts w:hint="eastAsia"/>
          <w:sz w:val="18"/>
          <w:szCs w:val="18"/>
        </w:rPr>
        <w:t>注：根据相关金融机构数据整理。</w:t>
      </w:r>
    </w:p>
    <w:p w14:paraId="7CB0C0A3">
      <w:pPr>
        <w:keepNext/>
        <w:spacing w:before="260" w:after="120"/>
      </w:pPr>
      <w:r>
        <w:rPr>
          <w:rFonts w:eastAsia="黑体"/>
          <w:b/>
          <w:bCs/>
          <w:sz w:val="28"/>
          <w:szCs w:val="28"/>
        </w:rPr>
        <w:t>四、短视频流量激励下西藏文旅财政奖补政策的现实困境</w:t>
      </w:r>
    </w:p>
    <w:p w14:paraId="37226EDD">
      <w:pPr>
        <w:ind w:firstLine="420"/>
        <w:jc w:val="both"/>
      </w:pPr>
      <w:r>
        <w:rPr>
          <w:rFonts w:hint="eastAsia"/>
          <w:sz w:val="21"/>
          <w:szCs w:val="21"/>
        </w:rPr>
        <w:t>从“线上传播”到“线下实效”，短视频流量需依次经过热点触发、客流导入、线路承接、消费落地、富民增收等环节。对照这一转化链条，现行政策在评价、培育、协同、基金、金融和监管等环节均存在不同程度的堵点（见图5）。</w:t>
      </w:r>
    </w:p>
    <w:p w14:paraId="10E6647F">
      <w:pPr>
        <w:keepNext/>
        <w:spacing w:before="120" w:after="40"/>
        <w:jc w:val="center"/>
      </w:pPr>
      <w:r>
        <w:drawing>
          <wp:inline distT="0" distB="0" distL="0" distR="0">
            <wp:extent cx="5039995" cy="2835910"/>
            <wp:effectExtent l="0" t="0" r="4445" b="13970"/>
            <wp:docPr id="205" name="图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5"/>
                    <pic:cNvPicPr>
                      <a:picLocks noChangeAspect="1"/>
                    </pic:cNvPicPr>
                  </pic:nvPicPr>
                  <pic:blipFill>
                    <a:blip r:embed="rId10"/>
                    <a:stretch>
                      <a:fillRect/>
                    </a:stretch>
                  </pic:blipFill>
                  <pic:spPr>
                    <a:xfrm>
                      <a:off x="0" y="0"/>
                      <a:ext cx="5040000" cy="2836412"/>
                    </a:xfrm>
                    <a:prstGeom prst="rect">
                      <a:avLst/>
                    </a:prstGeom>
                  </pic:spPr>
                </pic:pic>
              </a:graphicData>
            </a:graphic>
          </wp:inline>
        </w:drawing>
      </w:r>
    </w:p>
    <w:p w14:paraId="385D142C">
      <w:pPr>
        <w:keepNext/>
        <w:spacing w:after="60"/>
        <w:jc w:val="center"/>
      </w:pPr>
      <w:r>
        <w:rPr>
          <w:rFonts w:eastAsia="黑体"/>
          <w:b/>
          <w:bCs/>
          <w:sz w:val="21"/>
          <w:szCs w:val="21"/>
        </w:rPr>
        <w:t>图5　短视频流量转化链条及政策堵点</w:t>
      </w:r>
    </w:p>
    <w:p w14:paraId="42A80277">
      <w:pPr>
        <w:spacing w:after="140"/>
        <w:jc w:val="both"/>
      </w:pPr>
      <w:r>
        <w:rPr>
          <w:rFonts w:hint="eastAsia"/>
          <w:sz w:val="18"/>
          <w:szCs w:val="18"/>
        </w:rPr>
        <w:t>注：图中编号与本部分（一）至（六）对应。</w:t>
      </w:r>
    </w:p>
    <w:p w14:paraId="2DE7F0A9">
      <w:pPr>
        <w:keepNext/>
        <w:spacing w:before="160" w:after="80"/>
      </w:pPr>
      <w:r>
        <w:rPr>
          <w:rFonts w:eastAsia="黑体"/>
          <w:b/>
          <w:bCs/>
          <w:sz w:val="21"/>
          <w:szCs w:val="21"/>
        </w:rPr>
        <w:t>（一）流量评价维度单一，热度与实效脱节</w:t>
      </w:r>
    </w:p>
    <w:p w14:paraId="360FAA12">
      <w:pPr>
        <w:ind w:firstLine="420"/>
        <w:jc w:val="both"/>
      </w:pPr>
      <w:r>
        <w:rPr>
          <w:rFonts w:hint="eastAsia"/>
          <w:sz w:val="21"/>
          <w:szCs w:val="21"/>
        </w:rPr>
        <w:t>奖励细则以短视频点赞量作为核心计奖依据，设置四档阶梯奖励（见表3），仅考核线上传播热度，未建立线下产业转化、消费带动、富民增收的评价与核验机制，形成“重传播、轻落地，重热度、轻实效”的制度短板。爆款短视频可在短时间内收获海量点赞、播放与转发，但对游客到访量、线路预订量、线下消费额和产业增量的带动作用有限。同时，最高档奖励中的“现象级热点”仅作定性描述，缺乏游客引流、消费增量、就业带动、品牌增值等可量化的落地指标，高额财政奖励的产业拉动效果难以评估，资金投入与产业产出不匹配。</w:t>
      </w:r>
    </w:p>
    <w:p w14:paraId="3DF8ACF5">
      <w:pPr>
        <w:keepNext/>
        <w:spacing w:before="140" w:after="40"/>
        <w:jc w:val="center"/>
      </w:pPr>
      <w:r>
        <w:rPr>
          <w:rFonts w:eastAsia="黑体"/>
          <w:b/>
          <w:bCs/>
          <w:sz w:val="21"/>
          <w:szCs w:val="21"/>
        </w:rPr>
        <w:t>表3　西藏新媒体平台文旅宣传作品奖励标准</w:t>
      </w:r>
    </w:p>
    <w:tbl>
      <w:tblPr>
        <w:tblStyle w:val="15"/>
        <w:tblW w:w="65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800"/>
        <w:gridCol w:w="4000"/>
        <w:gridCol w:w="1700"/>
      </w:tblGrid>
      <w:tr w14:paraId="614EB6A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8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4A7FFBF4">
            <w:pPr>
              <w:spacing w:line="240" w:lineRule="auto"/>
              <w:jc w:val="center"/>
            </w:pPr>
            <w:r>
              <w:rPr>
                <w:rFonts w:hint="eastAsia"/>
                <w:b/>
                <w:bCs/>
                <w:sz w:val="18"/>
                <w:szCs w:val="18"/>
              </w:rPr>
              <w:t>档次</w:t>
            </w:r>
          </w:p>
        </w:tc>
        <w:tc>
          <w:tcPr>
            <w:tcW w:w="40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5FE3F68">
            <w:pPr>
              <w:spacing w:line="240" w:lineRule="auto"/>
              <w:jc w:val="center"/>
            </w:pPr>
            <w:r>
              <w:rPr>
                <w:rFonts w:hint="eastAsia"/>
                <w:b/>
                <w:bCs/>
                <w:sz w:val="18"/>
                <w:szCs w:val="18"/>
              </w:rPr>
              <w:t>认定条件</w:t>
            </w:r>
          </w:p>
        </w:tc>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5F0942DD">
            <w:pPr>
              <w:spacing w:line="240" w:lineRule="auto"/>
              <w:jc w:val="center"/>
            </w:pPr>
            <w:r>
              <w:rPr>
                <w:rFonts w:hint="eastAsia"/>
                <w:b/>
                <w:bCs/>
                <w:sz w:val="18"/>
                <w:szCs w:val="18"/>
              </w:rPr>
              <w:t>奖励金额</w:t>
            </w:r>
          </w:p>
        </w:tc>
      </w:tr>
      <w:tr w14:paraId="66C8F8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14:paraId="197CED3D">
            <w:pPr>
              <w:spacing w:line="240" w:lineRule="auto"/>
              <w:jc w:val="center"/>
            </w:pPr>
            <w:r>
              <w:rPr>
                <w:rFonts w:hint="eastAsia"/>
                <w:sz w:val="18"/>
                <w:szCs w:val="18"/>
              </w:rPr>
              <w:t>第一档</w:t>
            </w:r>
          </w:p>
        </w:tc>
        <w:tc>
          <w:tcPr>
            <w:tcW w:w="4000" w:type="dxa"/>
            <w:tcBorders>
              <w:left w:val="nil"/>
              <w:right w:val="nil"/>
            </w:tcBorders>
            <w:tcMar>
              <w:top w:w="30" w:type="dxa"/>
              <w:left w:w="60" w:type="dxa"/>
              <w:bottom w:w="30" w:type="dxa"/>
              <w:right w:w="60" w:type="dxa"/>
            </w:tcMar>
            <w:vAlign w:val="center"/>
          </w:tcPr>
          <w:p w14:paraId="5B686170">
            <w:pPr>
              <w:spacing w:line="240" w:lineRule="auto"/>
              <w:jc w:val="left"/>
            </w:pPr>
            <w:r>
              <w:rPr>
                <w:rFonts w:hint="eastAsia"/>
                <w:sz w:val="18"/>
                <w:szCs w:val="18"/>
              </w:rPr>
              <w:t>单条原创作品点赞量达到30万及以上</w:t>
            </w:r>
          </w:p>
        </w:tc>
        <w:tc>
          <w:tcPr>
            <w:tcW w:w="1700" w:type="dxa"/>
            <w:tcBorders>
              <w:left w:val="nil"/>
              <w:right w:val="nil"/>
            </w:tcBorders>
            <w:tcMar>
              <w:top w:w="30" w:type="dxa"/>
              <w:left w:w="60" w:type="dxa"/>
              <w:bottom w:w="30" w:type="dxa"/>
              <w:right w:w="60" w:type="dxa"/>
            </w:tcMar>
            <w:vAlign w:val="center"/>
          </w:tcPr>
          <w:p w14:paraId="114F78A3">
            <w:pPr>
              <w:spacing w:line="240" w:lineRule="auto"/>
              <w:jc w:val="center"/>
            </w:pPr>
            <w:r>
              <w:rPr>
                <w:rFonts w:hint="eastAsia"/>
                <w:sz w:val="18"/>
                <w:szCs w:val="18"/>
              </w:rPr>
              <w:t>1万元</w:t>
            </w:r>
          </w:p>
        </w:tc>
      </w:tr>
      <w:tr w14:paraId="0EBB35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14:paraId="0B49259A">
            <w:pPr>
              <w:spacing w:line="240" w:lineRule="auto"/>
              <w:jc w:val="center"/>
            </w:pPr>
            <w:r>
              <w:rPr>
                <w:rFonts w:hint="eastAsia"/>
                <w:sz w:val="18"/>
                <w:szCs w:val="18"/>
              </w:rPr>
              <w:t>第二档</w:t>
            </w:r>
          </w:p>
        </w:tc>
        <w:tc>
          <w:tcPr>
            <w:tcW w:w="4000" w:type="dxa"/>
            <w:tcBorders>
              <w:left w:val="nil"/>
              <w:right w:val="nil"/>
            </w:tcBorders>
            <w:tcMar>
              <w:top w:w="30" w:type="dxa"/>
              <w:left w:w="60" w:type="dxa"/>
              <w:bottom w:w="30" w:type="dxa"/>
              <w:right w:w="60" w:type="dxa"/>
            </w:tcMar>
            <w:vAlign w:val="center"/>
          </w:tcPr>
          <w:p w14:paraId="42F21EC5">
            <w:pPr>
              <w:spacing w:line="240" w:lineRule="auto"/>
              <w:jc w:val="left"/>
            </w:pPr>
            <w:r>
              <w:rPr>
                <w:rFonts w:hint="eastAsia"/>
                <w:sz w:val="18"/>
                <w:szCs w:val="18"/>
              </w:rPr>
              <w:t>单条原创作品点赞量达到50万及以上</w:t>
            </w:r>
          </w:p>
        </w:tc>
        <w:tc>
          <w:tcPr>
            <w:tcW w:w="1700" w:type="dxa"/>
            <w:tcBorders>
              <w:left w:val="nil"/>
              <w:right w:val="nil"/>
            </w:tcBorders>
            <w:tcMar>
              <w:top w:w="30" w:type="dxa"/>
              <w:left w:w="60" w:type="dxa"/>
              <w:bottom w:w="30" w:type="dxa"/>
              <w:right w:w="60" w:type="dxa"/>
            </w:tcMar>
            <w:vAlign w:val="center"/>
          </w:tcPr>
          <w:p w14:paraId="43D0C3ED">
            <w:pPr>
              <w:spacing w:line="240" w:lineRule="auto"/>
              <w:jc w:val="center"/>
            </w:pPr>
            <w:r>
              <w:rPr>
                <w:rFonts w:hint="eastAsia"/>
                <w:sz w:val="18"/>
                <w:szCs w:val="18"/>
              </w:rPr>
              <w:t>2万元</w:t>
            </w:r>
          </w:p>
        </w:tc>
      </w:tr>
      <w:tr w14:paraId="3FBCB4D2">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right w:val="nil"/>
            </w:tcBorders>
            <w:tcMar>
              <w:top w:w="30" w:type="dxa"/>
              <w:left w:w="60" w:type="dxa"/>
              <w:bottom w:w="30" w:type="dxa"/>
              <w:right w:w="60" w:type="dxa"/>
            </w:tcMar>
            <w:vAlign w:val="center"/>
          </w:tcPr>
          <w:p w14:paraId="36E436DB">
            <w:pPr>
              <w:spacing w:line="240" w:lineRule="auto"/>
              <w:jc w:val="center"/>
            </w:pPr>
            <w:r>
              <w:rPr>
                <w:rFonts w:hint="eastAsia"/>
                <w:sz w:val="18"/>
                <w:szCs w:val="18"/>
              </w:rPr>
              <w:t>第三档</w:t>
            </w:r>
          </w:p>
        </w:tc>
        <w:tc>
          <w:tcPr>
            <w:tcW w:w="4000" w:type="dxa"/>
            <w:tcBorders>
              <w:left w:val="nil"/>
              <w:right w:val="nil"/>
            </w:tcBorders>
            <w:tcMar>
              <w:top w:w="30" w:type="dxa"/>
              <w:left w:w="60" w:type="dxa"/>
              <w:bottom w:w="30" w:type="dxa"/>
              <w:right w:w="60" w:type="dxa"/>
            </w:tcMar>
            <w:vAlign w:val="center"/>
          </w:tcPr>
          <w:p w14:paraId="49830641">
            <w:pPr>
              <w:spacing w:line="240" w:lineRule="auto"/>
              <w:jc w:val="left"/>
            </w:pPr>
            <w:r>
              <w:rPr>
                <w:rFonts w:hint="eastAsia"/>
                <w:sz w:val="18"/>
                <w:szCs w:val="18"/>
              </w:rPr>
              <w:t>单条原创作品点赞量达到100万及以上</w:t>
            </w:r>
          </w:p>
        </w:tc>
        <w:tc>
          <w:tcPr>
            <w:tcW w:w="1700" w:type="dxa"/>
            <w:tcBorders>
              <w:left w:val="nil"/>
              <w:right w:val="nil"/>
            </w:tcBorders>
            <w:tcMar>
              <w:top w:w="30" w:type="dxa"/>
              <w:left w:w="60" w:type="dxa"/>
              <w:bottom w:w="30" w:type="dxa"/>
              <w:right w:w="60" w:type="dxa"/>
            </w:tcMar>
            <w:vAlign w:val="center"/>
          </w:tcPr>
          <w:p w14:paraId="6B947CD2">
            <w:pPr>
              <w:spacing w:line="240" w:lineRule="auto"/>
              <w:jc w:val="center"/>
            </w:pPr>
            <w:r>
              <w:rPr>
                <w:rFonts w:hint="eastAsia"/>
                <w:sz w:val="18"/>
                <w:szCs w:val="18"/>
              </w:rPr>
              <w:t>3万元</w:t>
            </w:r>
          </w:p>
        </w:tc>
      </w:tr>
      <w:tr w14:paraId="119F720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800" w:type="dxa"/>
            <w:tcBorders>
              <w:left w:val="nil"/>
              <w:bottom w:val="single" w:color="000000" w:sz="12" w:space="0"/>
              <w:right w:val="nil"/>
            </w:tcBorders>
            <w:tcMar>
              <w:top w:w="30" w:type="dxa"/>
              <w:left w:w="60" w:type="dxa"/>
              <w:bottom w:w="30" w:type="dxa"/>
              <w:right w:w="60" w:type="dxa"/>
            </w:tcMar>
            <w:vAlign w:val="center"/>
          </w:tcPr>
          <w:p w14:paraId="735D8305">
            <w:pPr>
              <w:spacing w:line="240" w:lineRule="auto"/>
              <w:jc w:val="center"/>
            </w:pPr>
            <w:r>
              <w:rPr>
                <w:rFonts w:hint="eastAsia"/>
                <w:sz w:val="18"/>
                <w:szCs w:val="18"/>
              </w:rPr>
              <w:t>第四档</w:t>
            </w:r>
          </w:p>
        </w:tc>
        <w:tc>
          <w:tcPr>
            <w:tcW w:w="4000" w:type="dxa"/>
            <w:tcBorders>
              <w:left w:val="nil"/>
              <w:bottom w:val="single" w:color="000000" w:sz="12" w:space="0"/>
              <w:right w:val="nil"/>
            </w:tcBorders>
            <w:tcMar>
              <w:top w:w="30" w:type="dxa"/>
              <w:left w:w="60" w:type="dxa"/>
              <w:bottom w:w="30" w:type="dxa"/>
              <w:right w:w="60" w:type="dxa"/>
            </w:tcMar>
            <w:vAlign w:val="center"/>
          </w:tcPr>
          <w:p w14:paraId="76ABE4E0">
            <w:pPr>
              <w:spacing w:line="240" w:lineRule="auto"/>
              <w:jc w:val="left"/>
            </w:pPr>
            <w:r>
              <w:rPr>
                <w:rFonts w:hint="eastAsia"/>
                <w:sz w:val="18"/>
                <w:szCs w:val="18"/>
              </w:rPr>
              <w:t>单条原创作品点赞量达到500万及以上，并形成现象级热点</w:t>
            </w:r>
          </w:p>
        </w:tc>
        <w:tc>
          <w:tcPr>
            <w:tcW w:w="1700" w:type="dxa"/>
            <w:tcBorders>
              <w:left w:val="nil"/>
              <w:bottom w:val="single" w:color="000000" w:sz="12" w:space="0"/>
              <w:right w:val="nil"/>
            </w:tcBorders>
            <w:tcMar>
              <w:top w:w="30" w:type="dxa"/>
              <w:left w:w="60" w:type="dxa"/>
              <w:bottom w:w="30" w:type="dxa"/>
              <w:right w:w="60" w:type="dxa"/>
            </w:tcMar>
            <w:vAlign w:val="center"/>
          </w:tcPr>
          <w:p w14:paraId="1FAAFC9B">
            <w:pPr>
              <w:spacing w:line="240" w:lineRule="auto"/>
              <w:jc w:val="center"/>
            </w:pPr>
            <w:r>
              <w:rPr>
                <w:rFonts w:hint="eastAsia"/>
                <w:sz w:val="18"/>
                <w:szCs w:val="18"/>
              </w:rPr>
              <w:t>50万元</w:t>
            </w:r>
          </w:p>
        </w:tc>
      </w:tr>
    </w:tbl>
    <w:p w14:paraId="695A5B08">
      <w:pPr>
        <w:spacing w:before="30" w:after="140"/>
      </w:pPr>
      <w:r>
        <w:rPr>
          <w:rFonts w:hint="eastAsia"/>
          <w:sz w:val="18"/>
          <w:szCs w:val="18"/>
        </w:rPr>
        <w:t>注：根据奖励细则及相关公告整理</w:t>
      </w:r>
      <w:r>
        <w:rPr>
          <w:rFonts w:hint="eastAsia"/>
          <w:sz w:val="18"/>
          <w:szCs w:val="18"/>
          <w:vertAlign w:val="superscript"/>
        </w:rPr>
        <w:t>[5,26]</w:t>
      </w:r>
      <w:r>
        <w:rPr>
          <w:rFonts w:hint="eastAsia"/>
          <w:sz w:val="18"/>
          <w:szCs w:val="18"/>
        </w:rPr>
        <w:t>。</w:t>
      </w:r>
    </w:p>
    <w:p w14:paraId="109BFE77">
      <w:pPr>
        <w:keepNext/>
        <w:spacing w:before="160" w:after="80"/>
      </w:pPr>
      <w:r>
        <w:rPr>
          <w:rFonts w:eastAsia="黑体"/>
          <w:b/>
          <w:bCs/>
          <w:sz w:val="21"/>
          <w:szCs w:val="21"/>
        </w:rPr>
        <w:t>（二）重事后奖励轻事前培育，内生流量与承接载体不足</w:t>
      </w:r>
    </w:p>
    <w:p w14:paraId="2EA6EBE9">
      <w:pPr>
        <w:ind w:firstLine="420"/>
        <w:jc w:val="both"/>
      </w:pPr>
      <w:r>
        <w:rPr>
          <w:rFonts w:hint="eastAsia"/>
          <w:sz w:val="21"/>
          <w:szCs w:val="21"/>
        </w:rPr>
        <w:t>现行流量奖补以事后绩效兑付为核心，侧重奖励传播结果，缺乏对本土文旅业态、本土创作主体和文旅叙事体系的事前培育。一是线下承接载体短缺。西藏文旅资源点多面广、分布分散，受地理和气候条件制约，游客深度体验的成本高、难度大；现有产品以传统观光为主，沉浸式、体验式业态稀缺，难以匹配短视频流量催生的年轻化、个性化需求。二是文旅叙事体系迭代滞后。青年游客已形成“硬座直达拉萨”“此生必驾318”等新的文旅认知，传统官方叙事难以契合其消费偏好，现有内容多为碎片化打卡，缺乏系统化、场景化的内容供给。三是本土创作主体匮乏。全区5.8万余处文旅资源大量散落于县域、边境与乡村，而本地农牧民博主、非遗博主和乡村文旅创作者培育不足，内容创作与传播高度依赖区外MCN机构和自媒体博主，内生流量的“造血”能力薄弱。</w:t>
      </w:r>
    </w:p>
    <w:p w14:paraId="2D2AE5B1">
      <w:pPr>
        <w:keepNext/>
        <w:spacing w:before="160" w:after="80"/>
      </w:pPr>
      <w:r>
        <w:rPr>
          <w:rFonts w:eastAsia="黑体"/>
          <w:b/>
          <w:bCs/>
          <w:sz w:val="21"/>
          <w:szCs w:val="21"/>
        </w:rPr>
        <w:t>（三）政策协同碎片化，富民传导链条不畅</w:t>
      </w:r>
    </w:p>
    <w:p w14:paraId="57E8FB7D">
      <w:pPr>
        <w:ind w:firstLine="420"/>
        <w:jc w:val="both"/>
      </w:pPr>
      <w:r>
        <w:rPr>
          <w:rFonts w:hint="eastAsia"/>
          <w:sz w:val="21"/>
          <w:szCs w:val="21"/>
        </w:rPr>
        <w:t>“12条措施”和“18项细则”涵盖流量奖励、客流导入、业态扶持、项目建设等内容，但各政策工具独立运行、衔接不足，缺乏“热点触发—客流导入—线路承接—消费落地—富民增收”的全链条联动机制。同时，流量红利的传导链条存在断裂风险：奖励细则以创作者为唯一奖励对象，未对本地经营主体的参与和受益作出安排，在本土创作主体匮乏的情况下，奖补资金易主要流向区外自媒体博主和商业MCN机构，本地民宿、合作社、文创工坊和农牧产品经营主体难以分享流量红利，可能出现“网红增收、群众受益少”“平台热度高、地方实效弱”的脱节现象，使文旅产业兴边富民、普惠增收的功能难以充分发挥。</w:t>
      </w:r>
    </w:p>
    <w:p w14:paraId="41028CFD">
      <w:pPr>
        <w:keepNext/>
        <w:spacing w:before="160" w:after="80"/>
      </w:pPr>
      <w:r>
        <w:rPr>
          <w:rFonts w:eastAsia="黑体"/>
          <w:b/>
          <w:bCs/>
          <w:sz w:val="21"/>
          <w:szCs w:val="21"/>
        </w:rPr>
        <w:t>（四）基金运作机制不完善，社会资本撬动能力薄弱</w:t>
      </w:r>
    </w:p>
    <w:p w14:paraId="5E611D3E">
      <w:pPr>
        <w:ind w:firstLine="420"/>
        <w:jc w:val="both"/>
      </w:pPr>
      <w:r>
        <w:rPr>
          <w:rFonts w:hint="eastAsia"/>
          <w:sz w:val="21"/>
          <w:szCs w:val="21"/>
        </w:rPr>
        <w:t>一方面，文旅产业投资回报周期长、季节性波动大，多数新业态、新项目难以快速盈利，社会资本观望情绪浓厚、跟投意愿不强，基金募资进度与投资节奏受限，财政资金的杠杆效应未能充分释放。另一方面，基金运营的专业能力薄弱，作为出资主体的地方国企缺乏专业的投研、风控和估值团队，在项目尽调、收益测算、合规审查、风险把控等环节能力不足，存在决策失误和资金低效使用的隐患。</w:t>
      </w:r>
    </w:p>
    <w:p w14:paraId="17B0B586">
      <w:pPr>
        <w:keepNext/>
        <w:spacing w:before="160" w:after="80"/>
      </w:pPr>
      <w:r>
        <w:rPr>
          <w:rFonts w:eastAsia="黑体"/>
          <w:b/>
          <w:bCs/>
          <w:sz w:val="21"/>
          <w:szCs w:val="21"/>
        </w:rPr>
        <w:t>（五）文旅金融支撑薄弱，加剧供需错配</w:t>
      </w:r>
    </w:p>
    <w:p w14:paraId="3134CD97">
      <w:pPr>
        <w:ind w:firstLine="420"/>
        <w:jc w:val="both"/>
      </w:pPr>
      <w:r>
        <w:rPr>
          <w:rFonts w:hint="eastAsia"/>
          <w:sz w:val="21"/>
          <w:szCs w:val="21"/>
        </w:rPr>
        <w:t>一是中小文旅主体融资难、融资贵。全区涉旅主体以个体工商户和小微企业为主，其中个体工商户占比超过85%，普遍轻资产、缺抵押、财务不规范，难以达到银行信贷准入标准，大量小微文旅项目因资金短缺无法升级迭代。二是金融机构风控体系滞后。文旅产业无形资产占比高、评估体系不成熟、信息不对称问题突出，金融机构难以准确研判项目收益与风险。三是文旅专属金融产品稀缺。“文旅贷”等专项产品尚处起步阶段，缺乏适配中大型企业和新业态项目的专项产品，偏远景区移动支付等基础金融服务覆盖不足。四是风险分担机制缺失。西藏尚未建立文旅产业风险补偿基金与专项担保体系，信贷风险由银行独自承担，制约了金融资源向文旅产业倾斜。</w:t>
      </w:r>
    </w:p>
    <w:p w14:paraId="45E3BB46">
      <w:pPr>
        <w:keepNext/>
        <w:spacing w:before="160" w:after="80"/>
      </w:pPr>
      <w:r>
        <w:rPr>
          <w:rFonts w:eastAsia="黑体"/>
          <w:b/>
          <w:bCs/>
          <w:sz w:val="21"/>
          <w:szCs w:val="21"/>
        </w:rPr>
        <w:t>（六）绩效监管体系不健全，财政资金风控存在短板</w:t>
      </w:r>
    </w:p>
    <w:p w14:paraId="0838D4D3">
      <w:pPr>
        <w:ind w:firstLine="420"/>
        <w:jc w:val="both"/>
      </w:pPr>
      <w:r>
        <w:rPr>
          <w:rFonts w:hint="eastAsia"/>
          <w:sz w:val="21"/>
          <w:szCs w:val="21"/>
        </w:rPr>
        <w:t>现行流量奖补政策缺乏完善的预算管控、额度约束、绩效评估与风险监管机制。政策未设置年度奖励总额管控和单一主体年度奖励封顶机制，存在超额兑付、重复兑付的风险；缺乏流量真实性核验、刷量套利惩戒和热点效应动态研判机制，难以杜绝虚假流量、数据套利等行为。政策执行存在“重兑付、轻监管、轻评估”的倾向，资金拨付后缺少对产业成效和富民成效的跟踪评估，政策的持续优化缺乏数据支撑。</w:t>
      </w:r>
    </w:p>
    <w:p w14:paraId="44B694B4">
      <w:pPr>
        <w:keepNext/>
        <w:spacing w:before="260" w:after="120"/>
      </w:pPr>
      <w:r>
        <w:rPr>
          <w:rFonts w:eastAsia="黑体"/>
          <w:b/>
          <w:bCs/>
          <w:sz w:val="28"/>
          <w:szCs w:val="28"/>
        </w:rPr>
        <w:t>五、短视频流量激励下西藏文旅财政政策的优化路径</w:t>
      </w:r>
    </w:p>
    <w:p w14:paraId="4E24B40A">
      <w:pPr>
        <w:ind w:firstLine="420"/>
        <w:jc w:val="both"/>
      </w:pPr>
      <w:r>
        <w:rPr>
          <w:rFonts w:hint="eastAsia"/>
          <w:sz w:val="21"/>
          <w:szCs w:val="21"/>
        </w:rPr>
        <w:t>立足现有“12条措施”和“18项细则”的政策框架，应从流量评价、业态培育、政策协同、产业基金、金融支撑、绩效监管六个方面精准施策，推动文旅财政政策从“为热度买单”向“为实效买单”转型。各项困境与优化路径的对应关系见表4。</w:t>
      </w:r>
    </w:p>
    <w:p w14:paraId="651F9FC8">
      <w:pPr>
        <w:keepNext/>
        <w:spacing w:before="140" w:after="40"/>
        <w:jc w:val="center"/>
      </w:pPr>
      <w:r>
        <w:rPr>
          <w:rFonts w:eastAsia="黑体"/>
          <w:b/>
          <w:bCs/>
          <w:sz w:val="21"/>
          <w:szCs w:val="21"/>
        </w:rPr>
        <w:t>表4　现实困境与优化路径对应关系</w:t>
      </w:r>
    </w:p>
    <w:tbl>
      <w:tblPr>
        <w:tblStyle w:val="15"/>
        <w:tblW w:w="84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100"/>
        <w:gridCol w:w="2300"/>
        <w:gridCol w:w="2300"/>
        <w:gridCol w:w="2700"/>
      </w:tblGrid>
      <w:tr w14:paraId="5F78186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1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7D89232">
            <w:pPr>
              <w:spacing w:line="240" w:lineRule="auto"/>
              <w:jc w:val="center"/>
            </w:pPr>
            <w:r>
              <w:rPr>
                <w:rFonts w:hint="eastAsia"/>
                <w:b/>
                <w:bCs/>
                <w:sz w:val="18"/>
                <w:szCs w:val="18"/>
              </w:rPr>
              <w:t>维度</w:t>
            </w:r>
          </w:p>
        </w:tc>
        <w:tc>
          <w:tcPr>
            <w:tcW w:w="2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2F1A0DE7">
            <w:pPr>
              <w:spacing w:line="240" w:lineRule="auto"/>
              <w:jc w:val="center"/>
            </w:pPr>
            <w:r>
              <w:rPr>
                <w:rFonts w:hint="eastAsia"/>
                <w:b/>
                <w:bCs/>
                <w:sz w:val="18"/>
                <w:szCs w:val="18"/>
              </w:rPr>
              <w:t>现实困境</w:t>
            </w:r>
          </w:p>
        </w:tc>
        <w:tc>
          <w:tcPr>
            <w:tcW w:w="23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2F39880B">
            <w:pPr>
              <w:spacing w:line="240" w:lineRule="auto"/>
              <w:jc w:val="center"/>
            </w:pPr>
            <w:r>
              <w:rPr>
                <w:rFonts w:hint="eastAsia"/>
                <w:b/>
                <w:bCs/>
                <w:sz w:val="18"/>
                <w:szCs w:val="18"/>
              </w:rPr>
              <w:t>优化路径</w:t>
            </w:r>
          </w:p>
        </w:tc>
        <w:tc>
          <w:tcPr>
            <w:tcW w:w="2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65B157F6">
            <w:pPr>
              <w:spacing w:line="240" w:lineRule="auto"/>
              <w:jc w:val="center"/>
            </w:pPr>
            <w:r>
              <w:rPr>
                <w:rFonts w:hint="eastAsia"/>
                <w:b/>
                <w:bCs/>
                <w:sz w:val="18"/>
                <w:szCs w:val="18"/>
              </w:rPr>
              <w:t>主要政策着力点</w:t>
            </w:r>
          </w:p>
        </w:tc>
      </w:tr>
      <w:tr w14:paraId="2F56041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83FCBB4">
            <w:pPr>
              <w:spacing w:line="240" w:lineRule="auto"/>
              <w:jc w:val="center"/>
            </w:pPr>
            <w:r>
              <w:rPr>
                <w:rFonts w:hint="eastAsia"/>
                <w:sz w:val="18"/>
                <w:szCs w:val="18"/>
              </w:rPr>
              <w:t>流量评价</w:t>
            </w:r>
          </w:p>
        </w:tc>
        <w:tc>
          <w:tcPr>
            <w:tcW w:w="2300" w:type="dxa"/>
            <w:tcBorders>
              <w:left w:val="nil"/>
              <w:right w:val="nil"/>
            </w:tcBorders>
            <w:tcMar>
              <w:top w:w="30" w:type="dxa"/>
              <w:left w:w="60" w:type="dxa"/>
              <w:bottom w:w="30" w:type="dxa"/>
              <w:right w:w="60" w:type="dxa"/>
            </w:tcMar>
            <w:vAlign w:val="center"/>
          </w:tcPr>
          <w:p w14:paraId="2FF588C9">
            <w:pPr>
              <w:spacing w:line="240" w:lineRule="auto"/>
              <w:jc w:val="left"/>
            </w:pPr>
            <w:r>
              <w:rPr>
                <w:rFonts w:hint="eastAsia"/>
                <w:sz w:val="18"/>
                <w:szCs w:val="18"/>
              </w:rPr>
              <w:t>评价维度单一，热度与实效脱节</w:t>
            </w:r>
          </w:p>
        </w:tc>
        <w:tc>
          <w:tcPr>
            <w:tcW w:w="2300" w:type="dxa"/>
            <w:tcBorders>
              <w:left w:val="nil"/>
              <w:right w:val="nil"/>
            </w:tcBorders>
            <w:tcMar>
              <w:top w:w="30" w:type="dxa"/>
              <w:left w:w="60" w:type="dxa"/>
              <w:bottom w:w="30" w:type="dxa"/>
              <w:right w:w="60" w:type="dxa"/>
            </w:tcMar>
            <w:vAlign w:val="center"/>
          </w:tcPr>
          <w:p w14:paraId="3B7EF3BD">
            <w:pPr>
              <w:spacing w:line="240" w:lineRule="auto"/>
              <w:jc w:val="center"/>
            </w:pPr>
            <w:r>
              <w:rPr>
                <w:rFonts w:hint="eastAsia"/>
                <w:sz w:val="18"/>
                <w:szCs w:val="18"/>
              </w:rPr>
              <w:t>构建热度与实效双激励机制</w:t>
            </w:r>
          </w:p>
        </w:tc>
        <w:tc>
          <w:tcPr>
            <w:tcW w:w="2700" w:type="dxa"/>
            <w:tcBorders>
              <w:left w:val="nil"/>
              <w:right w:val="nil"/>
            </w:tcBorders>
            <w:tcMar>
              <w:top w:w="30" w:type="dxa"/>
              <w:left w:w="60" w:type="dxa"/>
              <w:bottom w:w="30" w:type="dxa"/>
              <w:right w:w="60" w:type="dxa"/>
            </w:tcMar>
            <w:vAlign w:val="center"/>
          </w:tcPr>
          <w:p w14:paraId="13647709">
            <w:pPr>
              <w:spacing w:line="240" w:lineRule="auto"/>
              <w:jc w:val="left"/>
            </w:pPr>
            <w:r>
              <w:rPr>
                <w:rFonts w:hint="eastAsia"/>
                <w:sz w:val="18"/>
                <w:szCs w:val="18"/>
              </w:rPr>
              <w:t>基础热度奖励+产业实效附加奖励；落地成效专项奖</w:t>
            </w:r>
          </w:p>
        </w:tc>
      </w:tr>
      <w:tr w14:paraId="7682D15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F20C76D">
            <w:pPr>
              <w:spacing w:line="240" w:lineRule="auto"/>
              <w:jc w:val="center"/>
            </w:pPr>
            <w:r>
              <w:rPr>
                <w:rFonts w:hint="eastAsia"/>
                <w:sz w:val="18"/>
                <w:szCs w:val="18"/>
              </w:rPr>
              <w:t>业态培育</w:t>
            </w:r>
          </w:p>
        </w:tc>
        <w:tc>
          <w:tcPr>
            <w:tcW w:w="2300" w:type="dxa"/>
            <w:tcBorders>
              <w:left w:val="nil"/>
              <w:right w:val="nil"/>
            </w:tcBorders>
            <w:tcMar>
              <w:top w:w="30" w:type="dxa"/>
              <w:left w:w="60" w:type="dxa"/>
              <w:bottom w:w="30" w:type="dxa"/>
              <w:right w:w="60" w:type="dxa"/>
            </w:tcMar>
            <w:vAlign w:val="center"/>
          </w:tcPr>
          <w:p w14:paraId="1B26B4B3">
            <w:pPr>
              <w:spacing w:line="240" w:lineRule="auto"/>
              <w:jc w:val="center"/>
            </w:pPr>
            <w:r>
              <w:rPr>
                <w:rFonts w:hint="eastAsia"/>
                <w:sz w:val="18"/>
                <w:szCs w:val="18"/>
              </w:rPr>
              <w:t>重事后奖励、轻事前培育</w:t>
            </w:r>
          </w:p>
        </w:tc>
        <w:tc>
          <w:tcPr>
            <w:tcW w:w="2300" w:type="dxa"/>
            <w:tcBorders>
              <w:left w:val="nil"/>
              <w:right w:val="nil"/>
            </w:tcBorders>
            <w:tcMar>
              <w:top w:w="30" w:type="dxa"/>
              <w:left w:w="60" w:type="dxa"/>
              <w:bottom w:w="30" w:type="dxa"/>
              <w:right w:w="60" w:type="dxa"/>
            </w:tcMar>
            <w:vAlign w:val="center"/>
          </w:tcPr>
          <w:p w14:paraId="48733E81">
            <w:pPr>
              <w:spacing w:line="240" w:lineRule="auto"/>
              <w:jc w:val="left"/>
            </w:pPr>
            <w:r>
              <w:rPr>
                <w:rFonts w:hint="eastAsia"/>
                <w:sz w:val="18"/>
                <w:szCs w:val="18"/>
              </w:rPr>
              <w:t>前移扶持关口，培育本土业态与内生流量</w:t>
            </w:r>
          </w:p>
        </w:tc>
        <w:tc>
          <w:tcPr>
            <w:tcW w:w="2700" w:type="dxa"/>
            <w:tcBorders>
              <w:left w:val="nil"/>
              <w:right w:val="nil"/>
            </w:tcBorders>
            <w:tcMar>
              <w:top w:w="30" w:type="dxa"/>
              <w:left w:w="60" w:type="dxa"/>
              <w:bottom w:w="30" w:type="dxa"/>
              <w:right w:w="60" w:type="dxa"/>
            </w:tcMar>
            <w:vAlign w:val="center"/>
          </w:tcPr>
          <w:p w14:paraId="2CC60F58">
            <w:pPr>
              <w:spacing w:line="240" w:lineRule="auto"/>
              <w:jc w:val="left"/>
            </w:pPr>
            <w:r>
              <w:rPr>
                <w:rFonts w:hint="eastAsia"/>
                <w:sz w:val="18"/>
                <w:szCs w:val="18"/>
              </w:rPr>
              <w:t>标杆新业态；创作者孵化平台；本土创作者专项通道</w:t>
            </w:r>
          </w:p>
        </w:tc>
      </w:tr>
      <w:tr w14:paraId="13837FC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37566159">
            <w:pPr>
              <w:spacing w:line="240" w:lineRule="auto"/>
              <w:jc w:val="center"/>
            </w:pPr>
            <w:r>
              <w:rPr>
                <w:rFonts w:hint="eastAsia"/>
                <w:sz w:val="18"/>
                <w:szCs w:val="18"/>
              </w:rPr>
              <w:t>政策协同</w:t>
            </w:r>
          </w:p>
        </w:tc>
        <w:tc>
          <w:tcPr>
            <w:tcW w:w="2300" w:type="dxa"/>
            <w:tcBorders>
              <w:left w:val="nil"/>
              <w:right w:val="nil"/>
            </w:tcBorders>
            <w:tcMar>
              <w:top w:w="30" w:type="dxa"/>
              <w:left w:w="60" w:type="dxa"/>
              <w:bottom w:w="30" w:type="dxa"/>
              <w:right w:w="60" w:type="dxa"/>
            </w:tcMar>
            <w:vAlign w:val="center"/>
          </w:tcPr>
          <w:p w14:paraId="029E21D0">
            <w:pPr>
              <w:spacing w:line="240" w:lineRule="auto"/>
              <w:jc w:val="center"/>
            </w:pPr>
            <w:r>
              <w:rPr>
                <w:rFonts w:hint="eastAsia"/>
                <w:sz w:val="18"/>
                <w:szCs w:val="18"/>
              </w:rPr>
              <w:t>政策碎片化，富民链条不畅</w:t>
            </w:r>
          </w:p>
        </w:tc>
        <w:tc>
          <w:tcPr>
            <w:tcW w:w="2300" w:type="dxa"/>
            <w:tcBorders>
              <w:left w:val="nil"/>
              <w:right w:val="nil"/>
            </w:tcBorders>
            <w:tcMar>
              <w:top w:w="30" w:type="dxa"/>
              <w:left w:w="60" w:type="dxa"/>
              <w:bottom w:w="30" w:type="dxa"/>
              <w:right w:w="60" w:type="dxa"/>
            </w:tcMar>
            <w:vAlign w:val="center"/>
          </w:tcPr>
          <w:p w14:paraId="7028328F">
            <w:pPr>
              <w:spacing w:line="240" w:lineRule="auto"/>
              <w:jc w:val="left"/>
            </w:pPr>
            <w:r>
              <w:rPr>
                <w:rFonts w:hint="eastAsia"/>
                <w:sz w:val="18"/>
                <w:szCs w:val="18"/>
              </w:rPr>
              <w:t>强化协同联动，打通流量富民链条</w:t>
            </w:r>
          </w:p>
        </w:tc>
        <w:tc>
          <w:tcPr>
            <w:tcW w:w="2700" w:type="dxa"/>
            <w:tcBorders>
              <w:left w:val="nil"/>
              <w:right w:val="nil"/>
            </w:tcBorders>
            <w:tcMar>
              <w:top w:w="30" w:type="dxa"/>
              <w:left w:w="60" w:type="dxa"/>
              <w:bottom w:w="30" w:type="dxa"/>
              <w:right w:w="60" w:type="dxa"/>
            </w:tcMar>
            <w:vAlign w:val="center"/>
          </w:tcPr>
          <w:p w14:paraId="23EDE2F9">
            <w:pPr>
              <w:spacing w:line="240" w:lineRule="auto"/>
              <w:jc w:val="left"/>
            </w:pPr>
            <w:r>
              <w:rPr>
                <w:rFonts w:hint="eastAsia"/>
                <w:sz w:val="18"/>
                <w:szCs w:val="18"/>
              </w:rPr>
              <w:t>闭环工作机制；利益联结机制；城乡资源统筹</w:t>
            </w:r>
          </w:p>
        </w:tc>
      </w:tr>
      <w:tr w14:paraId="33388B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4A7FC1C3">
            <w:pPr>
              <w:spacing w:line="240" w:lineRule="auto"/>
              <w:jc w:val="center"/>
            </w:pPr>
            <w:r>
              <w:rPr>
                <w:rFonts w:hint="eastAsia"/>
                <w:sz w:val="18"/>
                <w:szCs w:val="18"/>
              </w:rPr>
              <w:t>产业基金</w:t>
            </w:r>
          </w:p>
        </w:tc>
        <w:tc>
          <w:tcPr>
            <w:tcW w:w="2300" w:type="dxa"/>
            <w:tcBorders>
              <w:left w:val="nil"/>
              <w:right w:val="nil"/>
            </w:tcBorders>
            <w:tcMar>
              <w:top w:w="30" w:type="dxa"/>
              <w:left w:w="60" w:type="dxa"/>
              <w:bottom w:w="30" w:type="dxa"/>
              <w:right w:w="60" w:type="dxa"/>
            </w:tcMar>
            <w:vAlign w:val="center"/>
          </w:tcPr>
          <w:p w14:paraId="7492F1C1">
            <w:pPr>
              <w:spacing w:line="240" w:lineRule="auto"/>
              <w:jc w:val="left"/>
            </w:pPr>
            <w:r>
              <w:rPr>
                <w:rFonts w:hint="eastAsia"/>
                <w:sz w:val="18"/>
                <w:szCs w:val="18"/>
              </w:rPr>
              <w:t>运作机制不完善，撬动能力弱</w:t>
            </w:r>
          </w:p>
        </w:tc>
        <w:tc>
          <w:tcPr>
            <w:tcW w:w="2300" w:type="dxa"/>
            <w:tcBorders>
              <w:left w:val="nil"/>
              <w:right w:val="nil"/>
            </w:tcBorders>
            <w:tcMar>
              <w:top w:w="30" w:type="dxa"/>
              <w:left w:w="60" w:type="dxa"/>
              <w:bottom w:w="30" w:type="dxa"/>
              <w:right w:w="60" w:type="dxa"/>
            </w:tcMar>
            <w:vAlign w:val="center"/>
          </w:tcPr>
          <w:p w14:paraId="7AB705AC">
            <w:pPr>
              <w:spacing w:line="240" w:lineRule="auto"/>
              <w:jc w:val="center"/>
            </w:pPr>
            <w:r>
              <w:rPr>
                <w:rFonts w:hint="eastAsia"/>
                <w:sz w:val="18"/>
                <w:szCs w:val="18"/>
              </w:rPr>
              <w:t>创新基金运作模式</w:t>
            </w:r>
          </w:p>
        </w:tc>
        <w:tc>
          <w:tcPr>
            <w:tcW w:w="2700" w:type="dxa"/>
            <w:tcBorders>
              <w:left w:val="nil"/>
              <w:right w:val="nil"/>
            </w:tcBorders>
            <w:tcMar>
              <w:top w:w="30" w:type="dxa"/>
              <w:left w:w="60" w:type="dxa"/>
              <w:bottom w:w="30" w:type="dxa"/>
              <w:right w:w="60" w:type="dxa"/>
            </w:tcMar>
            <w:vAlign w:val="center"/>
          </w:tcPr>
          <w:p w14:paraId="077C605B">
            <w:pPr>
              <w:spacing w:line="240" w:lineRule="auto"/>
              <w:jc w:val="left"/>
            </w:pPr>
            <w:r>
              <w:rPr>
                <w:rFonts w:hint="eastAsia"/>
                <w:sz w:val="18"/>
                <w:szCs w:val="18"/>
              </w:rPr>
              <w:t>风险分层分担；分期出资；专业托管；市场化退出</w:t>
            </w:r>
          </w:p>
        </w:tc>
      </w:tr>
      <w:tr w14:paraId="6E0B96B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right w:val="nil"/>
            </w:tcBorders>
            <w:tcMar>
              <w:top w:w="30" w:type="dxa"/>
              <w:left w:w="60" w:type="dxa"/>
              <w:bottom w:w="30" w:type="dxa"/>
              <w:right w:w="60" w:type="dxa"/>
            </w:tcMar>
            <w:vAlign w:val="center"/>
          </w:tcPr>
          <w:p w14:paraId="1F374755">
            <w:pPr>
              <w:spacing w:line="240" w:lineRule="auto"/>
              <w:jc w:val="center"/>
            </w:pPr>
            <w:r>
              <w:rPr>
                <w:rFonts w:hint="eastAsia"/>
                <w:sz w:val="18"/>
                <w:szCs w:val="18"/>
              </w:rPr>
              <w:t>金融支撑</w:t>
            </w:r>
          </w:p>
        </w:tc>
        <w:tc>
          <w:tcPr>
            <w:tcW w:w="2300" w:type="dxa"/>
            <w:tcBorders>
              <w:left w:val="nil"/>
              <w:right w:val="nil"/>
            </w:tcBorders>
            <w:tcMar>
              <w:top w:w="30" w:type="dxa"/>
              <w:left w:w="60" w:type="dxa"/>
              <w:bottom w:w="30" w:type="dxa"/>
              <w:right w:w="60" w:type="dxa"/>
            </w:tcMar>
            <w:vAlign w:val="center"/>
          </w:tcPr>
          <w:p w14:paraId="7464B32C">
            <w:pPr>
              <w:spacing w:line="240" w:lineRule="auto"/>
              <w:jc w:val="left"/>
            </w:pPr>
            <w:r>
              <w:rPr>
                <w:rFonts w:hint="eastAsia"/>
                <w:sz w:val="18"/>
                <w:szCs w:val="18"/>
              </w:rPr>
              <w:t>融资约束突出，加剧供需错配</w:t>
            </w:r>
          </w:p>
        </w:tc>
        <w:tc>
          <w:tcPr>
            <w:tcW w:w="2300" w:type="dxa"/>
            <w:tcBorders>
              <w:left w:val="nil"/>
              <w:right w:val="nil"/>
            </w:tcBorders>
            <w:tcMar>
              <w:top w:w="30" w:type="dxa"/>
              <w:left w:w="60" w:type="dxa"/>
              <w:bottom w:w="30" w:type="dxa"/>
              <w:right w:w="60" w:type="dxa"/>
            </w:tcMar>
            <w:vAlign w:val="center"/>
          </w:tcPr>
          <w:p w14:paraId="45989BED">
            <w:pPr>
              <w:spacing w:line="240" w:lineRule="auto"/>
              <w:jc w:val="center"/>
            </w:pPr>
            <w:r>
              <w:rPr>
                <w:rFonts w:hint="eastAsia"/>
                <w:sz w:val="18"/>
                <w:szCs w:val="18"/>
              </w:rPr>
              <w:t>完善财政引导金融体系</w:t>
            </w:r>
          </w:p>
        </w:tc>
        <w:tc>
          <w:tcPr>
            <w:tcW w:w="2700" w:type="dxa"/>
            <w:tcBorders>
              <w:left w:val="nil"/>
              <w:right w:val="nil"/>
            </w:tcBorders>
            <w:tcMar>
              <w:top w:w="30" w:type="dxa"/>
              <w:left w:w="60" w:type="dxa"/>
              <w:bottom w:w="30" w:type="dxa"/>
              <w:right w:w="60" w:type="dxa"/>
            </w:tcMar>
            <w:vAlign w:val="center"/>
          </w:tcPr>
          <w:p w14:paraId="1F5722D1">
            <w:pPr>
              <w:spacing w:line="240" w:lineRule="auto"/>
              <w:jc w:val="left"/>
            </w:pPr>
            <w:r>
              <w:rPr>
                <w:rFonts w:hint="eastAsia"/>
                <w:sz w:val="18"/>
                <w:szCs w:val="18"/>
              </w:rPr>
              <w:t>风险补偿基金；政策性担保；专属产品；信用共享平台</w:t>
            </w:r>
          </w:p>
        </w:tc>
      </w:tr>
      <w:tr w14:paraId="3D8DECA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100" w:type="dxa"/>
            <w:tcBorders>
              <w:left w:val="nil"/>
              <w:bottom w:val="single" w:color="000000" w:sz="12" w:space="0"/>
              <w:right w:val="nil"/>
            </w:tcBorders>
            <w:tcMar>
              <w:top w:w="30" w:type="dxa"/>
              <w:left w:w="60" w:type="dxa"/>
              <w:bottom w:w="30" w:type="dxa"/>
              <w:right w:w="60" w:type="dxa"/>
            </w:tcMar>
            <w:vAlign w:val="center"/>
          </w:tcPr>
          <w:p w14:paraId="76421076">
            <w:pPr>
              <w:spacing w:line="240" w:lineRule="auto"/>
              <w:jc w:val="center"/>
            </w:pPr>
            <w:r>
              <w:rPr>
                <w:rFonts w:hint="eastAsia"/>
                <w:sz w:val="18"/>
                <w:szCs w:val="18"/>
              </w:rPr>
              <w:t>绩效监管</w:t>
            </w:r>
          </w:p>
        </w:tc>
        <w:tc>
          <w:tcPr>
            <w:tcW w:w="2300" w:type="dxa"/>
            <w:tcBorders>
              <w:left w:val="nil"/>
              <w:bottom w:val="single" w:color="000000" w:sz="12" w:space="0"/>
              <w:right w:val="nil"/>
            </w:tcBorders>
            <w:tcMar>
              <w:top w:w="30" w:type="dxa"/>
              <w:left w:w="60" w:type="dxa"/>
              <w:bottom w:w="30" w:type="dxa"/>
              <w:right w:w="60" w:type="dxa"/>
            </w:tcMar>
            <w:vAlign w:val="center"/>
          </w:tcPr>
          <w:p w14:paraId="06BF4321">
            <w:pPr>
              <w:spacing w:line="240" w:lineRule="auto"/>
              <w:jc w:val="left"/>
            </w:pPr>
            <w:r>
              <w:rPr>
                <w:rFonts w:hint="eastAsia"/>
                <w:sz w:val="18"/>
                <w:szCs w:val="18"/>
              </w:rPr>
              <w:t>监管不健全，资金风控存短板</w:t>
            </w:r>
          </w:p>
        </w:tc>
        <w:tc>
          <w:tcPr>
            <w:tcW w:w="2300" w:type="dxa"/>
            <w:tcBorders>
              <w:left w:val="nil"/>
              <w:bottom w:val="single" w:color="000000" w:sz="12" w:space="0"/>
              <w:right w:val="nil"/>
            </w:tcBorders>
            <w:tcMar>
              <w:top w:w="30" w:type="dxa"/>
              <w:left w:w="60" w:type="dxa"/>
              <w:bottom w:w="30" w:type="dxa"/>
              <w:right w:w="60" w:type="dxa"/>
            </w:tcMar>
            <w:vAlign w:val="center"/>
          </w:tcPr>
          <w:p w14:paraId="512313E1">
            <w:pPr>
              <w:spacing w:line="240" w:lineRule="auto"/>
              <w:jc w:val="center"/>
            </w:pPr>
            <w:r>
              <w:rPr>
                <w:rFonts w:hint="eastAsia"/>
                <w:sz w:val="18"/>
                <w:szCs w:val="18"/>
              </w:rPr>
              <w:t>健全全链条绩效监管体系</w:t>
            </w:r>
          </w:p>
        </w:tc>
        <w:tc>
          <w:tcPr>
            <w:tcW w:w="2700" w:type="dxa"/>
            <w:tcBorders>
              <w:left w:val="nil"/>
              <w:bottom w:val="single" w:color="000000" w:sz="12" w:space="0"/>
              <w:right w:val="nil"/>
            </w:tcBorders>
            <w:tcMar>
              <w:top w:w="30" w:type="dxa"/>
              <w:left w:w="60" w:type="dxa"/>
              <w:bottom w:w="30" w:type="dxa"/>
              <w:right w:w="60" w:type="dxa"/>
            </w:tcMar>
            <w:vAlign w:val="center"/>
          </w:tcPr>
          <w:p w14:paraId="2F8EF200">
            <w:pPr>
              <w:spacing w:line="240" w:lineRule="auto"/>
              <w:jc w:val="left"/>
            </w:pPr>
            <w:r>
              <w:rPr>
                <w:rFonts w:hint="eastAsia"/>
                <w:sz w:val="18"/>
                <w:szCs w:val="18"/>
              </w:rPr>
              <w:t>总额与封顶约束；真实性核验；多元评审；动态优化</w:t>
            </w:r>
          </w:p>
        </w:tc>
      </w:tr>
    </w:tbl>
    <w:p w14:paraId="0EECCA0C">
      <w:pPr>
        <w:spacing w:before="30" w:after="140"/>
      </w:pPr>
      <w:r>
        <w:rPr>
          <w:rFonts w:hint="eastAsia"/>
          <w:sz w:val="18"/>
          <w:szCs w:val="18"/>
        </w:rPr>
        <w:t>注：作者整理。</w:t>
      </w:r>
    </w:p>
    <w:p w14:paraId="092D4975">
      <w:pPr>
        <w:keepNext/>
        <w:spacing w:before="160" w:after="80"/>
      </w:pPr>
      <w:r>
        <w:rPr>
          <w:rFonts w:eastAsia="黑体"/>
          <w:b/>
          <w:bCs/>
          <w:sz w:val="21"/>
          <w:szCs w:val="21"/>
        </w:rPr>
        <w:t>（一）优化流量奖补评价体系，构建热度与实效双激励机制</w:t>
      </w:r>
    </w:p>
    <w:p w14:paraId="6D5F1379">
      <w:pPr>
        <w:ind w:firstLine="420"/>
        <w:jc w:val="both"/>
      </w:pPr>
      <w:r>
        <w:rPr>
          <w:rFonts w:hint="eastAsia"/>
          <w:sz w:val="21"/>
          <w:szCs w:val="21"/>
        </w:rPr>
        <w:t>在保持现有阶梯式基础奖励不变、保障基础引流效能的前提下，新增以产业实效为导向的增量激励（见表5）。一是建立“基础热度奖励+产业实效附加奖励”双激励模式。将点赞、播放、转发等线上数据作为基础奖励的准入门槛，维持最高50万元的奖励标准；将游客搜索热度、旅游线路引用量、景区到访增量、文旅消费额、业态增收等线下指标作为增量奖励的核心考核指标。二是增设现象级热点落地成效专项奖。在爆款作品传播周期结束后3～6个月开展跟踪评估，依据客流增长、消费提升、就业带动、品牌增值等成果拨付附加奖励。三是细化量化评价标准。明确“现象级热点”的线下量化指标，纠正“重线上、轻线下”的执行偏差。</w:t>
      </w:r>
    </w:p>
    <w:p w14:paraId="50906442">
      <w:pPr>
        <w:keepNext/>
        <w:spacing w:before="140" w:after="40"/>
        <w:jc w:val="center"/>
      </w:pPr>
      <w:r>
        <w:rPr>
          <w:rFonts w:eastAsia="黑体"/>
          <w:b/>
          <w:bCs/>
          <w:sz w:val="21"/>
          <w:szCs w:val="21"/>
        </w:rPr>
        <w:t>表5　</w:t>
      </w:r>
      <w:r>
        <w:rPr>
          <w:rFonts w:hint="eastAsia" w:eastAsia="黑体"/>
          <w:b/>
          <w:bCs/>
          <w:sz w:val="21"/>
          <w:szCs w:val="21"/>
          <w:lang w:eastAsia="zh-CN"/>
        </w:rPr>
        <w:t>“</w:t>
      </w:r>
      <w:r>
        <w:rPr>
          <w:rFonts w:eastAsia="黑体"/>
          <w:b/>
          <w:bCs/>
          <w:sz w:val="21"/>
          <w:szCs w:val="21"/>
        </w:rPr>
        <w:t>基础热度奖励+产业实效附加奖励</w:t>
      </w:r>
      <w:r>
        <w:rPr>
          <w:rFonts w:hint="eastAsia" w:eastAsia="黑体"/>
          <w:b/>
          <w:bCs/>
          <w:sz w:val="21"/>
          <w:szCs w:val="21"/>
          <w:lang w:eastAsia="zh-CN"/>
        </w:rPr>
        <w:t>”</w:t>
      </w:r>
      <w:bookmarkStart w:id="0" w:name="_GoBack"/>
      <w:bookmarkEnd w:id="0"/>
      <w:r>
        <w:rPr>
          <w:rFonts w:eastAsia="黑体"/>
          <w:b/>
          <w:bCs/>
          <w:sz w:val="21"/>
          <w:szCs w:val="21"/>
        </w:rPr>
        <w:t>双激励指标设计</w:t>
      </w:r>
    </w:p>
    <w:tbl>
      <w:tblPr>
        <w:tblStyle w:val="15"/>
        <w:tblW w:w="84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fixed"/>
        <w:tblCellMar>
          <w:top w:w="0" w:type="dxa"/>
          <w:left w:w="10" w:type="dxa"/>
          <w:bottom w:w="0" w:type="dxa"/>
          <w:right w:w="10" w:type="dxa"/>
        </w:tblCellMar>
      </w:tblPr>
      <w:tblGrid>
        <w:gridCol w:w="1700"/>
        <w:gridCol w:w="1900"/>
        <w:gridCol w:w="3000"/>
        <w:gridCol w:w="1800"/>
      </w:tblGrid>
      <w:tr w14:paraId="03CB087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17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03606EF1">
            <w:pPr>
              <w:spacing w:line="240" w:lineRule="auto"/>
              <w:jc w:val="center"/>
            </w:pPr>
            <w:r>
              <w:rPr>
                <w:rFonts w:hint="eastAsia"/>
                <w:b/>
                <w:bCs/>
                <w:sz w:val="18"/>
                <w:szCs w:val="18"/>
              </w:rPr>
              <w:t>奖励层级</w:t>
            </w:r>
          </w:p>
        </w:tc>
        <w:tc>
          <w:tcPr>
            <w:tcW w:w="19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651BA495">
            <w:pPr>
              <w:spacing w:line="240" w:lineRule="auto"/>
              <w:jc w:val="center"/>
            </w:pPr>
            <w:r>
              <w:rPr>
                <w:rFonts w:hint="eastAsia"/>
                <w:b/>
                <w:bCs/>
                <w:sz w:val="18"/>
                <w:szCs w:val="18"/>
              </w:rPr>
              <w:t>功能定位</w:t>
            </w:r>
          </w:p>
        </w:tc>
        <w:tc>
          <w:tcPr>
            <w:tcW w:w="30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2EC48B1B">
            <w:pPr>
              <w:spacing w:line="240" w:lineRule="auto"/>
              <w:jc w:val="center"/>
            </w:pPr>
            <w:r>
              <w:rPr>
                <w:rFonts w:hint="eastAsia"/>
                <w:b/>
                <w:bCs/>
                <w:sz w:val="18"/>
                <w:szCs w:val="18"/>
              </w:rPr>
              <w:t>核心指标</w:t>
            </w:r>
          </w:p>
        </w:tc>
        <w:tc>
          <w:tcPr>
            <w:tcW w:w="1800" w:type="dxa"/>
            <w:tcBorders>
              <w:top w:val="single" w:color="000000" w:sz="12" w:space="0"/>
              <w:left w:val="nil"/>
              <w:bottom w:val="single" w:color="000000" w:sz="6" w:space="0"/>
              <w:right w:val="nil"/>
            </w:tcBorders>
            <w:tcMar>
              <w:top w:w="30" w:type="dxa"/>
              <w:left w:w="60" w:type="dxa"/>
              <w:bottom w:w="30" w:type="dxa"/>
              <w:right w:w="60" w:type="dxa"/>
            </w:tcMar>
            <w:vAlign w:val="center"/>
          </w:tcPr>
          <w:p w14:paraId="1ED2B03A">
            <w:pPr>
              <w:spacing w:line="240" w:lineRule="auto"/>
              <w:jc w:val="center"/>
            </w:pPr>
            <w:r>
              <w:rPr>
                <w:rFonts w:hint="eastAsia"/>
                <w:b/>
                <w:bCs/>
                <w:sz w:val="18"/>
                <w:szCs w:val="18"/>
              </w:rPr>
              <w:t>考核时点</w:t>
            </w:r>
          </w:p>
        </w:tc>
      </w:tr>
      <w:tr w14:paraId="640C7AE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14:paraId="2E1D0BB9">
            <w:pPr>
              <w:spacing w:line="240" w:lineRule="auto"/>
              <w:jc w:val="center"/>
            </w:pPr>
            <w:r>
              <w:rPr>
                <w:rFonts w:hint="eastAsia"/>
                <w:sz w:val="18"/>
                <w:szCs w:val="18"/>
              </w:rPr>
              <w:t>基础热度奖励</w:t>
            </w:r>
          </w:p>
        </w:tc>
        <w:tc>
          <w:tcPr>
            <w:tcW w:w="1900" w:type="dxa"/>
            <w:tcBorders>
              <w:left w:val="nil"/>
              <w:right w:val="nil"/>
            </w:tcBorders>
            <w:tcMar>
              <w:top w:w="30" w:type="dxa"/>
              <w:left w:w="60" w:type="dxa"/>
              <w:bottom w:w="30" w:type="dxa"/>
              <w:right w:w="60" w:type="dxa"/>
            </w:tcMar>
            <w:vAlign w:val="center"/>
          </w:tcPr>
          <w:p w14:paraId="3721C564">
            <w:pPr>
              <w:spacing w:line="240" w:lineRule="auto"/>
              <w:jc w:val="left"/>
            </w:pPr>
            <w:r>
              <w:rPr>
                <w:rFonts w:hint="eastAsia"/>
                <w:sz w:val="18"/>
                <w:szCs w:val="18"/>
              </w:rPr>
              <w:t>准入门槛，保障基础引流效能</w:t>
            </w:r>
          </w:p>
        </w:tc>
        <w:tc>
          <w:tcPr>
            <w:tcW w:w="3000" w:type="dxa"/>
            <w:tcBorders>
              <w:left w:val="nil"/>
              <w:right w:val="nil"/>
            </w:tcBorders>
            <w:tcMar>
              <w:top w:w="30" w:type="dxa"/>
              <w:left w:w="60" w:type="dxa"/>
              <w:bottom w:w="30" w:type="dxa"/>
              <w:right w:w="60" w:type="dxa"/>
            </w:tcMar>
            <w:vAlign w:val="center"/>
          </w:tcPr>
          <w:p w14:paraId="4AF2941D">
            <w:pPr>
              <w:spacing w:line="240" w:lineRule="auto"/>
              <w:jc w:val="left"/>
            </w:pPr>
            <w:r>
              <w:rPr>
                <w:rFonts w:hint="eastAsia"/>
                <w:sz w:val="18"/>
                <w:szCs w:val="18"/>
              </w:rPr>
              <w:t>点赞量、播放量、转发量等线上传播数据</w:t>
            </w:r>
          </w:p>
        </w:tc>
        <w:tc>
          <w:tcPr>
            <w:tcW w:w="1800" w:type="dxa"/>
            <w:tcBorders>
              <w:left w:val="nil"/>
              <w:right w:val="nil"/>
            </w:tcBorders>
            <w:tcMar>
              <w:top w:w="30" w:type="dxa"/>
              <w:left w:w="60" w:type="dxa"/>
              <w:bottom w:w="30" w:type="dxa"/>
              <w:right w:w="60" w:type="dxa"/>
            </w:tcMar>
            <w:vAlign w:val="center"/>
          </w:tcPr>
          <w:p w14:paraId="0BAE3CEB">
            <w:pPr>
              <w:spacing w:line="240" w:lineRule="auto"/>
              <w:jc w:val="left"/>
            </w:pPr>
            <w:r>
              <w:rPr>
                <w:rFonts w:hint="eastAsia"/>
                <w:sz w:val="18"/>
                <w:szCs w:val="18"/>
              </w:rPr>
              <w:t>作品发布后，沿用现行阶梯标准</w:t>
            </w:r>
          </w:p>
        </w:tc>
      </w:tr>
      <w:tr w14:paraId="7B57993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right w:val="nil"/>
            </w:tcBorders>
            <w:tcMar>
              <w:top w:w="30" w:type="dxa"/>
              <w:left w:w="60" w:type="dxa"/>
              <w:bottom w:w="30" w:type="dxa"/>
              <w:right w:w="60" w:type="dxa"/>
            </w:tcMar>
            <w:vAlign w:val="center"/>
          </w:tcPr>
          <w:p w14:paraId="02897C76">
            <w:pPr>
              <w:spacing w:line="240" w:lineRule="auto"/>
              <w:jc w:val="center"/>
            </w:pPr>
            <w:r>
              <w:rPr>
                <w:rFonts w:hint="eastAsia"/>
                <w:sz w:val="18"/>
                <w:szCs w:val="18"/>
              </w:rPr>
              <w:t>产业实效附加奖励</w:t>
            </w:r>
          </w:p>
        </w:tc>
        <w:tc>
          <w:tcPr>
            <w:tcW w:w="1900" w:type="dxa"/>
            <w:tcBorders>
              <w:left w:val="nil"/>
              <w:right w:val="nil"/>
            </w:tcBorders>
            <w:tcMar>
              <w:top w:w="30" w:type="dxa"/>
              <w:left w:w="60" w:type="dxa"/>
              <w:bottom w:w="30" w:type="dxa"/>
              <w:right w:w="60" w:type="dxa"/>
            </w:tcMar>
            <w:vAlign w:val="center"/>
          </w:tcPr>
          <w:p w14:paraId="044716B6">
            <w:pPr>
              <w:spacing w:line="240" w:lineRule="auto"/>
              <w:jc w:val="center"/>
            </w:pPr>
            <w:r>
              <w:rPr>
                <w:rFonts w:hint="eastAsia"/>
                <w:sz w:val="18"/>
                <w:szCs w:val="18"/>
              </w:rPr>
              <w:t>增量激励，引导线下转化</w:t>
            </w:r>
          </w:p>
        </w:tc>
        <w:tc>
          <w:tcPr>
            <w:tcW w:w="3000" w:type="dxa"/>
            <w:tcBorders>
              <w:left w:val="nil"/>
              <w:right w:val="nil"/>
            </w:tcBorders>
            <w:tcMar>
              <w:top w:w="30" w:type="dxa"/>
              <w:left w:w="60" w:type="dxa"/>
              <w:bottom w:w="30" w:type="dxa"/>
              <w:right w:w="60" w:type="dxa"/>
            </w:tcMar>
            <w:vAlign w:val="center"/>
          </w:tcPr>
          <w:p w14:paraId="0B210B07">
            <w:pPr>
              <w:spacing w:line="240" w:lineRule="auto"/>
              <w:jc w:val="left"/>
            </w:pPr>
            <w:r>
              <w:rPr>
                <w:rFonts w:hint="eastAsia"/>
                <w:sz w:val="18"/>
                <w:szCs w:val="18"/>
              </w:rPr>
              <w:t>游客搜索热度、旅游线路引用量、景区到访增量、文旅消费额、业态增收</w:t>
            </w:r>
          </w:p>
        </w:tc>
        <w:tc>
          <w:tcPr>
            <w:tcW w:w="1800" w:type="dxa"/>
            <w:tcBorders>
              <w:left w:val="nil"/>
              <w:right w:val="nil"/>
            </w:tcBorders>
            <w:tcMar>
              <w:top w:w="30" w:type="dxa"/>
              <w:left w:w="60" w:type="dxa"/>
              <w:bottom w:w="30" w:type="dxa"/>
              <w:right w:w="60" w:type="dxa"/>
            </w:tcMar>
            <w:vAlign w:val="center"/>
          </w:tcPr>
          <w:p w14:paraId="6F68AB04">
            <w:pPr>
              <w:spacing w:line="240" w:lineRule="auto"/>
              <w:jc w:val="center"/>
            </w:pPr>
            <w:r>
              <w:rPr>
                <w:rFonts w:hint="eastAsia"/>
                <w:sz w:val="18"/>
                <w:szCs w:val="18"/>
              </w:rPr>
              <w:t>传播周期结束后</w:t>
            </w:r>
          </w:p>
        </w:tc>
      </w:tr>
      <w:tr w14:paraId="69F9162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1700" w:type="dxa"/>
            <w:tcBorders>
              <w:left w:val="nil"/>
              <w:bottom w:val="single" w:color="000000" w:sz="12" w:space="0"/>
              <w:right w:val="nil"/>
            </w:tcBorders>
            <w:tcMar>
              <w:top w:w="30" w:type="dxa"/>
              <w:left w:w="60" w:type="dxa"/>
              <w:bottom w:w="30" w:type="dxa"/>
              <w:right w:w="60" w:type="dxa"/>
            </w:tcMar>
            <w:vAlign w:val="center"/>
          </w:tcPr>
          <w:p w14:paraId="71E2C9A0">
            <w:pPr>
              <w:spacing w:line="240" w:lineRule="auto"/>
              <w:jc w:val="center"/>
            </w:pPr>
            <w:r>
              <w:rPr>
                <w:rFonts w:hint="eastAsia"/>
                <w:sz w:val="18"/>
                <w:szCs w:val="18"/>
              </w:rPr>
              <w:t>落地成效专项奖</w:t>
            </w:r>
          </w:p>
        </w:tc>
        <w:tc>
          <w:tcPr>
            <w:tcW w:w="1900" w:type="dxa"/>
            <w:tcBorders>
              <w:left w:val="nil"/>
              <w:bottom w:val="single" w:color="000000" w:sz="12" w:space="0"/>
              <w:right w:val="nil"/>
            </w:tcBorders>
            <w:tcMar>
              <w:top w:w="30" w:type="dxa"/>
              <w:left w:w="60" w:type="dxa"/>
              <w:bottom w:w="30" w:type="dxa"/>
              <w:right w:w="60" w:type="dxa"/>
            </w:tcMar>
            <w:vAlign w:val="center"/>
          </w:tcPr>
          <w:p w14:paraId="6ACA1937">
            <w:pPr>
              <w:spacing w:line="240" w:lineRule="auto"/>
              <w:jc w:val="center"/>
            </w:pPr>
            <w:r>
              <w:rPr>
                <w:rFonts w:hint="eastAsia"/>
                <w:sz w:val="18"/>
                <w:szCs w:val="18"/>
              </w:rPr>
              <w:t>长效激励，强化品牌沉淀</w:t>
            </w:r>
          </w:p>
        </w:tc>
        <w:tc>
          <w:tcPr>
            <w:tcW w:w="3000" w:type="dxa"/>
            <w:tcBorders>
              <w:left w:val="nil"/>
              <w:bottom w:val="single" w:color="000000" w:sz="12" w:space="0"/>
              <w:right w:val="nil"/>
            </w:tcBorders>
            <w:tcMar>
              <w:top w:w="30" w:type="dxa"/>
              <w:left w:w="60" w:type="dxa"/>
              <w:bottom w:w="30" w:type="dxa"/>
              <w:right w:w="60" w:type="dxa"/>
            </w:tcMar>
            <w:vAlign w:val="center"/>
          </w:tcPr>
          <w:p w14:paraId="70C3367B">
            <w:pPr>
              <w:spacing w:line="240" w:lineRule="auto"/>
              <w:jc w:val="left"/>
            </w:pPr>
            <w:r>
              <w:rPr>
                <w:rFonts w:hint="eastAsia"/>
                <w:sz w:val="18"/>
                <w:szCs w:val="18"/>
              </w:rPr>
              <w:t>客流增长、消费提升、就业带动、品牌增值</w:t>
            </w:r>
          </w:p>
        </w:tc>
        <w:tc>
          <w:tcPr>
            <w:tcW w:w="1800" w:type="dxa"/>
            <w:tcBorders>
              <w:left w:val="nil"/>
              <w:bottom w:val="single" w:color="000000" w:sz="12" w:space="0"/>
              <w:right w:val="nil"/>
            </w:tcBorders>
            <w:tcMar>
              <w:top w:w="30" w:type="dxa"/>
              <w:left w:w="60" w:type="dxa"/>
              <w:bottom w:w="30" w:type="dxa"/>
              <w:right w:w="60" w:type="dxa"/>
            </w:tcMar>
            <w:vAlign w:val="center"/>
          </w:tcPr>
          <w:p w14:paraId="04201DE5">
            <w:pPr>
              <w:spacing w:line="240" w:lineRule="auto"/>
              <w:jc w:val="center"/>
            </w:pPr>
            <w:r>
              <w:rPr>
                <w:rFonts w:hint="eastAsia"/>
                <w:sz w:val="18"/>
                <w:szCs w:val="18"/>
              </w:rPr>
              <w:t>传播周期结束后3～6个月</w:t>
            </w:r>
          </w:p>
        </w:tc>
      </w:tr>
    </w:tbl>
    <w:p w14:paraId="31D6DC91">
      <w:pPr>
        <w:spacing w:before="30" w:after="140"/>
      </w:pPr>
      <w:r>
        <w:rPr>
          <w:rFonts w:hint="eastAsia"/>
          <w:sz w:val="18"/>
          <w:szCs w:val="18"/>
        </w:rPr>
        <w:t>注：作者设计。</w:t>
      </w:r>
    </w:p>
    <w:p w14:paraId="1A54B290">
      <w:pPr>
        <w:keepNext/>
        <w:spacing w:before="160" w:after="80"/>
      </w:pPr>
      <w:r>
        <w:rPr>
          <w:rFonts w:eastAsia="黑体"/>
          <w:b/>
          <w:bCs/>
          <w:sz w:val="21"/>
          <w:szCs w:val="21"/>
        </w:rPr>
        <w:t>（二）前移财政扶持关口，培育本土业态与内生流量</w:t>
      </w:r>
    </w:p>
    <w:p w14:paraId="63B80053">
      <w:pPr>
        <w:ind w:firstLine="420"/>
        <w:jc w:val="both"/>
      </w:pPr>
      <w:r>
        <w:rPr>
          <w:rFonts w:hint="eastAsia"/>
          <w:sz w:val="21"/>
          <w:szCs w:val="21"/>
        </w:rPr>
        <w:t>调整财政专项资金投向结构，从“事后奖励外部流量”转向“事前培育本土业态和内生流量”。一是培育标杆文旅新业态。加大对沉浸式文旅、数字文创、网红打卡IP和全域体验产品的扶持力度，依托雪域高原资源特色打造自带流量的标志性文旅IP，补齐线下业态短板。二是迭代本土文旅叙事体系。依托财政专项资金搭建官方创作者孵化平台，设立采风补贴、内容创作扶持资金和账号运营补贴，挖掘契合青年消费群体的体验式、生活化题材。三是普惠培育本土创作主体。设置本土创作者专项扶持通道，适当降低农牧民博主、非遗博主和乡村文旅创作者的参评门槛，重点考核内容质量、本土产业带动和富民增收成效。</w:t>
      </w:r>
    </w:p>
    <w:p w14:paraId="6E5AB31B">
      <w:pPr>
        <w:keepNext/>
        <w:spacing w:before="160" w:after="80"/>
      </w:pPr>
      <w:r>
        <w:rPr>
          <w:rFonts w:eastAsia="黑体"/>
          <w:b/>
          <w:bCs/>
          <w:sz w:val="21"/>
          <w:szCs w:val="21"/>
        </w:rPr>
        <w:t>（三）强化政策协同联动，打通流量富民传导链条</w:t>
      </w:r>
    </w:p>
    <w:p w14:paraId="2C18B9A9">
      <w:pPr>
        <w:ind w:firstLine="420"/>
        <w:jc w:val="both"/>
      </w:pPr>
      <w:r>
        <w:rPr>
          <w:rFonts w:hint="eastAsia"/>
          <w:sz w:val="21"/>
          <w:szCs w:val="21"/>
        </w:rPr>
        <w:t>一是搭建全链条政策联动机制。统筹新媒体流量奖励、迎客入藏补助、精品线路扶持、夜间经济奖励、乡村文旅试点和产业基金扶持等政策资源，建立“热点研判—政策跟进—业态承接—客流导入—消费落地”的闭环工作机制。二是构建流量富民利益联结机制。将本地业态带动、农牧民就业增收、农牧产品代销、村集体经济发展等指标纳入文旅奖补和项目扶持的评审体系，引导获奖博主、文旅经营主体与本地合作社、农牧民建立利益联结。三是统筹城乡文旅资源扶持。加大对县域、边境、乡村小众优质文旅资源的财政投入，完善乡村文旅基础设施，推动全域文旅均衡发展。</w:t>
      </w:r>
    </w:p>
    <w:p w14:paraId="245063A1">
      <w:pPr>
        <w:keepNext/>
        <w:spacing w:before="160" w:after="80"/>
      </w:pPr>
      <w:r>
        <w:rPr>
          <w:rFonts w:eastAsia="黑体"/>
          <w:b/>
          <w:bCs/>
          <w:sz w:val="21"/>
          <w:szCs w:val="21"/>
        </w:rPr>
        <w:t>（四）创新产业基金运作模式，强化财政杠杆效能</w:t>
      </w:r>
    </w:p>
    <w:p w14:paraId="78EDAECE">
      <w:pPr>
        <w:ind w:firstLine="420"/>
        <w:jc w:val="both"/>
      </w:pPr>
      <w:r>
        <w:rPr>
          <w:rFonts w:hint="eastAsia"/>
          <w:sz w:val="21"/>
          <w:szCs w:val="21"/>
        </w:rPr>
        <w:t>一是建立风险分层分担与政府让利机制。设立财政风险补偿资金池，项目亏损时由政府优先承担损失，项目盈利时由政府向社会资本让渡超额收益，激发社会资本跟投意愿。二是实行分阶段评估与分期出资。按照项目建设进度、运营成效和流量转化成果分阶段拨付资金，避免资金闲置与低效使用。三是引入专业化运营力量。委托区外资深文旅投资机构托管基金运营，搭建外部专家智库，补齐本地在投研、风控、估值方面的短板。四是明确市场化退出机制。保障社会资本优先退出，形成“政府敢投、社会愿跟、资本能退”的投资生态。</w:t>
      </w:r>
    </w:p>
    <w:p w14:paraId="6CA99979">
      <w:pPr>
        <w:keepNext/>
        <w:spacing w:before="160" w:after="80"/>
      </w:pPr>
      <w:r>
        <w:rPr>
          <w:rFonts w:eastAsia="黑体"/>
          <w:b/>
          <w:bCs/>
          <w:sz w:val="21"/>
          <w:szCs w:val="21"/>
        </w:rPr>
        <w:t>（五）完善财政引导金融体系，破解文旅融资约束</w:t>
      </w:r>
    </w:p>
    <w:p w14:paraId="3FD29D24">
      <w:pPr>
        <w:ind w:firstLine="420"/>
        <w:jc w:val="both"/>
      </w:pPr>
      <w:r>
        <w:rPr>
          <w:rFonts w:hint="eastAsia"/>
          <w:sz w:val="21"/>
          <w:szCs w:val="21"/>
        </w:rPr>
        <w:t>一是设立文旅产业信贷风险补偿基金，对文旅小微企业不良贷款按比例予以补偿，引导金融机构加大文旅信贷投放。二是健全政策性担保体系，扩大本地政策性担保机构对文旅企业的担保覆盖面，降低担保费率、简化反担保要求。三是丰富文旅专属金融产品，引导金融机构创新知识产权质押、应收账款质押、订单质押等担保方式。四是搭建文旅企业信用共享平台，整合文旅、税务、市场监管和金融数据，建立优质文旅企业“白名单”，缓解银企信息不对称。五是加大偏远景区金融基础设施投入，完善移动支付和智慧金融服务覆盖。</w:t>
      </w:r>
    </w:p>
    <w:p w14:paraId="47E818EA">
      <w:pPr>
        <w:keepNext/>
        <w:spacing w:before="160" w:after="80"/>
      </w:pPr>
      <w:r>
        <w:rPr>
          <w:rFonts w:eastAsia="黑体"/>
          <w:b/>
          <w:bCs/>
          <w:sz w:val="21"/>
          <w:szCs w:val="21"/>
        </w:rPr>
        <w:t>（六）健全全链条绩效监管体系，筑牢财政资金安全防线</w:t>
      </w:r>
    </w:p>
    <w:p w14:paraId="5495882F">
      <w:pPr>
        <w:ind w:firstLine="420"/>
        <w:jc w:val="both"/>
      </w:pPr>
      <w:r>
        <w:rPr>
          <w:rFonts w:hint="eastAsia"/>
          <w:sz w:val="21"/>
          <w:szCs w:val="21"/>
        </w:rPr>
        <w:t>构建“事前绩效设定、事中动态监管、事后成效评估”的闭环绩效管理体系。一是完善资金约束机制，设置年度文旅流量奖励总额上限和单一主体年度奖励封顶制度。二是建立流量真实性监管机制，引入数据核验、舆情监测和实地核查，打击刷量套利、虚假热度等违规行为，实行负面清单管理。三是优化绩效评审机制，扩充财政、产业、文化、金融等领域的专家评审队伍，统筹考量流量热度、产业实效、民生效益和生态效益。四是建立动态评估与长效优化机制，定期梳理政策落地成效、流量转化数据和富民增收成果，动态调整奖补规则与资金投向。</w:t>
      </w:r>
    </w:p>
    <w:p w14:paraId="7D0DA0F6">
      <w:pPr>
        <w:keepNext/>
        <w:spacing w:before="260" w:after="120"/>
      </w:pPr>
      <w:r>
        <w:rPr>
          <w:rFonts w:eastAsia="黑体"/>
          <w:b/>
          <w:bCs/>
          <w:sz w:val="28"/>
          <w:szCs w:val="28"/>
        </w:rPr>
        <w:t>六、结论与展望</w:t>
      </w:r>
    </w:p>
    <w:p w14:paraId="56E9A163">
      <w:pPr>
        <w:keepNext/>
        <w:spacing w:before="160" w:after="80"/>
      </w:pPr>
      <w:r>
        <w:rPr>
          <w:rFonts w:eastAsia="黑体"/>
          <w:b/>
          <w:bCs/>
          <w:sz w:val="21"/>
          <w:szCs w:val="21"/>
        </w:rPr>
        <w:t>（一）主要结论</w:t>
      </w:r>
    </w:p>
    <w:p w14:paraId="58E58D04">
      <w:pPr>
        <w:ind w:firstLine="420"/>
        <w:jc w:val="both"/>
      </w:pPr>
      <w:r>
        <w:rPr>
          <w:rFonts w:hint="eastAsia"/>
          <w:sz w:val="21"/>
          <w:szCs w:val="21"/>
        </w:rPr>
        <w:t>本文以流量经济、公共财政与产业融合理论为支撑，构建短视频流量转化分析框架，考察了西藏文旅财政奖补政策的实践成效与现实困境，主要结论如下。</w:t>
      </w:r>
    </w:p>
    <w:p w14:paraId="24736D7A">
      <w:pPr>
        <w:ind w:firstLine="420"/>
        <w:jc w:val="both"/>
      </w:pPr>
      <w:r>
        <w:rPr>
          <w:rFonts w:hint="eastAsia"/>
          <w:sz w:val="21"/>
          <w:szCs w:val="21"/>
        </w:rPr>
        <w:t>（1）短视频流量奖补是西藏突破地理区位约束、提升文旅品牌影响力的有效制度创新。“李要得”事件以50万元财政奖励换取了千万级传播效应，表明“以奖代投”撬动民间传播资源具有可行性，也意味着流量奖补可以作为偏远地区文旅宣传的常规政策工具加以完善。</w:t>
      </w:r>
    </w:p>
    <w:p w14:paraId="622D7B9B">
      <w:pPr>
        <w:ind w:firstLine="420"/>
        <w:jc w:val="both"/>
      </w:pPr>
      <w:r>
        <w:rPr>
          <w:rFonts w:hint="eastAsia"/>
          <w:sz w:val="21"/>
          <w:szCs w:val="21"/>
        </w:rPr>
        <w:t>（2）流量本身并不等于产业增量，更不等于民生效益。受产业能级偏低、基础设施滞后、经营主体偏弱等条件制约，现行政策在评价、培育、协同、基金、金融和监管六个环节存在堵点，线上热度难以沉淀为线下实效。这意味着财政资金的投向应由单纯奖励传播结果，转向同时培育承接能力。</w:t>
      </w:r>
    </w:p>
    <w:p w14:paraId="4344B6A3">
      <w:pPr>
        <w:ind w:firstLine="420"/>
        <w:jc w:val="both"/>
      </w:pPr>
      <w:r>
        <w:rPr>
          <w:rFonts w:hint="eastAsia"/>
          <w:sz w:val="21"/>
          <w:szCs w:val="21"/>
        </w:rPr>
        <w:t>（3）推动文旅财政政策从“为热度买单”转向“为实效买单”，关键在于以双激励评价校准政策导向，以事前培育夯实承接载体，以协同联动打通富民链条，以基金、金融和绩效监管筑牢资金保障，实现从“流量”到“留量”、再到产业增量和富民增收的转化。</w:t>
      </w:r>
    </w:p>
    <w:p w14:paraId="52C1E78B">
      <w:pPr>
        <w:keepNext/>
        <w:spacing w:before="160" w:after="80"/>
      </w:pPr>
      <w:r>
        <w:rPr>
          <w:rFonts w:eastAsia="黑体"/>
          <w:b/>
          <w:bCs/>
          <w:sz w:val="21"/>
          <w:szCs w:val="21"/>
        </w:rPr>
        <w:t>（二）研究局限与展望</w:t>
      </w:r>
    </w:p>
    <w:p w14:paraId="1C7278E3">
      <w:pPr>
        <w:ind w:firstLine="420"/>
        <w:jc w:val="both"/>
      </w:pPr>
      <w:r>
        <w:rPr>
          <w:rFonts w:hint="eastAsia"/>
          <w:sz w:val="21"/>
          <w:szCs w:val="21"/>
        </w:rPr>
        <w:t>本文以政策文本分析和典型案例为主，尚未对流量奖补政策的产业带动效应开展定量评估。后续研究可结合客流、消费、税收发票等数据，采用事件研究或双重差分等方法识别流量奖补对游客到访和文旅消费的因果效应，并对双激励指标体系的权重设定作进一步检验。</w:t>
      </w:r>
    </w:p>
    <w:p w14:paraId="166C6844">
      <w:pPr>
        <w:keepNext/>
        <w:spacing w:before="260" w:after="120"/>
      </w:pPr>
      <w:r>
        <w:rPr>
          <w:rFonts w:eastAsia="黑体"/>
          <w:b/>
          <w:bCs/>
          <w:sz w:val="28"/>
          <w:szCs w:val="28"/>
        </w:rPr>
        <w:t>参考文献</w:t>
      </w:r>
    </w:p>
    <w:p w14:paraId="2BB284D3">
      <w:pPr>
        <w:spacing w:after="20" w:line="300" w:lineRule="auto"/>
        <w:ind w:left="360" w:hanging="360"/>
      </w:pPr>
      <w:r>
        <w:rPr>
          <w:rFonts w:hint="eastAsia"/>
          <w:sz w:val="20"/>
          <w:szCs w:val="20"/>
        </w:rPr>
        <w:t>[1] 习近平.高举中国特色社会主义伟大旗帜　为全面建设社会主义现代化国家而团结奋斗——在中国共产党第二十次全国代表大会上的报告[M].北京:人民出版社,2022.</w:t>
      </w:r>
    </w:p>
    <w:p w14:paraId="57675349">
      <w:pPr>
        <w:spacing w:after="20" w:line="300" w:lineRule="auto"/>
        <w:ind w:left="360" w:hanging="360"/>
      </w:pPr>
      <w:r>
        <w:rPr>
          <w:rFonts w:hint="eastAsia"/>
          <w:sz w:val="20"/>
          <w:szCs w:val="20"/>
        </w:rPr>
        <w:t>[2] 中共中央关于进一步全面深化改革、推进中国式现代化的决定[M].北京:人民出版社,2024.</w:t>
      </w:r>
    </w:p>
    <w:p w14:paraId="2B3CC0B6">
      <w:pPr>
        <w:spacing w:after="20" w:line="300" w:lineRule="auto"/>
        <w:ind w:left="360" w:hanging="360"/>
      </w:pPr>
      <w:r>
        <w:rPr>
          <w:rFonts w:hint="eastAsia"/>
          <w:sz w:val="20"/>
          <w:szCs w:val="20"/>
        </w:rPr>
        <w:t>[3] 中共中央关于制定国民经济和社会发展第十五个五年规划的建议[M].北京:人民出版社,2025.</w:t>
      </w:r>
    </w:p>
    <w:p w14:paraId="05551420">
      <w:pPr>
        <w:spacing w:after="20" w:line="300" w:lineRule="auto"/>
        <w:ind w:left="360" w:hanging="360"/>
      </w:pPr>
      <w:r>
        <w:rPr>
          <w:rFonts w:hint="eastAsia"/>
          <w:sz w:val="20"/>
          <w:szCs w:val="20"/>
        </w:rPr>
        <w:t>[4] 西藏自治区人民政府办公厅.关于印发《财政支持文化旅游产业高质量发展十二条措施》的通知:藏政办发〔2025〕13号[Z].2025.</w:t>
      </w:r>
    </w:p>
    <w:p w14:paraId="5A5813D0">
      <w:pPr>
        <w:spacing w:after="20" w:line="300" w:lineRule="auto"/>
        <w:ind w:left="360" w:hanging="360"/>
      </w:pPr>
      <w:r>
        <w:rPr>
          <w:rFonts w:hint="eastAsia"/>
          <w:sz w:val="20"/>
          <w:szCs w:val="20"/>
        </w:rPr>
        <w:t>[5] 西藏自治区财政厅,西藏自治区文化和旅游厅,西藏自治区体育局.西藏自治区新媒体平台宣传推介西藏文旅资源奖励实施细则(试行)[Z].2026.</w:t>
      </w:r>
    </w:p>
    <w:p w14:paraId="214BFBE5">
      <w:pPr>
        <w:spacing w:after="20" w:line="300" w:lineRule="auto"/>
        <w:ind w:left="360" w:hanging="360"/>
      </w:pPr>
      <w:r>
        <w:rPr>
          <w:rFonts w:hint="eastAsia"/>
          <w:sz w:val="20"/>
          <w:szCs w:val="20"/>
        </w:rPr>
        <w:t>[6] 文化和旅游部.文化和旅游部关于推动数字文化产业高质量发展的意见:文旅产业发〔2020〕78号[Z].2020.</w:t>
      </w:r>
    </w:p>
    <w:p w14:paraId="4674F03F">
      <w:pPr>
        <w:spacing w:after="20" w:line="300" w:lineRule="auto"/>
        <w:ind w:left="360" w:hanging="360"/>
      </w:pPr>
      <w:r>
        <w:rPr>
          <w:rFonts w:hint="eastAsia"/>
          <w:sz w:val="20"/>
          <w:szCs w:val="20"/>
        </w:rPr>
        <w:t>[7] 中国互联网络信息中心.第57次中国互联网络发展状况统计报告[R].北京:中国互联网络信息中心,2026.</w:t>
      </w:r>
    </w:p>
    <w:p w14:paraId="40DDCFF5">
      <w:pPr>
        <w:spacing w:after="20" w:line="300" w:lineRule="auto"/>
        <w:ind w:left="360" w:hanging="360"/>
      </w:pPr>
      <w:r>
        <w:rPr>
          <w:rFonts w:hint="eastAsia"/>
          <w:sz w:val="20"/>
          <w:szCs w:val="20"/>
        </w:rPr>
        <w:t>[8] 石良平,王素云,王晶晶.从存量到流量的经济学分析：流量经济理论框架的构建[J].学术月刊,2019(1).</w:t>
      </w:r>
    </w:p>
    <w:p w14:paraId="0A21AB91">
      <w:pPr>
        <w:spacing w:after="20" w:line="300" w:lineRule="auto"/>
        <w:ind w:left="360" w:hanging="360"/>
      </w:pPr>
      <w:r>
        <w:rPr>
          <w:rFonts w:hint="eastAsia"/>
          <w:sz w:val="20"/>
          <w:szCs w:val="20"/>
        </w:rPr>
        <w:t>[9] 何伦凤,曾睿.流量经济视角下乡村旅游发展的内生动力与运行逻辑——以“丁真”现象为例[J].旅游研究,2022(6).</w:t>
      </w:r>
    </w:p>
    <w:p w14:paraId="1FA19402">
      <w:pPr>
        <w:spacing w:after="20" w:line="300" w:lineRule="auto"/>
        <w:ind w:left="360" w:hanging="360"/>
      </w:pPr>
      <w:r>
        <w:rPr>
          <w:rFonts w:hint="eastAsia"/>
          <w:sz w:val="20"/>
          <w:szCs w:val="20"/>
        </w:rPr>
        <w:t>[10] 林明水,胡晓鹏,杨勇,等.流量经济对旅游资源创新性开发的影响：热反应与冷思考[J].自然资源学报,2023(9).</w:t>
      </w:r>
    </w:p>
    <w:p w14:paraId="59DAAFFC">
      <w:pPr>
        <w:spacing w:after="20" w:line="300" w:lineRule="auto"/>
        <w:ind w:left="360" w:hanging="360"/>
      </w:pPr>
      <w:r>
        <w:rPr>
          <w:rFonts w:hint="eastAsia"/>
          <w:sz w:val="20"/>
          <w:szCs w:val="20"/>
        </w:rPr>
        <w:t>[11] 任新玉,李燕军.流量经济视角下吉林省乡村旅游高质量发展路径研究[J].山西农经,2024(18).</w:t>
      </w:r>
    </w:p>
    <w:p w14:paraId="414484F3">
      <w:pPr>
        <w:spacing w:after="20" w:line="300" w:lineRule="auto"/>
        <w:ind w:left="360" w:hanging="360"/>
      </w:pPr>
      <w:r>
        <w:rPr>
          <w:rFonts w:hint="eastAsia"/>
          <w:sz w:val="20"/>
          <w:szCs w:val="20"/>
        </w:rPr>
        <w:t>[12] 叶勇,吴懿君.短视频助力地方文旅宣传的特征、效应与策略——基于文旅局长“出圈”短视频分析[J].中国广播电视学刊,2023(10).</w:t>
      </w:r>
    </w:p>
    <w:p w14:paraId="1894CE8B">
      <w:pPr>
        <w:spacing w:after="20" w:line="300" w:lineRule="auto"/>
        <w:ind w:left="360" w:hanging="360"/>
      </w:pPr>
      <w:r>
        <w:rPr>
          <w:rFonts w:hint="eastAsia"/>
          <w:sz w:val="20"/>
          <w:szCs w:val="20"/>
        </w:rPr>
        <w:t>[13] 曹冬松,方雷.数字时代的“网红城市”：生成形态、流量效应与治理转型——基于典型城市的案例考察[J].电子政务,2025(1).</w:t>
      </w:r>
    </w:p>
    <w:p w14:paraId="0FE5DBD2">
      <w:pPr>
        <w:spacing w:after="20" w:line="300" w:lineRule="auto"/>
        <w:ind w:left="360" w:hanging="360"/>
      </w:pPr>
      <w:r>
        <w:rPr>
          <w:rFonts w:hint="eastAsia"/>
          <w:sz w:val="20"/>
          <w:szCs w:val="20"/>
        </w:rPr>
        <w:t>[14] 侯志茹,岳世聪.乡村振兴背景下西藏地区文旅融合发展模式探究[J].西藏大学学报(社会科学版),2020(3).</w:t>
      </w:r>
    </w:p>
    <w:p w14:paraId="6168626B">
      <w:pPr>
        <w:spacing w:after="20" w:line="300" w:lineRule="auto"/>
        <w:ind w:left="360" w:hanging="360"/>
      </w:pPr>
      <w:r>
        <w:rPr>
          <w:rFonts w:hint="eastAsia"/>
          <w:sz w:val="20"/>
          <w:szCs w:val="20"/>
        </w:rPr>
        <w:t>[15] 张志新,董帅虎.乡村振兴战略下西藏乡土文化和乡村旅游开发融合研究[J].南方农业,2022(4).</w:t>
      </w:r>
    </w:p>
    <w:p w14:paraId="0533AB41">
      <w:pPr>
        <w:spacing w:after="20" w:line="300" w:lineRule="auto"/>
        <w:ind w:left="360" w:hanging="360"/>
      </w:pPr>
      <w:r>
        <w:rPr>
          <w:rFonts w:hint="eastAsia"/>
          <w:sz w:val="20"/>
          <w:szCs w:val="20"/>
        </w:rPr>
        <w:t>[16] 孔少华,李瀚尊,余子怡.西藏文旅融合特征测度与比较分析——基于投入产出理论与共生理论[J].西藏大学学报(社会科学版),2024(3).</w:t>
      </w:r>
    </w:p>
    <w:p w14:paraId="38127522">
      <w:pPr>
        <w:spacing w:after="20" w:line="300" w:lineRule="auto"/>
        <w:ind w:left="360" w:hanging="360"/>
      </w:pPr>
      <w:r>
        <w:rPr>
          <w:rFonts w:hint="eastAsia"/>
          <w:sz w:val="20"/>
          <w:szCs w:val="20"/>
        </w:rPr>
        <w:t>[17] 化睿云.数字化背景下西藏“沉浸式”文旅融合新业态的创新路径研究[J].新西部,2024(7).</w:t>
      </w:r>
    </w:p>
    <w:p w14:paraId="589BDA45">
      <w:pPr>
        <w:spacing w:after="20" w:line="300" w:lineRule="auto"/>
        <w:ind w:left="360" w:hanging="360"/>
      </w:pPr>
      <w:r>
        <w:rPr>
          <w:rFonts w:hint="eastAsia"/>
          <w:sz w:val="20"/>
          <w:szCs w:val="20"/>
        </w:rPr>
        <w:t>[18] 彭坤杰,石彩霞,贺小荣,等.湖南省文旅产业融合水平的时空演化、动态耦合及驱动因素[J].陕西师范大学学报(自然科学版),2025(2).</w:t>
      </w:r>
    </w:p>
    <w:p w14:paraId="68D05472">
      <w:pPr>
        <w:spacing w:after="20" w:line="300" w:lineRule="auto"/>
        <w:ind w:left="360" w:hanging="360"/>
      </w:pPr>
      <w:r>
        <w:rPr>
          <w:rFonts w:hint="eastAsia"/>
          <w:sz w:val="20"/>
          <w:szCs w:val="20"/>
        </w:rPr>
        <w:t>[19] 胡羽珊,张鹏龙,郑新业.中国消费券发放的多维经济效应——基于居民文旅消费微观数据的估计[J].经济研究,2025(9).</w:t>
      </w:r>
    </w:p>
    <w:p w14:paraId="6CD0BC17">
      <w:pPr>
        <w:spacing w:after="20" w:line="300" w:lineRule="auto"/>
        <w:ind w:left="360" w:hanging="360"/>
      </w:pPr>
      <w:r>
        <w:rPr>
          <w:rFonts w:hint="eastAsia"/>
          <w:sz w:val="20"/>
          <w:szCs w:val="20"/>
        </w:rPr>
        <w:t>[20] 马晓行,宋建伟.支持文化旅游产业发展的财政政策研究[J].营销界,2023(11).</w:t>
      </w:r>
    </w:p>
    <w:p w14:paraId="019AE7AD">
      <w:pPr>
        <w:spacing w:after="20" w:line="300" w:lineRule="auto"/>
        <w:ind w:left="360" w:hanging="360"/>
      </w:pPr>
      <w:r>
        <w:rPr>
          <w:rFonts w:hint="eastAsia"/>
          <w:sz w:val="20"/>
          <w:szCs w:val="20"/>
        </w:rPr>
        <w:t>[21] 昝孟涵.延安市文化和旅游深度融合发展的财政支持政策研究[J].西部旅游,2024(21).</w:t>
      </w:r>
    </w:p>
    <w:p w14:paraId="6EDBA9A5">
      <w:pPr>
        <w:spacing w:after="20" w:line="300" w:lineRule="auto"/>
        <w:ind w:left="360" w:hanging="360"/>
      </w:pPr>
      <w:r>
        <w:rPr>
          <w:rFonts w:hint="eastAsia"/>
          <w:sz w:val="20"/>
          <w:szCs w:val="20"/>
        </w:rPr>
        <w:t>[22] 西藏文旅产业乘风崛起[EB/OL].央广网,(2026-05-25)[2026-09-28].https://www.cnr.cn/xz/gstjxz/20260525/t20260525_527634472.shtml.</w:t>
      </w:r>
    </w:p>
    <w:p w14:paraId="1E16D17A">
      <w:pPr>
        <w:spacing w:after="20" w:line="300" w:lineRule="auto"/>
        <w:ind w:left="360" w:hanging="360"/>
      </w:pPr>
      <w:r>
        <w:rPr>
          <w:rFonts w:hint="eastAsia"/>
          <w:sz w:val="20"/>
          <w:szCs w:val="20"/>
        </w:rPr>
        <w:t>[23] 西藏自治区统计局,国家统计局西藏调查总队.西藏自治区国民经济和社会发展统计公报(2021—2025)[R].2022—2026.</w:t>
      </w:r>
    </w:p>
    <w:p w14:paraId="0FC5678B">
      <w:pPr>
        <w:spacing w:after="20" w:line="300" w:lineRule="auto"/>
        <w:ind w:left="360" w:hanging="360"/>
      </w:pPr>
      <w:r>
        <w:rPr>
          <w:rFonts w:hint="eastAsia"/>
          <w:sz w:val="20"/>
          <w:szCs w:val="20"/>
        </w:rPr>
        <w:t>[24] 西藏“十三五”接待游客近1.6亿人次[EB/OL].人民网,(2021-05-06)[2026-09-28].http://xz.people.com.cn/n2/2021/0506/c138901-34710765.html.</w:t>
      </w:r>
    </w:p>
    <w:p w14:paraId="7D97CDB6">
      <w:pPr>
        <w:spacing w:after="20" w:line="300" w:lineRule="auto"/>
        <w:ind w:left="360" w:hanging="360"/>
      </w:pPr>
      <w:r>
        <w:rPr>
          <w:rFonts w:hint="eastAsia"/>
          <w:sz w:val="20"/>
          <w:szCs w:val="20"/>
        </w:rPr>
        <w:t>[25] 2025年西藏文旅产业实现规模与质量双提升[EB/OL].西藏自治区人民政府网,(2026-01-28)[2026-09-28].https://www.xizang.gov.cn/xwzx_406/bmkx/202601/t20260128_521430.html.</w:t>
      </w:r>
    </w:p>
    <w:p w14:paraId="07005399">
      <w:pPr>
        <w:spacing w:after="20" w:line="300" w:lineRule="auto"/>
        <w:ind w:left="360" w:hanging="360"/>
      </w:pPr>
      <w:r>
        <w:rPr>
          <w:rFonts w:hint="eastAsia"/>
          <w:sz w:val="20"/>
          <w:szCs w:val="20"/>
        </w:rPr>
        <w:t>[26] 西藏自治区文化和旅游厅,西藏自治区财政厅.关于自媒体创作者“李要得”文旅宣传作品奖励事宜的公告[EB/OL].西藏自治区文化和旅游厅网站,(2026-07-05)[2026-09-28].https://wlt.xizang.gov.cn/xwzx_69/tzgg/202607/t20260705_548586.html.</w:t>
      </w:r>
    </w:p>
    <w:p w14:paraId="3E08D69F">
      <w:pPr>
        <w:spacing w:after="20" w:line="300" w:lineRule="auto"/>
        <w:ind w:left="360" w:hanging="360"/>
      </w:pPr>
      <w:r>
        <w:rPr>
          <w:rFonts w:hint="eastAsia"/>
          <w:sz w:val="20"/>
          <w:szCs w:val="20"/>
        </w:rPr>
        <w:t>[27] 50万元即将兑现，李要得最新回应：两位师傅1人1万，剩下48万元将代表网友全部捐出[EB/OL].澎湃新闻,(2026-07-05)[2026-09-28].https://m.thepaper.cn/newsDetail_forward_33522259.</w:t>
      </w:r>
    </w:p>
    <w:p w14:paraId="5EE0A57C">
      <w:pPr>
        <w:spacing w:after="20" w:line="300" w:lineRule="auto"/>
        <w:ind w:left="360" w:hanging="360"/>
      </w:pPr>
      <w:r>
        <w:rPr>
          <w:rFonts w:hint="eastAsia"/>
          <w:sz w:val="20"/>
          <w:szCs w:val="20"/>
        </w:rPr>
        <w:t>[28] 西藏全区公路通车总里程达12.49万公里[EB/OL].西藏自治区人民政府网,(2025-01-09)[2026-09-28].https://www.xizang.gov.cn/xwzx_406/bmkx/202501/t20250109_456325.html.</w:t>
      </w:r>
    </w:p>
    <w:p w14:paraId="60B88A2F">
      <w:pPr>
        <w:spacing w:after="20" w:line="300" w:lineRule="auto"/>
        <w:ind w:left="360" w:hanging="360"/>
      </w:pPr>
      <w:r>
        <w:rPr>
          <w:rFonts w:hint="eastAsia"/>
          <w:sz w:val="20"/>
          <w:szCs w:val="20"/>
        </w:rPr>
        <w:t>[29] 拉日高等级公路全线通车！西藏高等级公路总里程达1196公里[EB/OL].中国青年网,(2024-06-30)[2026-09-28].https://news.cyol.com/gb/articles/2024-06/30/content_99j58zcaGq.html.</w:t>
      </w:r>
    </w:p>
    <w:p w14:paraId="04D1A898">
      <w:pPr>
        <w:spacing w:after="20" w:line="300" w:lineRule="auto"/>
        <w:ind w:left="360" w:hanging="360"/>
      </w:pPr>
      <w:r>
        <w:rPr>
          <w:rFonts w:hint="eastAsia"/>
          <w:sz w:val="20"/>
          <w:szCs w:val="20"/>
        </w:rPr>
        <w:t>[30] 总规模达15亿元拉萨市产业强市母基金正式启动[EB/OL].西藏自治区人民政府网,(2025-05-22)[2026-09-28].https://www.xizang.gov.cn/xwzx_406/dsdt/202505/t20250522_479843.html.</w:t>
      </w:r>
    </w:p>
    <w:p w14:paraId="10401601">
      <w:pPr>
        <w:spacing w:after="20" w:line="300" w:lineRule="auto"/>
        <w:ind w:left="360" w:hanging="360"/>
      </w:pPr>
      <w:r>
        <w:rPr>
          <w:rFonts w:hint="eastAsia"/>
          <w:sz w:val="20"/>
          <w:szCs w:val="20"/>
        </w:rPr>
        <w:t>[31] 拉萨市产业强市投资基金西藏文化旅游创意园区文化旅游产业发展基金子基金项目出资公示[EB/OL].拉萨市人民政府网,(2025-11-13)[2026-09-28].https://www.lasa.gov.cn/lasa/tggs/202511/5e090ed593d146c089b8995aadb9ad0c.shtml.</w:t>
      </w:r>
    </w:p>
    <w:p w14:paraId="7EB5E355">
      <w:pPr>
        <w:spacing w:after="20" w:line="300" w:lineRule="auto"/>
        <w:ind w:left="360" w:hanging="360"/>
      </w:pPr>
      <w:r>
        <w:rPr>
          <w:rFonts w:hint="eastAsia"/>
          <w:sz w:val="20"/>
          <w:szCs w:val="20"/>
        </w:rPr>
        <w:t>[32] 西藏73个文旅项目来京推介[EB/OL].千龙网,(2025-07-31)[2026-09-28].https://beijing.qianlong.com/2025/0731/8530614.shtml.</w:t>
      </w:r>
    </w:p>
    <w:p w14:paraId="704BD5E7">
      <w:pPr>
        <w:spacing w:after="20" w:line="300" w:lineRule="auto"/>
        <w:ind w:left="360" w:hanging="360"/>
      </w:pPr>
      <w:r>
        <w:rPr>
          <w:rFonts w:hint="eastAsia"/>
          <w:sz w:val="20"/>
          <w:szCs w:val="20"/>
        </w:rPr>
        <w:t>[33] 农行西藏分行贷款余额突破2000亿元大关[EB/OL].西藏头条网,(2026-01-14)[2026-09-28].https://toutiao.xzdw.gov.cn/yw/202601/t20260114_641264.html.</w:t>
      </w:r>
    </w:p>
    <w:p w14:paraId="3FA3E5FC">
      <w:pPr>
        <w:spacing w:before="240" w:after="60"/>
        <w:jc w:val="center"/>
      </w:pPr>
      <w:r>
        <w:rPr>
          <w:rFonts w:hint="eastAsia"/>
          <w:b/>
          <w:bCs/>
          <w:sz w:val="22"/>
          <w:szCs w:val="22"/>
        </w:rPr>
        <w:t>From Traffic to Retention: Optimizing Xizang's Fiscal Reward Policy for Cultural Tourism Promotion</w:t>
      </w:r>
    </w:p>
    <w:p w14:paraId="0D12CBCA">
      <w:pPr>
        <w:spacing w:after="120"/>
        <w:jc w:val="center"/>
      </w:pPr>
      <w:r>
        <w:rPr>
          <w:rFonts w:hint="eastAsia"/>
          <w:highlight w:val="yellow"/>
        </w:rPr>
        <w:t>【Author Name】</w:t>
      </w:r>
      <w:r>
        <w:br w:type="textWrapping"/>
      </w:r>
      <w:r>
        <w:rPr>
          <w:rFonts w:hint="eastAsia"/>
        </w:rPr>
        <w:t>(</w:t>
      </w:r>
      <w:r>
        <w:rPr>
          <w:rFonts w:hint="eastAsia"/>
          <w:highlight w:val="yellow"/>
        </w:rPr>
        <w:t>【Affiliation】</w:t>
      </w:r>
      <w:r>
        <w:rPr>
          <w:rFonts w:hint="eastAsia"/>
        </w:rPr>
        <w:t xml:space="preserve">, </w:t>
      </w:r>
      <w:r>
        <w:rPr>
          <w:rFonts w:hint="eastAsia"/>
          <w:highlight w:val="yellow"/>
        </w:rPr>
        <w:t>【City】</w:t>
      </w:r>
      <w:r>
        <w:rPr>
          <w:rFonts w:hint="eastAsia"/>
        </w:rPr>
        <w:t xml:space="preserve">, Xizang </w:t>
      </w:r>
      <w:r>
        <w:rPr>
          <w:rFonts w:hint="eastAsia"/>
          <w:highlight w:val="yellow"/>
        </w:rPr>
        <w:t>【Postcode】</w:t>
      </w:r>
      <w:r>
        <w:rPr>
          <w:rFonts w:hint="eastAsia"/>
        </w:rPr>
        <w:t>)</w:t>
      </w:r>
    </w:p>
    <w:p w14:paraId="0EC546CB">
      <w:pPr>
        <w:spacing w:after="100" w:line="300" w:lineRule="auto"/>
        <w:jc w:val="both"/>
      </w:pPr>
      <w:r>
        <w:rPr>
          <w:rFonts w:hint="eastAsia"/>
          <w:b/>
          <w:bCs/>
        </w:rPr>
        <w:t>Abstract:</w:t>
      </w:r>
      <w:r>
        <w:rPr>
          <w:rFonts w:hint="eastAsia"/>
        </w:rPr>
        <w:t xml:space="preserve"> Short-video traffic incentives have become a new fiscal instrument for promoting cultural tourism in remote regions. Under its twelve fiscal measures and a new-media reward scheme, Xizang pays tiered rewards according to the number of likes a work receives, and paid a 500,000-yuan reward to the blogger "Li Yaode", leveraging tens of millions of online interactions at low fiscal cost. Yet the conversion of online attention into offline industrial growth and rural income remains weak. Drawing on theories of traffic economics, public finance and industrial integration, this paper builds an analytical framework of traffic conversion along the chain of "hotspot trigger — visitor inflow — itinerary absorption — on-site consumption — income for local residents". Combining industry data and policy texts, it identifies six bottlenecks: a single evaluation dimension, insufficient ex-ante cultivation, fragmented policy coordination, weak leverage of industry funds, thin financial support and incomplete performance supervision. It then proposes a dual-incentive scheme combining a basic popularity reward with an add-on reward for industrial outcomes, earlier support for local businesses and creators, benefit-linkage mechanisms for local residents, risk-sharing and staged funding for industry funds, fiscally guided tourism finance, and whole-chain performance supervision, so that fiscal policy shifts from paying for popularity to paying for results.</w:t>
      </w:r>
    </w:p>
    <w:p w14:paraId="5EF10395">
      <w:pPr>
        <w:spacing w:after="100"/>
        <w:jc w:val="both"/>
      </w:pPr>
      <w:r>
        <w:rPr>
          <w:rFonts w:hint="eastAsia"/>
          <w:b/>
          <w:bCs/>
        </w:rPr>
        <w:t>Keywords:</w:t>
      </w:r>
      <w:r>
        <w:rPr>
          <w:rFonts w:hint="eastAsia"/>
        </w:rPr>
        <w:t xml:space="preserve"> Xizang; Cultural Tourism; Short-video Traffic; Fiscal Rewards; Traffic Conversion; Revitalizing Border Areas</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 w:id="0">
    <w:p w14:paraId="0B2EF567">
      <w:pPr>
        <w:snapToGrid w:val="0"/>
        <w:jc w:val="both"/>
        <w:rPr>
          <w:sz w:val="18"/>
          <w:szCs w:val="18"/>
        </w:rPr>
      </w:pPr>
      <w:r>
        <w:rPr>
          <w:sz w:val="18"/>
          <w:szCs w:val="18"/>
          <w:vertAlign w:val="superscript"/>
        </w:rPr>
        <w:footnoteRef/>
      </w:r>
      <w:r>
        <w:rPr>
          <w:rFonts w:ascii="仿宋" w:hAnsi="仿宋" w:eastAsia="仿宋"/>
          <w:sz w:val="18"/>
          <w:szCs w:val="18"/>
        </w:rPr>
        <w:t xml:space="preserve"> 基金项目：【待补充：项目名称（项目号：……）】</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1"/>
  <w:bordersDoNotSurroundFooter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81A8E"/>
    <w:rsid w:val="00682C14"/>
    <w:rsid w:val="006B22D1"/>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16B2725A"/>
    <w:rsid w:val="1F617319"/>
    <w:rsid w:val="29976824"/>
    <w:rsid w:val="43187AEE"/>
    <w:rsid w:val="581739DB"/>
    <w:rsid w:val="5D752C36"/>
    <w:rsid w:val="6B58657E"/>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12</Pages>
  <Words>5692</Words>
  <Characters>6105</Characters>
  <Lines>544</Lines>
  <Paragraphs>468</Paragraphs>
  <TotalTime>53</TotalTime>
  <ScaleCrop>false</ScaleCrop>
  <LinksUpToDate>false</LinksUpToDate>
  <CharactersWithSpaces>6115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2026-09-28T00:00:00Z</dcterms:created>
  <dc:creator>Umb.虔诚</dc:creator>
  <cp:lastModifiedBy>Umb.虔诚</cp:lastModifiedBy>
  <dcterms:modified xsi:type="dcterms:W3CDTF">2026-09-28T16:27:07Z</dcterms:modified>
  <dc:title>从“流量”到“留量”：西藏文旅财政奖补政策优化</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eyJoZGlkIjoiZDA3Y2MxMTVmOGQyNWNlZjBjMmVkM2IwMGE2OWYxMjAiLCJ1c2VySWQiOiIxMTcwMDc5NjE1In0=</vt:lpwstr>
  </property>
  <property fmtid="{D5CDD505-2E9C-101B-9397-08002B2CF9AE}" pid="3" name="KSOProductBuildVer">
    <vt:lpwstr>2052-12.1.0.28505</vt:lpwstr>
  </property>
  <property fmtid="{D5CDD505-2E9C-101B-9397-08002B2CF9AE}" pid="4" name="ICV">
    <vt:lpwstr>BE05396F5529444E9D3B20B8088DA173_12</vt:lpwstr>
  </property>
</Properties>
</file>