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7E92C">
      <w:pPr>
        <w:spacing w:before="120" w:after="40"/>
        <w:jc w:val="center"/>
      </w:pPr>
      <w:r>
        <w:rPr>
          <w:rFonts w:eastAsia="黑体"/>
          <w:b/>
          <w:bCs/>
          <w:sz w:val="30"/>
          <w:szCs w:val="30"/>
        </w:rPr>
        <w:t>国家战略功能约束下西藏高质量发展的三元协调评价</w:t>
      </w:r>
    </w:p>
    <w:p w14:paraId="3AF91374">
      <w:pPr>
        <w:spacing w:after="120"/>
        <w:jc w:val="center"/>
      </w:pPr>
      <w:r>
        <w:rPr>
          <w:rFonts w:hint="eastAsia" w:eastAsia="黑体"/>
          <w:b/>
          <w:bCs/>
          <w:sz w:val="24"/>
          <w:szCs w:val="24"/>
        </w:rPr>
        <w:t>——</w:t>
      </w:r>
      <w:r>
        <w:rPr>
          <w:rFonts w:eastAsia="黑体"/>
          <w:b/>
          <w:bCs/>
          <w:sz w:val="24"/>
          <w:szCs w:val="24"/>
        </w:rPr>
        <w:t>基于</w:t>
      </w:r>
      <w:r>
        <w:rPr>
          <w:rFonts w:hint="eastAsia" w:eastAsia="黑体"/>
          <w:b/>
          <w:bCs/>
          <w:sz w:val="24"/>
          <w:szCs w:val="24"/>
        </w:rPr>
        <w:t>“</w:t>
      </w:r>
      <w:r>
        <w:rPr>
          <w:rFonts w:eastAsia="黑体"/>
          <w:b/>
          <w:bCs/>
          <w:sz w:val="24"/>
          <w:szCs w:val="24"/>
        </w:rPr>
        <w:t>安全</w:t>
      </w:r>
      <w:r>
        <w:rPr>
          <w:rFonts w:hint="eastAsia" w:eastAsia="黑体"/>
          <w:b/>
          <w:bCs/>
          <w:sz w:val="24"/>
          <w:szCs w:val="24"/>
        </w:rPr>
        <w:t>—</w:t>
      </w:r>
      <w:r>
        <w:rPr>
          <w:rFonts w:eastAsia="黑体"/>
          <w:b/>
          <w:bCs/>
          <w:sz w:val="24"/>
          <w:szCs w:val="24"/>
        </w:rPr>
        <w:t>发展</w:t>
      </w:r>
      <w:r>
        <w:rPr>
          <w:rFonts w:hint="eastAsia" w:eastAsia="黑体"/>
          <w:b/>
          <w:bCs/>
          <w:sz w:val="24"/>
          <w:szCs w:val="24"/>
        </w:rPr>
        <w:t>—</w:t>
      </w:r>
      <w:r>
        <w:rPr>
          <w:rFonts w:eastAsia="黑体"/>
          <w:b/>
          <w:bCs/>
          <w:sz w:val="24"/>
          <w:szCs w:val="24"/>
        </w:rPr>
        <w:t>生态</w:t>
      </w:r>
      <w:r>
        <w:rPr>
          <w:rFonts w:hint="eastAsia" w:eastAsia="黑体"/>
          <w:b/>
          <w:bCs/>
          <w:sz w:val="24"/>
          <w:szCs w:val="24"/>
        </w:rPr>
        <w:t>”</w:t>
      </w:r>
      <w:r>
        <w:rPr>
          <w:rFonts w:eastAsia="黑体"/>
          <w:b/>
          <w:bCs/>
          <w:sz w:val="24"/>
          <w:szCs w:val="24"/>
        </w:rPr>
        <w:t>的测度</w:t>
      </w:r>
    </w:p>
    <w:p w14:paraId="006C1426">
      <w:pPr>
        <w:spacing w:after="200"/>
        <w:jc w:val="center"/>
      </w:pPr>
      <w:r>
        <w:rPr>
          <w:rFonts w:hint="eastAsia"/>
        </w:rPr>
        <w:t>巩艳红　王展鹏　赵子欢</w:t>
      </w:r>
    </w:p>
    <w:p w14:paraId="4D4DA276">
      <w:pPr>
        <w:spacing w:after="200"/>
        <w:jc w:val="center"/>
      </w:pPr>
      <w:r>
        <w:t>（</w:t>
      </w:r>
      <w:r>
        <w:rPr>
          <w:rFonts w:hint="eastAsia"/>
        </w:rPr>
        <w:t>西藏大学财经学院　西藏拉萨　850000</w:t>
      </w:r>
      <w:r>
        <w:t>）</w:t>
      </w:r>
      <w:r>
        <w:rPr>
          <w:vertAlign w:val="superscript"/>
        </w:rPr>
        <w:footnoteReference w:id="0"/>
      </w:r>
    </w:p>
    <w:p w14:paraId="365E6C99">
      <w:pPr>
        <w:spacing w:after="60"/>
        <w:ind w:firstLine="420"/>
        <w:jc w:val="both"/>
        <w:rPr>
          <w:sz w:val="18"/>
          <w:szCs w:val="18"/>
        </w:rPr>
      </w:pPr>
      <w:r>
        <w:rPr>
          <w:rFonts w:eastAsia="黑体"/>
          <w:b/>
          <w:bCs/>
        </w:rPr>
        <w:t xml:space="preserve">摘要　西藏同时承担生态安全屏障、边疆安全屏障与高原经济发展等多重国家战略功能。本文以治藏方略“四件大事”为学理起点，构建包含13项指标的“安全—发展—生态”三元评价框架，采用固定基准标准化与失衡惩罚型协调指数（MPI）测度2016—2025年西藏三元协调状况。结果表明：MPI由0.393升至0.754；相对短板由生态（2016—2017年）转为发展（2018—2022年），2023—2025年安全改善趋缓；三元指数与通用线性加总指数走势高度一致（相关系数0.979），其增量在于按战略功能识别阶段性短板。据此提出优化服务业结构、畅通生态价值转化通道、稳固民生保障投入和建立短板动态监测机制等建议。</w:t>
      </w:r>
    </w:p>
    <w:p w14:paraId="5F7905D1">
      <w:pPr>
        <w:spacing w:after="160"/>
        <w:ind w:firstLine="420"/>
        <w:jc w:val="both"/>
      </w:pPr>
      <w:r>
        <w:rPr>
          <w:rFonts w:eastAsia="黑体"/>
          <w:b/>
          <w:bCs/>
        </w:rPr>
        <w:t>关键词　</w:t>
      </w:r>
      <w:r>
        <w:rPr>
          <w:sz w:val="18"/>
          <w:szCs w:val="18"/>
        </w:rPr>
        <w:t>西藏；治藏方略；高质量发展；国家战略功能；三元协调；失衡惩罚型聚合</w:t>
      </w:r>
    </w:p>
    <w:p w14:paraId="15C0352D">
      <w:pPr>
        <w:spacing w:before="260" w:after="120"/>
      </w:pPr>
      <w:r>
        <w:rPr>
          <w:rFonts w:eastAsia="黑体"/>
          <w:b/>
          <w:bCs/>
          <w:sz w:val="28"/>
          <w:szCs w:val="28"/>
        </w:rPr>
        <w:t>一、引言</w:t>
      </w:r>
    </w:p>
    <w:p w14:paraId="09C4B334">
      <w:pPr>
        <w:ind w:firstLine="420"/>
        <w:jc w:val="both"/>
        <w:rPr>
          <w:sz w:val="21"/>
          <w:szCs w:val="21"/>
        </w:rPr>
      </w:pPr>
      <w:r>
        <w:rPr>
          <w:sz w:val="21"/>
          <w:szCs w:val="21"/>
        </w:rPr>
        <w:t xml:space="preserve">学界多以五大发展理念构建高质量发展评价体系</w:t>
      </w:r>
      <w:r>
        <w:rPr>
          <w:sz w:val="21"/>
          <w:szCs w:val="21"/>
          <w:vertAlign w:val="superscript"/>
        </w:rPr>
        <w:t xml:space="preserve">[1]</w:t>
      </w:r>
      <w:r>
        <w:rPr>
          <w:sz w:val="21"/>
          <w:szCs w:val="21"/>
        </w:rPr>
        <w:t xml:space="preserve">，其隐含前提是发展在区域功能中居于主导地位。西藏既是重要的国家生态安全屏障，又是维护国家统一与边疆稳固的战略前沿，同时肩负发展追赶任务</w:t>
      </w:r>
      <w:r>
        <w:rPr>
          <w:sz w:val="21"/>
          <w:szCs w:val="21"/>
          <w:vertAlign w:val="superscript"/>
        </w:rPr>
        <w:t xml:space="preserve">[2-3]</w:t>
      </w:r>
      <w:r>
        <w:rPr>
          <w:sz w:val="21"/>
          <w:szCs w:val="21"/>
        </w:rPr>
        <w:t xml:space="preserve">。沿用通用框架评价西藏，安全多被视为背景条件或并入“社会民生”指标，生态则主要以发展方式的“绿色”属性衡量，两项屏障功能都难以得到与其地位相称的评价。</w:t>
      </w:r>
    </w:p>
    <w:p w14:paraId="5A1B79AD">
      <w:pPr>
        <w:ind w:firstLine="420"/>
        <w:jc w:val="both"/>
        <w:rPr>
          <w:sz w:val="21"/>
          <w:szCs w:val="21"/>
        </w:rPr>
      </w:pPr>
      <w:r>
        <w:rPr>
          <w:sz w:val="21"/>
          <w:szCs w:val="21"/>
        </w:rPr>
        <w:t xml:space="preserve">习近平总书记明确“稳定、发展、生态、强边”是必须统筹推进的四件大事</w:t>
      </w:r>
      <w:r>
        <w:rPr>
          <w:sz w:val="21"/>
          <w:szCs w:val="21"/>
          <w:vertAlign w:val="superscript"/>
        </w:rPr>
        <w:t xml:space="preserve">[4]</w:t>
      </w:r>
      <w:r>
        <w:rPr>
          <w:sz w:val="21"/>
          <w:szCs w:val="21"/>
        </w:rPr>
        <w:t xml:space="preserve">：稳定与强边构成发展的底线前提，生态是不可逾越的自然边界</w:t>
      </w:r>
      <w:r>
        <w:rPr>
          <w:sz w:val="21"/>
          <w:szCs w:val="21"/>
          <w:vertAlign w:val="superscript"/>
        </w:rPr>
        <w:t xml:space="preserve">[5]</w:t>
      </w:r>
      <w:r>
        <w:rPr>
          <w:sz w:val="21"/>
          <w:szCs w:val="21"/>
        </w:rPr>
        <w:t xml:space="preserve">，发展是巩固前三者成果的物质基础</w:t>
      </w:r>
      <w:r>
        <w:rPr>
          <w:sz w:val="21"/>
          <w:szCs w:val="21"/>
          <w:vertAlign w:val="superscript"/>
        </w:rPr>
        <w:t xml:space="preserve">[6]</w:t>
      </w:r>
      <w:r>
        <w:rPr>
          <w:sz w:val="21"/>
          <w:szCs w:val="21"/>
        </w:rPr>
        <w:t xml:space="preserve">。据此，本文构建“安全—发展—生态”三元评价框架，以失衡惩罚型协调指数测度2016—2025年西藏三元协调状态，并识别相对短板及其阶段性转移。</w:t>
      </w:r>
    </w:p>
    <w:p w14:paraId="6434A4BF">
      <w:pPr>
        <w:spacing w:before="260" w:after="120"/>
      </w:pPr>
      <w:r>
        <w:rPr>
          <w:rFonts w:eastAsia="黑体"/>
          <w:b/>
          <w:bCs/>
          <w:sz w:val="28"/>
          <w:szCs w:val="28"/>
        </w:rPr>
        <w:t>二、文献回顾与理论框架</w:t>
      </w:r>
    </w:p>
    <w:p w14:paraId="52A11983">
      <w:pPr>
        <w:spacing w:before="160" w:after="80"/>
      </w:pPr>
      <w:r>
        <w:rPr>
          <w:rFonts w:eastAsia="黑体"/>
          <w:b/>
          <w:bCs/>
          <w:sz w:val="21"/>
          <w:szCs w:val="21"/>
        </w:rPr>
        <w:t>（一）文献回顾</w:t>
      </w:r>
    </w:p>
    <w:p w14:paraId="095CA689">
      <w:pPr>
        <w:ind w:firstLine="420"/>
        <w:jc w:val="both"/>
        <w:rPr>
          <w:sz w:val="21"/>
          <w:szCs w:val="21"/>
        </w:rPr>
      </w:pPr>
      <w:r>
        <w:rPr>
          <w:sz w:val="21"/>
          <w:szCs w:val="21"/>
        </w:rPr>
        <w:t xml:space="preserve">高质量发展评价多以五大发展理念构建指标体系</w:t>
      </w:r>
      <w:r>
        <w:rPr>
          <w:sz w:val="21"/>
          <w:szCs w:val="21"/>
          <w:vertAlign w:val="superscript"/>
        </w:rPr>
        <w:t xml:space="preserve">[7-9]</w:t>
      </w:r>
      <w:r>
        <w:rPr>
          <w:sz w:val="21"/>
          <w:szCs w:val="21"/>
        </w:rPr>
        <w:t xml:space="preserve">，并由省际下沉至城市群尺度</w:t>
      </w:r>
      <w:r>
        <w:rPr>
          <w:sz w:val="21"/>
          <w:szCs w:val="21"/>
          <w:vertAlign w:val="superscript"/>
        </w:rPr>
        <w:t xml:space="preserve">[10-11]</w:t>
      </w:r>
      <w:r>
        <w:rPr>
          <w:sz w:val="21"/>
          <w:szCs w:val="21"/>
        </w:rPr>
        <w:t xml:space="preserve">，但以发展质量的区域同构性为前提。功能分工视角强调区域发展须与战略定位相匹配</w:t>
      </w:r>
      <w:r>
        <w:rPr>
          <w:sz w:val="21"/>
          <w:szCs w:val="21"/>
          <w:vertAlign w:val="superscript"/>
        </w:rPr>
        <w:t xml:space="preserve">[2]</w:t>
      </w:r>
      <w:r>
        <w:rPr>
          <w:sz w:val="21"/>
          <w:szCs w:val="21"/>
        </w:rPr>
        <w:t xml:space="preserve">，“安全公正空间”研究则以生态上限与社会下限共同界定区域可行域</w:t>
      </w:r>
      <w:r>
        <w:rPr>
          <w:sz w:val="21"/>
          <w:szCs w:val="21"/>
          <w:vertAlign w:val="superscript"/>
        </w:rPr>
        <w:t xml:space="preserve">[12-13]</w:t>
      </w:r>
      <w:r>
        <w:rPr>
          <w:sz w:val="21"/>
          <w:szCs w:val="21"/>
        </w:rPr>
        <w:t xml:space="preserve">。西藏研究或讨论统筹发展和安全与高原经济追赶</w:t>
      </w:r>
      <w:r>
        <w:rPr>
          <w:sz w:val="21"/>
          <w:szCs w:val="21"/>
          <w:vertAlign w:val="superscript"/>
        </w:rPr>
        <w:t xml:space="preserve">[14-15]</w:t>
      </w:r>
      <w:r>
        <w:rPr>
          <w:sz w:val="21"/>
          <w:szCs w:val="21"/>
        </w:rPr>
        <w:t xml:space="preserve">，或测度发展水平</w:t>
      </w:r>
      <w:r>
        <w:rPr>
          <w:sz w:val="21"/>
          <w:szCs w:val="21"/>
          <w:vertAlign w:val="superscript"/>
        </w:rPr>
        <w:t xml:space="preserve">[16-20]</w:t>
      </w:r>
      <w:r>
        <w:rPr>
          <w:sz w:val="21"/>
          <w:szCs w:val="21"/>
        </w:rPr>
        <w:t xml:space="preserve">与生态经济关系</w:t>
      </w:r>
      <w:r>
        <w:rPr>
          <w:sz w:val="21"/>
          <w:szCs w:val="21"/>
          <w:vertAlign w:val="superscript"/>
        </w:rPr>
        <w:t xml:space="preserve">[21-23]</w:t>
      </w:r>
      <w:r>
        <w:rPr>
          <w:sz w:val="21"/>
          <w:szCs w:val="21"/>
        </w:rPr>
        <w:t xml:space="preserve">，但较少以屏障功能的守护程度为尺度；焦乐佳等的县域耦合协调测度未纳入安全</w:t>
      </w:r>
      <w:r>
        <w:rPr>
          <w:sz w:val="21"/>
          <w:szCs w:val="21"/>
          <w:vertAlign w:val="superscript"/>
        </w:rPr>
        <w:t xml:space="preserve">[24]</w:t>
      </w:r>
      <w:r>
        <w:rPr>
          <w:sz w:val="21"/>
          <w:szCs w:val="21"/>
        </w:rPr>
        <w:t xml:space="preserve">，王翔宇等虽设“安全保障”维度，却仅以粮食产量代理并加权求和</w:t>
      </w:r>
      <w:r>
        <w:rPr>
          <w:sz w:val="21"/>
          <w:szCs w:val="21"/>
          <w:vertAlign w:val="superscript"/>
        </w:rPr>
        <w:t xml:space="preserve">[25]</w:t>
      </w:r>
      <w:r>
        <w:rPr>
          <w:sz w:val="21"/>
          <w:szCs w:val="21"/>
        </w:rPr>
        <w:t xml:space="preserve">。</w:t>
      </w:r>
    </w:p>
    <w:p w14:paraId="3B1AA85C">
      <w:pPr>
        <w:ind w:firstLine="420"/>
        <w:jc w:val="both"/>
        <w:rPr>
          <w:sz w:val="21"/>
          <w:szCs w:val="21"/>
        </w:rPr>
      </w:pPr>
      <w:r>
        <w:rPr>
          <w:sz w:val="21"/>
          <w:szCs w:val="21"/>
        </w:rPr>
        <w:t xml:space="preserve">方法上，耦合协调模型应用广泛</w:t>
      </w:r>
      <w:r>
        <w:rPr>
          <w:sz w:val="21"/>
          <w:szCs w:val="21"/>
          <w:vertAlign w:val="superscript"/>
        </w:rPr>
        <w:t xml:space="preserve">[26]</w:t>
      </w:r>
      <w:r>
        <w:rPr>
          <w:sz w:val="21"/>
          <w:szCs w:val="21"/>
        </w:rPr>
        <w:t xml:space="preserve">，但在子系统差距较大时易“虚高”</w:t>
      </w:r>
      <w:r>
        <w:rPr>
          <w:sz w:val="21"/>
          <w:szCs w:val="21"/>
          <w:vertAlign w:val="superscript"/>
        </w:rPr>
        <w:t xml:space="preserve">[27]</w:t>
      </w:r>
      <w:r>
        <w:rPr>
          <w:sz w:val="21"/>
          <w:szCs w:val="21"/>
        </w:rPr>
        <w:t xml:space="preserve">；客观赋权</w:t>
      </w:r>
      <w:r>
        <w:rPr>
          <w:sz w:val="21"/>
          <w:szCs w:val="21"/>
          <w:vertAlign w:val="superscript"/>
        </w:rPr>
        <w:t xml:space="preserve">[28]</w:t>
      </w:r>
      <w:r>
        <w:rPr>
          <w:sz w:val="21"/>
          <w:szCs w:val="21"/>
        </w:rPr>
        <w:t xml:space="preserve">与熵权—TOPSIS</w:t>
      </w:r>
      <w:r>
        <w:rPr>
          <w:sz w:val="21"/>
          <w:szCs w:val="21"/>
          <w:vertAlign w:val="superscript"/>
        </w:rPr>
        <w:t xml:space="preserve">[29]</w:t>
      </w:r>
      <w:r>
        <w:rPr>
          <w:sz w:val="21"/>
          <w:szCs w:val="21"/>
        </w:rPr>
        <w:t xml:space="preserve">常用于定权与诊断，国际复合指标研究讨论了聚合与稳健性问题</w:t>
      </w:r>
      <w:r>
        <w:rPr>
          <w:sz w:val="21"/>
          <w:szCs w:val="21"/>
          <w:vertAlign w:val="superscript"/>
        </w:rPr>
        <w:t xml:space="preserve">[30-31]</w:t>
      </w:r>
      <w:r>
        <w:rPr>
          <w:sz w:val="21"/>
          <w:szCs w:val="21"/>
        </w:rPr>
        <w:t xml:space="preserve">，并发展出非补偿性聚合</w:t>
      </w:r>
      <w:r>
        <w:rPr>
          <w:sz w:val="21"/>
          <w:szCs w:val="21"/>
          <w:vertAlign w:val="superscript"/>
        </w:rPr>
        <w:t xml:space="preserve">[32]</w:t>
      </w:r>
      <w:r>
        <w:rPr>
          <w:sz w:val="21"/>
          <w:szCs w:val="21"/>
        </w:rPr>
        <w:t xml:space="preserve">与失衡调整</w:t>
      </w:r>
      <w:r>
        <w:rPr>
          <w:sz w:val="21"/>
          <w:szCs w:val="21"/>
          <w:vertAlign w:val="superscript"/>
        </w:rPr>
        <w:t xml:space="preserve">[33]</w:t>
      </w:r>
      <w:r>
        <w:rPr>
          <w:sz w:val="21"/>
          <w:szCs w:val="21"/>
        </w:rPr>
        <w:t xml:space="preserve">技术。本文在评价维度与聚合方式两方面加以推进。</w:t>
      </w:r>
    </w:p>
    <w:p w14:paraId="52FDBCC4">
      <w:pPr>
        <w:spacing w:before="160" w:after="80"/>
        <w:rPr>
          <w:rFonts w:eastAsia="黑体"/>
        </w:rPr>
      </w:pPr>
      <w:r>
        <w:rPr>
          <w:rFonts w:eastAsia="黑体"/>
          <w:b/>
          <w:bCs/>
          <w:sz w:val="21"/>
          <w:szCs w:val="21"/>
        </w:rPr>
        <w:t>（二）三元结构的提出</w:t>
      </w:r>
    </w:p>
    <w:p w14:paraId="6B3F8604">
      <w:pPr>
        <w:ind w:firstLine="420"/>
        <w:jc w:val="both"/>
        <w:rPr>
          <w:sz w:val="21"/>
          <w:szCs w:val="21"/>
        </w:rPr>
      </w:pPr>
      <w:r>
        <w:rPr>
          <w:sz w:val="21"/>
          <w:szCs w:val="21"/>
        </w:rPr>
        <w:t xml:space="preserve">依照主体功能区与国家空间分工的逻辑</w:t>
      </w:r>
      <w:r>
        <w:rPr>
          <w:sz w:val="21"/>
          <w:szCs w:val="21"/>
          <w:vertAlign w:val="superscript"/>
        </w:rPr>
        <w:t xml:space="preserve">[2]</w:t>
      </w:r>
      <w:r>
        <w:rPr>
          <w:sz w:val="21"/>
          <w:szCs w:val="21"/>
        </w:rPr>
        <w:t xml:space="preserve">，区域对国家的贡献可归为三类：守住边疆安全、社会稳定与民生兜底的底线（安全功能）；不超越资源环境承载力与生态红线所界定的上界（生态功能，测其守护程度）；在两类约束之间创造价值（发展功能）。三者与治藏方略“稳定”“强边”“生态”“发展”一一对应；五大发展理念是发展的实现通道，归入发展子系统。</w:t>
      </w:r>
    </w:p>
    <w:p w14:paraId="310B933D">
      <w:pPr>
        <w:ind w:firstLine="420"/>
        <w:jc w:val="both"/>
        <w:rPr>
          <w:sz w:val="21"/>
          <w:szCs w:val="21"/>
        </w:rPr>
      </w:pPr>
      <w:r>
        <w:rPr>
          <w:sz w:val="21"/>
          <w:szCs w:val="21"/>
        </w:rPr>
        <w:t xml:space="preserve">三者不宜加权求和：安全是下界，生态是上界，发展是可连续调节的对象，加权相加意味着安全与生态的不足可由发展等量抵偿。本文以失衡惩罚型指数作弱补偿性的近似刻画；底线失守的判别需另设阈值。</w:t>
      </w:r>
    </w:p>
    <w:p w14:paraId="6DD1DFE6">
      <w:pPr>
        <w:spacing w:before="160" w:after="80"/>
      </w:pPr>
      <w:r>
        <w:rPr>
          <w:rFonts w:eastAsia="黑体"/>
          <w:b/>
          <w:bCs/>
          <w:sz w:val="21"/>
          <w:szCs w:val="21"/>
        </w:rPr>
        <w:t>（三）三元结构发展模型</w:t>
      </w:r>
    </w:p>
    <w:p w14:paraId="27875E96">
      <w:pPr>
        <w:ind w:firstLine="420"/>
        <w:jc w:val="both"/>
      </w:pPr>
      <w:r>
        <w:rPr>
          <w:sz w:val="21"/>
          <w:szCs w:val="21"/>
        </w:rPr>
        <w:t xml:space="preserve">由此形成三元结构发展模型（图1）：安全（S）为下界，生态（E）为上界，发展（D）为可行域内的响应变量；整体质量由水平与失衡共同决定，测度须关注短板及其转移。</w:t>
      </w:r>
    </w:p>
    <w:p w14:paraId="4FD0CF0A">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18A3928B">
      <w:pPr>
        <w:spacing w:after="140"/>
        <w:jc w:val="center"/>
      </w:pPr>
      <w:r>
        <w:rPr>
          <w:rFonts w:eastAsia="黑体"/>
          <w:b/>
          <w:bCs/>
          <w:sz w:val="21"/>
          <w:szCs w:val="21"/>
        </w:rPr>
        <w:t>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5639A527">
      <w:pPr>
        <w:spacing w:after="140"/>
        <w:jc w:val="both"/>
      </w:pPr>
      <w:r>
        <w:rPr>
          <w:sz w:val="18"/>
          <w:szCs w:val="18"/>
        </w:rPr>
        <w:t>注：S表示安全，D表示发展，E表示生态；H1、H2、H3为本文提出的三项分析命题。</w:t>
      </w:r>
    </w:p>
    <w:p w14:paraId="47E2D172">
      <w:pPr>
        <w:spacing w:before="160" w:after="80"/>
      </w:pPr>
      <w:r>
        <w:rPr>
          <w:rFonts w:eastAsia="黑体"/>
          <w:b/>
          <w:bCs/>
          <w:sz w:val="21"/>
          <w:szCs w:val="21"/>
        </w:rPr>
        <w:t>（四）作用机制与分析命题</w:t>
      </w:r>
    </w:p>
    <w:p w14:paraId="6389E851">
      <w:pPr>
        <w:ind w:firstLine="420"/>
        <w:jc w:val="both"/>
      </w:pPr>
      <w:r>
        <w:rPr>
          <w:sz w:val="21"/>
          <w:szCs w:val="21"/>
        </w:rPr>
        <w:t xml:space="preserve">三个子系统的作用链条见图2。因仅有单一地区10年观测，以下命题只界定测度内容，不作因果检验。</w:t>
      </w:r>
    </w:p>
    <w:p w14:paraId="3CA24677">
      <w:pPr>
        <w:ind w:firstLine="420"/>
        <w:jc w:val="both"/>
      </w:pPr>
      <w:r>
        <w:rPr>
          <w:sz w:val="21"/>
          <w:szCs w:val="21"/>
        </w:rPr>
        <w:t xml:space="preserve">命题H1：安全通过稳定预期、夯实民生兜底降低制度风险与交易成本，提高发展效率。</w:t>
      </w:r>
    </w:p>
    <w:p w14:paraId="3876114E">
      <w:pPr>
        <w:ind w:firstLine="420"/>
        <w:jc w:val="both"/>
      </w:pPr>
      <w:r>
        <w:rPr>
          <w:sz w:val="21"/>
          <w:szCs w:val="21"/>
        </w:rPr>
        <w:t xml:space="preserve">命题H2：生态对发展的作用取决于“地理势能”向经济动能的转化通道</w:t>
      </w:r>
      <w:r>
        <w:rPr>
          <w:sz w:val="21"/>
          <w:szCs w:val="21"/>
          <w:vertAlign w:val="superscript"/>
        </w:rPr>
        <w:t xml:space="preserve">[34]</w:t>
      </w:r>
      <w:r>
        <w:rPr>
          <w:sz w:val="21"/>
          <w:szCs w:val="21"/>
        </w:rPr>
        <w:t xml:space="preserve">，通道畅通时二者由约束转为协同，不畅时生态优势停留在资源形态</w:t>
      </w:r>
      <w:r>
        <w:rPr>
          <w:sz w:val="21"/>
          <w:szCs w:val="21"/>
          <w:vertAlign w:val="superscript"/>
        </w:rPr>
        <w:t xml:space="preserve">[35]</w:t>
      </w:r>
      <w:r>
        <w:rPr>
          <w:sz w:val="21"/>
          <w:szCs w:val="21"/>
        </w:rPr>
        <w:t xml:space="preserve">。</w:t>
      </w:r>
    </w:p>
    <w:p w14:paraId="2482C184">
      <w:pPr>
        <w:ind w:firstLine="420"/>
        <w:jc w:val="both"/>
        <w:rPr>
          <w:sz w:val="21"/>
          <w:szCs w:val="21"/>
        </w:rPr>
      </w:pPr>
      <w:r>
        <w:rPr>
          <w:sz w:val="21"/>
          <w:szCs w:val="21"/>
        </w:rPr>
        <w:t xml:space="preserve">命题H3：相对短板随三者改善速度的差异在子系统之间转移，需要逐年识别。</w:t>
      </w:r>
    </w:p>
    <w:p w14:paraId="4746B92C">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7F3AAD1D">
      <w:pPr>
        <w:spacing w:after="140"/>
        <w:jc w:val="center"/>
      </w:pPr>
      <w:r>
        <w:rPr>
          <w:rFonts w:eastAsia="黑体"/>
          <w:b/>
          <w:bCs/>
          <w:sz w:val="21"/>
          <w:szCs w:val="21"/>
        </w:rPr>
        <w:t>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作用机制链条与分析命题</w:t>
      </w:r>
    </w:p>
    <w:p w14:paraId="09103377">
      <w:pPr>
        <w:spacing w:after="140"/>
        <w:jc w:val="both"/>
      </w:pPr>
      <w:r>
        <w:rPr>
          <w:sz w:val="18"/>
          <w:szCs w:val="18"/>
        </w:rPr>
        <w:t>注：图中箭头表示结构性关联。</w:t>
      </w:r>
    </w:p>
    <w:p w14:paraId="4D930E82">
      <w:pPr>
        <w:spacing w:before="260" w:after="120"/>
      </w:pPr>
      <w:r>
        <w:rPr>
          <w:rFonts w:eastAsia="黑体"/>
          <w:b/>
          <w:bCs/>
          <w:sz w:val="28"/>
          <w:szCs w:val="28"/>
        </w:rPr>
        <w:t>三、指标体系、数据与方法</w:t>
      </w:r>
    </w:p>
    <w:p w14:paraId="1DA0667F">
      <w:pPr>
        <w:spacing w:before="160" w:after="80"/>
      </w:pPr>
      <w:r>
        <w:rPr>
          <w:rFonts w:eastAsia="黑体"/>
          <w:b/>
          <w:bCs/>
          <w:sz w:val="21"/>
          <w:szCs w:val="21"/>
        </w:rPr>
        <w:t>（一）指标体系构建</w:t>
      </w:r>
    </w:p>
    <w:p w14:paraId="2D88E4BD">
      <w:pPr>
        <w:ind w:firstLine="420"/>
        <w:jc w:val="both"/>
        <w:rPr>
          <w:sz w:val="21"/>
          <w:szCs w:val="21"/>
        </w:rPr>
      </w:pPr>
      <w:r>
        <w:rPr>
          <w:sz w:val="21"/>
          <w:szCs w:val="21"/>
        </w:rPr>
        <w:t xml:space="preserve">指标按“战略功能—理论构念—统计指标”映射选取，均有连续、公开、可比的年度序列，共13项（表1）。安全子系统因边防、治安等直接变量缺乏公开序列，以地方财力（S1）、城乡收入差距（S2）、医保财政补助（S3）与养老保险参保率（S4）作间接代理</w:t>
      </w:r>
      <w:r>
        <w:rPr>
          <w:sz w:val="21"/>
          <w:szCs w:val="21"/>
          <w:vertAlign w:val="superscript"/>
        </w:rPr>
        <w:t xml:space="preserve">[36]</w:t>
      </w:r>
      <w:r>
        <w:rPr>
          <w:sz w:val="21"/>
          <w:szCs w:val="21"/>
        </w:rPr>
        <w:t xml:space="preserve">；发展子系统以人均GDP与农村居民收入相对全国水平（D1、D2）反映追赶，以外向度、人均接待游客与发电量（D3—D5）反映开放、文旅与清洁能源动能；生态子系统选取能耗强度、森林覆盖率、空气质量与草原综合植被盖度（E1—E4）。S2与D2同源于城乡收入数据，会略微压低测得的失衡幅度。</w:t>
      </w:r>
    </w:p>
    <w:p w14:paraId="7FC87E8F">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135ADB2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AC3D25">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FB27E65">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DA7CD3F">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79BABD">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DFD97C2">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4B3E909">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FFC5F9">
            <w:pPr>
              <w:spacing w:line="240" w:lineRule="auto"/>
              <w:jc w:val="center"/>
            </w:pPr>
            <w:r>
              <w:rPr>
                <w:b/>
                <w:bCs/>
                <w:sz w:val="18"/>
                <w:szCs w:val="18"/>
              </w:rPr>
              <w:t>标准化基准（下限，上限）</w:t>
            </w:r>
          </w:p>
        </w:tc>
      </w:tr>
      <w:tr w14:paraId="2A392B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F95CD52">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50F28314">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029B6A4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1F485792">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35543D9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CC2B50">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62A68B41">
            <w:pPr>
              <w:spacing w:line="240" w:lineRule="auto"/>
              <w:jc w:val="center"/>
            </w:pPr>
            <w:r>
              <w:rPr>
                <w:sz w:val="18"/>
                <w:szCs w:val="18"/>
              </w:rPr>
              <w:t>(0, 12000)，见说明①</w:t>
            </w:r>
          </w:p>
        </w:tc>
      </w:tr>
      <w:tr w14:paraId="574DCC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E4F8D1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7CE44AE6">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5D1A4586">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53EA1C2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57467196">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44805F88">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0BDDCEA8">
            <w:pPr>
              <w:spacing w:line="240" w:lineRule="auto"/>
              <w:jc w:val="center"/>
            </w:pPr>
            <w:r>
              <w:rPr>
                <w:sz w:val="18"/>
                <w:szCs w:val="18"/>
              </w:rPr>
              <w:t>(</w:t>
            </w:r>
            <w:r>
              <w:rPr>
                <w:rFonts w:hint="eastAsia"/>
                <w:sz w:val="18"/>
                <w:szCs w:val="18"/>
              </w:rPr>
              <w:t>-</w:t>
            </w:r>
            <w:r>
              <w:rPr>
                <w:sz w:val="18"/>
                <w:szCs w:val="18"/>
              </w:rPr>
              <w:t>1, 2)</w:t>
            </w:r>
          </w:p>
        </w:tc>
      </w:tr>
      <w:tr w14:paraId="5F0DF3E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EA10564">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258C73C">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02E036F2">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6EA895D6">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4892E3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DBF3ED0">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1CD97FF1">
            <w:pPr>
              <w:spacing w:line="240" w:lineRule="auto"/>
              <w:jc w:val="center"/>
            </w:pPr>
            <w:r>
              <w:rPr>
                <w:sz w:val="18"/>
                <w:szCs w:val="18"/>
              </w:rPr>
              <w:t>(0, 1200)</w:t>
            </w:r>
          </w:p>
        </w:tc>
      </w:tr>
      <w:tr w14:paraId="7A6C593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551C27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1C9E7D97">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0744D756">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7705AAAC">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F717D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FEF0C9F">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00C40123">
            <w:pPr>
              <w:spacing w:line="240" w:lineRule="auto"/>
              <w:jc w:val="center"/>
            </w:pPr>
            <w:r>
              <w:rPr>
                <w:sz w:val="18"/>
                <w:szCs w:val="18"/>
              </w:rPr>
              <w:t>(0, 100)</w:t>
            </w:r>
          </w:p>
        </w:tc>
      </w:tr>
      <w:tr w14:paraId="111ECAF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9A80B25">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2EC0603C">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2538B6D0">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0BCA1B50">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6386860E">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AD1B78E">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1A7B8EB7">
            <w:pPr>
              <w:spacing w:line="240" w:lineRule="auto"/>
              <w:jc w:val="center"/>
            </w:pPr>
            <w:r>
              <w:rPr>
                <w:sz w:val="18"/>
                <w:szCs w:val="18"/>
              </w:rPr>
              <w:t>(0, 100)</w:t>
            </w:r>
          </w:p>
        </w:tc>
      </w:tr>
      <w:tr w14:paraId="2EAA42E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55C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B161CA0">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3A54EA29">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66A7FE09">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55C982A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EA5086C">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0C40D7FA">
            <w:pPr>
              <w:spacing w:line="240" w:lineRule="auto"/>
              <w:jc w:val="center"/>
            </w:pPr>
            <w:r>
              <w:rPr>
                <w:sz w:val="18"/>
                <w:szCs w:val="18"/>
              </w:rPr>
              <w:t>(0, 100)</w:t>
            </w:r>
          </w:p>
        </w:tc>
      </w:tr>
      <w:tr w14:paraId="316A9F9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4D54A6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594D50C">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09BDEF9A">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569D89F0">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74C18F5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0A587BA">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2954B32D">
            <w:pPr>
              <w:spacing w:line="240" w:lineRule="auto"/>
              <w:jc w:val="center"/>
            </w:pPr>
            <w:r>
              <w:rPr>
                <w:sz w:val="18"/>
                <w:szCs w:val="18"/>
              </w:rPr>
              <w:t>(0, 10)</w:t>
            </w:r>
          </w:p>
        </w:tc>
      </w:tr>
      <w:tr w14:paraId="083048A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278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6420B04">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1EAD688E">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7D90C9BA">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3697E2F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EB54C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0E204CD5">
            <w:pPr>
              <w:spacing w:line="240" w:lineRule="auto"/>
              <w:jc w:val="center"/>
            </w:pPr>
            <w:r>
              <w:rPr>
                <w:sz w:val="18"/>
                <w:szCs w:val="18"/>
              </w:rPr>
              <w:t>(0, 25)</w:t>
            </w:r>
          </w:p>
        </w:tc>
      </w:tr>
      <w:tr w14:paraId="43F0D1F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F5F9D6F">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2278DB4">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52741F30">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4BDD4463">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02955C8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70BD40E">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5BD2E039">
            <w:pPr>
              <w:spacing w:line="240" w:lineRule="auto"/>
              <w:jc w:val="center"/>
            </w:pPr>
            <w:r>
              <w:rPr>
                <w:sz w:val="18"/>
                <w:szCs w:val="18"/>
              </w:rPr>
              <w:t>(0, 200)</w:t>
            </w:r>
          </w:p>
        </w:tc>
      </w:tr>
      <w:tr w14:paraId="1FED2E4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8B3896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6AAA4539">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212E86A2">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10EFB00C">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64182DE">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2A465591">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674D6A20">
            <w:pPr>
              <w:spacing w:line="240" w:lineRule="auto"/>
              <w:jc w:val="center"/>
            </w:pPr>
            <w:r>
              <w:rPr>
                <w:sz w:val="18"/>
                <w:szCs w:val="18"/>
              </w:rPr>
              <w:t>(60, 100)</w:t>
            </w:r>
          </w:p>
        </w:tc>
      </w:tr>
      <w:tr w14:paraId="6C8285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915662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4FC085B">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3D97B61">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95EF681">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5B238A8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D864ACF">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23F0EB60">
            <w:pPr>
              <w:spacing w:line="240" w:lineRule="auto"/>
              <w:jc w:val="center"/>
            </w:pPr>
            <w:r>
              <w:rPr>
                <w:sz w:val="18"/>
                <w:szCs w:val="18"/>
              </w:rPr>
              <w:t>(11.98, 12.51)，见说明②</w:t>
            </w:r>
          </w:p>
        </w:tc>
      </w:tr>
      <w:tr w14:paraId="21BDFE3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63E33F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B5BD381">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CCE0117">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560C8155">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38CA79A3">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AA9414C">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5A3AEDB4">
            <w:pPr>
              <w:spacing w:line="240" w:lineRule="auto"/>
              <w:jc w:val="center"/>
            </w:pPr>
            <w:r>
              <w:rPr>
                <w:sz w:val="18"/>
                <w:szCs w:val="18"/>
              </w:rPr>
              <w:t>(0, 100)</w:t>
            </w:r>
          </w:p>
        </w:tc>
      </w:tr>
      <w:tr w14:paraId="73FE26F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10CE4612">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5462DBF5">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6F9D216A">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7A17D06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7EA3B53E">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96D0F05">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17E62AA1">
            <w:pPr>
              <w:spacing w:line="240" w:lineRule="auto"/>
              <w:jc w:val="center"/>
            </w:pPr>
            <w:r>
              <w:rPr>
                <w:sz w:val="18"/>
                <w:szCs w:val="18"/>
              </w:rPr>
              <w:t>(42.3, 50)，见说明②</w:t>
            </w:r>
          </w:p>
        </w:tc>
      </w:tr>
    </w:tbl>
    <w:p w14:paraId="7829F90B">
      <w:pPr>
        <w:spacing w:before="30" w:after="140"/>
        <w:rPr>
          <w:sz w:val="18"/>
          <w:szCs w:val="18"/>
        </w:rPr>
      </w:pPr>
      <w:r>
        <w:rPr>
          <w:sz w:val="18"/>
          <w:szCs w:val="18"/>
        </w:rPr>
        <w:t xml:space="preserve">注：①S1、S3、D3、D4、D5无外部目标值，上限取样本期最大值并留余量取整。②E2、E4下限取2016年实测值，上限取《西藏自治区“十四五”时期生态环境保护规划》2025年目标值。③D5为规上工业口径发电量。</w:t>
      </w:r>
    </w:p>
    <w:p w14:paraId="7D440C0F">
      <w:pPr>
        <w:spacing w:before="160" w:after="80"/>
      </w:pPr>
      <w:r>
        <w:rPr>
          <w:rFonts w:eastAsia="黑体"/>
          <w:b/>
          <w:bCs/>
          <w:sz w:val="21"/>
          <w:szCs w:val="21"/>
        </w:rPr>
        <w:t>（二）数据来源与处理</w:t>
      </w:r>
    </w:p>
    <w:p w14:paraId="368F9F66">
      <w:pPr>
        <w:ind w:firstLine="420"/>
        <w:jc w:val="both"/>
        <w:rPr>
          <w:sz w:val="21"/>
          <w:szCs w:val="21"/>
        </w:rPr>
      </w:pPr>
      <w:r>
        <w:rPr>
          <w:sz w:val="21"/>
          <w:szCs w:val="21"/>
        </w:rPr>
        <w:t xml:space="preserve">数据来源于2016—2025年《西藏自治区国民经济和社会发展统计公报》</w:t>
      </w:r>
      <w:r>
        <w:rPr>
          <w:sz w:val="21"/>
          <w:szCs w:val="21"/>
          <w:vertAlign w:val="superscript"/>
        </w:rPr>
        <w:t xml:space="preserve">[37]</w:t>
      </w:r>
      <w:r>
        <w:rPr>
          <w:sz w:val="21"/>
          <w:szCs w:val="21"/>
        </w:rPr>
        <w:t xml:space="preserve">、《西藏统计年鉴》</w:t>
      </w:r>
      <w:r>
        <w:rPr>
          <w:sz w:val="21"/>
          <w:szCs w:val="21"/>
          <w:vertAlign w:val="superscript"/>
        </w:rPr>
        <w:t xml:space="preserve">[38]</w:t>
      </w:r>
      <w:r>
        <w:rPr>
          <w:sz w:val="21"/>
          <w:szCs w:val="21"/>
        </w:rPr>
        <w:t xml:space="preserve">、《中国统计年鉴》</w:t>
      </w:r>
      <w:r>
        <w:rPr>
          <w:sz w:val="21"/>
          <w:szCs w:val="21"/>
          <w:vertAlign w:val="superscript"/>
        </w:rPr>
        <w:t xml:space="preserve">[39]</w:t>
      </w:r>
      <w:r>
        <w:rPr>
          <w:sz w:val="21"/>
          <w:szCs w:val="21"/>
        </w:rPr>
        <w:t xml:space="preserve">、《西藏自治区生态环境状况公报》</w:t>
      </w:r>
      <w:r>
        <w:rPr>
          <w:sz w:val="21"/>
          <w:szCs w:val="21"/>
          <w:vertAlign w:val="superscript"/>
        </w:rPr>
        <w:t xml:space="preserve">[40]</w:t>
      </w:r>
      <w:r>
        <w:rPr>
          <w:sz w:val="21"/>
          <w:szCs w:val="21"/>
        </w:rPr>
        <w:t xml:space="preserve">及有关部门公开资料，2025年全国数据取自《中国统计摘要2026》；地区生产总值采用第五次全国经济普查修订后的口径。</w:t>
      </w:r>
    </w:p>
    <w:p w14:paraId="20DC9C67">
      <w:pPr>
        <w:spacing w:before="160" w:after="80"/>
      </w:pPr>
      <w:r>
        <w:rPr>
          <w:rFonts w:eastAsia="黑体"/>
          <w:b/>
          <w:bCs/>
          <w:sz w:val="21"/>
          <w:szCs w:val="21"/>
        </w:rPr>
        <w:t>（三）固定基准标准化</w:t>
      </w:r>
    </w:p>
    <w:p w14:paraId="3248F3B1">
      <w:pPr>
        <w:ind w:firstLine="420"/>
        <w:jc w:val="both"/>
      </w:pPr>
      <w:r>
        <w:rPr>
          <w:sz w:val="21"/>
          <w:szCs w:val="21"/>
        </w:rPr>
        <w:t xml:space="preserve">为避免历史取值随样本更新被改写，本文采用外生、固定的上下限</w:t>
      </w:r>
      <w:r>
        <w:rPr>
          <w:rFonts w:ascii="Cambria Math" w:hAnsi="Cambria Math"/>
          <w:i/>
        </w:rPr>
        <w:t xml:space="preserve"> </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 xml:space="preserve">作标准化：可对标全国水平的指标取</w:t>
      </w:r>
      <w:r>
        <w:rPr>
          <w:rFonts w:hint="eastAsia"/>
          <w:sz w:val="21"/>
          <w:szCs w:val="21"/>
        </w:rPr>
        <w:t>“</w:t>
      </w:r>
      <w:r>
        <w:rPr>
          <w:sz w:val="21"/>
          <w:szCs w:val="21"/>
        </w:rPr>
        <w:t>西藏/全国</w:t>
      </w:r>
      <w:r>
        <w:rPr>
          <w:rFonts w:hint="eastAsia"/>
          <w:sz w:val="21"/>
          <w:szCs w:val="21"/>
        </w:rPr>
        <w:t>”</w:t>
      </w:r>
      <w:r>
        <w:rPr>
          <w:sz w:val="21"/>
          <w:szCs w:val="21"/>
        </w:rPr>
        <w:t xml:space="preserve">的相对值；有规划目标的指标以基线值与目标值为上下限；比例型指标取其定义域；其余指标人均化后按</w:t>
      </w:r>
      <w:r>
        <w:rPr>
          <w:rFonts w:hint="eastAsia"/>
          <w:sz w:val="21"/>
          <w:szCs w:val="21"/>
        </w:rPr>
        <w:t>“</w:t>
      </w:r>
      <w:r>
        <w:rPr>
          <w:sz w:val="21"/>
          <w:szCs w:val="21"/>
        </w:rPr>
        <w:t>0为下限、留有余量的整数为上限</w:t>
      </w:r>
      <w:r>
        <w:rPr>
          <w:rFonts w:hint="eastAsia"/>
          <w:sz w:val="21"/>
          <w:szCs w:val="21"/>
        </w:rPr>
        <w:t>”</w:t>
      </w:r>
      <w:r>
        <w:rPr>
          <w:sz w:val="21"/>
          <w:szCs w:val="21"/>
        </w:rPr>
        <w:t xml:space="preserve">设定。正向、逆向指标分别按式（1）、式（2）处理，再按式（3）压缩至</w:t>
      </w:r>
      <m:oMath>
        <m:r>
          <m:rPr/>
          <w:rPr>
            <w:rFonts w:ascii="Cambria Math" w:hAnsi="Cambria Math"/>
          </w:rPr>
          <m:t>[0.01,0.99]</m:t>
        </m:r>
      </m:oMath>
      <w:r>
        <w:rPr>
          <w:sz w:val="21"/>
          <w:szCs w:val="21"/>
        </w:rPr>
        <w:t>以避免0值出现：</w:t>
      </w:r>
    </w:p>
    <w:p w14:paraId="33B99B4D">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（1）</w:t>
      </w:r>
    </w:p>
    <w:p w14:paraId="7287B62E">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（2）</w:t>
      </w:r>
    </w:p>
    <w:p w14:paraId="5B65016A">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r>
      <w:r>
        <w:rPr>
          <w:sz w:val="22"/>
          <w:szCs w:val="22"/>
        </w:rPr>
        <w:t>（3）</w:t>
      </w:r>
    </w:p>
    <w:p w14:paraId="4C6332A8">
      <w:pPr>
        <w:spacing w:before="160" w:after="80"/>
      </w:pPr>
      <w:r>
        <w:rPr>
          <w:rFonts w:eastAsia="黑体"/>
          <w:b/>
          <w:bCs/>
          <w:sz w:val="21"/>
          <w:szCs w:val="21"/>
        </w:rPr>
        <w:t>（四）子系统合成与权重设定</w:t>
      </w:r>
    </w:p>
    <w:p w14:paraId="149B4002">
      <w:pPr>
        <w:ind w:firstLine="420"/>
        <w:jc w:val="both"/>
      </w:pPr>
      <w:r>
        <w:rPr>
          <w:sz w:val="21"/>
          <w:szCs w:val="21"/>
        </w:rPr>
        <w:t xml:space="preserve">子系统内部指标等权合成：同一构念的指标宜透明合成，且10年小样本下CRITIC法与熵值法会把权重集中于少数波动大的指标、低估安全类指标；CRITIC—熵值组合权重仅用于稳健性对照与贡献缺口诊断。</w:t>
      </w:r>
    </w:p>
    <w:p w14:paraId="6BB31CE0">
      <w:pPr>
        <w:spacing w:before="160" w:after="80"/>
      </w:pPr>
      <w:r>
        <w:rPr>
          <w:rFonts w:eastAsia="黑体"/>
          <w:b/>
          <w:bCs/>
          <w:sz w:val="21"/>
          <w:szCs w:val="21"/>
        </w:rPr>
        <w:t>（五）失衡惩罚型协调指数模型</w:t>
      </w:r>
    </w:p>
    <w:p w14:paraId="5167B0EA">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w:t>
      </w:r>
      <w:r>
        <w:rPr>
          <w:rFonts w:hint="eastAsia"/>
          <w:sz w:val="21"/>
          <w:szCs w:val="21"/>
        </w:rPr>
        <w:t>“</w:t>
      </w:r>
      <w:r>
        <w:rPr>
          <w:sz w:val="21"/>
          <w:szCs w:val="21"/>
        </w:rPr>
        <w:t>虚高</w:t>
      </w:r>
      <w:r>
        <w:rPr>
          <w:rFonts w:hint="eastAsia"/>
          <w:sz w:val="21"/>
          <w:szCs w:val="21"/>
        </w:rPr>
        <w:t>”</w:t>
      </w:r>
      <w:r>
        <w:rPr>
          <w:sz w:val="21"/>
          <w:szCs w:val="21"/>
          <w:vertAlign w:val="superscript"/>
        </w:rPr>
        <w:t>[27]</w:t>
      </w:r>
      <w:r>
        <w:rPr>
          <w:sz w:val="21"/>
          <w:szCs w:val="21"/>
        </w:rPr>
        <w:t xml:space="preserve">，难以体现子系统的水平差距。本文因此采用基于Mazziotta-Pareto罚分思想的失衡惩罚指数（MPI）</w:t>
      </w:r>
      <w:r>
        <w:rPr>
          <w:sz w:val="21"/>
          <w:szCs w:val="21"/>
          <w:vertAlign w:val="superscript"/>
        </w:rPr>
        <w:t>[41]</w:t>
      </w:r>
      <w:r>
        <w:rPr>
          <w:sz w:val="21"/>
          <w:szCs w:val="21"/>
        </w:rPr>
        <w:t>，与非补偿性聚合、失衡调整等方法同属削弱维度间补偿的思路</w:t>
      </w:r>
      <w:r>
        <w:rPr>
          <w:sz w:val="21"/>
          <w:szCs w:val="21"/>
          <w:vertAlign w:val="superscript"/>
        </w:rPr>
        <w:t>[32,33]</w:t>
      </w:r>
      <w:r>
        <w:rPr>
          <w:sz w:val="21"/>
          <w:szCs w:val="21"/>
        </w:rPr>
        <w:t xml:space="preserve">。本文将其均值</w:t>
      </w:r>
      <w:r>
        <w:rPr>
          <w:rFonts w:hint="eastAsia"/>
          <w:sz w:val="21"/>
          <w:szCs w:val="21"/>
        </w:rPr>
        <w:t>—</w:t>
      </w:r>
      <w:r>
        <w:rPr>
          <w:sz w:val="21"/>
          <w:szCs w:val="21"/>
        </w:rPr>
        <w:t>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b w:val="0"/>
            <w:i w:val="0"/>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b w:val="0"/>
            <w:i w:val="0"/>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 xml:space="preserve">。设某年三子系统指数的均值为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11FADE72">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r>
      <w:r>
        <w:rPr>
          <w:sz w:val="22"/>
          <w:szCs w:val="22"/>
        </w:rPr>
        <w:t>（4）</w:t>
      </w:r>
    </w:p>
    <w:p w14:paraId="6034824B">
      <w:pPr>
        <w:ind w:firstLine="420"/>
        <w:jc w:val="both"/>
      </w:pPr>
      <w:r>
        <w:rPr>
          <w:sz w:val="21"/>
          <w:szCs w:val="21"/>
        </w:rPr>
        <w:t>其中，</w:t>
      </w:r>
      <m:oMath>
        <m:r>
          <m:rPr/>
          <w:rPr>
            <w:rFonts w:ascii="Cambria Math" w:hAnsi="Cambria Math"/>
            <w:sz w:val="21"/>
            <w:szCs w:val="21"/>
          </w:rPr>
          <m:t>CV=S/M</m:t>
        </m:r>
      </m:oMath>
      <w:r>
        <w:rPr>
          <w:sz w:val="21"/>
          <w:szCs w:val="21"/>
        </w:rPr>
        <w:t xml:space="preserve">为离散系数。MPI有两项关键性质。第一，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 xml:space="preserve">时取等号，惩罚项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 xml:space="preserve">随失衡程度连续增大，不存在阈值跳变。第二，滞后子系统的改善同时提高整体水平并缩小差距，领先子系统的改善则会加重惩罚项，边际响应因而减弱。</w:t>
      </w:r>
    </w:p>
    <w:p w14:paraId="56371392">
      <w:pPr>
        <w:keepNext/>
        <w:spacing w:before="140" w:after="40"/>
        <w:jc w:val="center"/>
      </w:pPr>
      <w:r>
        <w:rPr>
          <w:rFonts w:eastAsia="黑体"/>
          <w:b/>
          <w:bCs/>
          <w:sz w:val="21"/>
          <w:szCs w:val="21"/>
        </w:rPr>
        <w:t>表2　MPI与传统耦合度在典型情形下的数值对照</w:t>
      </w:r>
    </w:p>
    <w:tbl>
      <w:tblPr>
        <w:tblStyle w:val="15"/>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7D7D848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F6AA93">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6FA7769">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1C3BED9">
            <w:pPr>
              <w:spacing w:line="240" w:lineRule="auto"/>
              <w:jc w:val="center"/>
            </w:pPr>
            <w:r>
              <w:rPr>
                <w:b/>
                <w:bCs/>
                <w:sz w:val="18"/>
                <w:szCs w:val="18"/>
              </w:rPr>
              <w:t>传统C（耦合度）</w:t>
            </w:r>
          </w:p>
        </w:tc>
      </w:tr>
      <w:tr w14:paraId="0200A8F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53519531">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7BD55F86">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43BE9902">
            <w:pPr>
              <w:spacing w:line="240" w:lineRule="auto"/>
              <w:jc w:val="center"/>
            </w:pPr>
            <w:r>
              <w:rPr>
                <w:sz w:val="18"/>
                <w:szCs w:val="18"/>
              </w:rPr>
              <w:t>0.818</w:t>
            </w:r>
          </w:p>
        </w:tc>
      </w:tr>
      <w:tr w14:paraId="78A69BD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E5F9B6B">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64DA49D6">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54F9227">
            <w:pPr>
              <w:spacing w:line="240" w:lineRule="auto"/>
              <w:jc w:val="center"/>
            </w:pPr>
            <w:r>
              <w:rPr>
                <w:sz w:val="18"/>
                <w:szCs w:val="18"/>
              </w:rPr>
              <w:t>1.000</w:t>
            </w:r>
          </w:p>
        </w:tc>
      </w:tr>
      <w:tr w14:paraId="3A161AE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AB641E1">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2D0A316D">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B16F085">
            <w:pPr>
              <w:spacing w:line="240" w:lineRule="auto"/>
              <w:jc w:val="center"/>
            </w:pPr>
            <w:r>
              <w:rPr>
                <w:sz w:val="18"/>
                <w:szCs w:val="18"/>
              </w:rPr>
              <w:t>0.000</w:t>
            </w:r>
          </w:p>
        </w:tc>
      </w:tr>
      <w:tr w14:paraId="42F46A9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7D13AC44">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76C4B96A">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740A1C81">
            <w:pPr>
              <w:spacing w:line="240" w:lineRule="auto"/>
              <w:jc w:val="center"/>
            </w:pPr>
            <w:r>
              <w:rPr>
                <w:sz w:val="18"/>
                <w:szCs w:val="18"/>
              </w:rPr>
              <w:t>1.000</w:t>
            </w:r>
          </w:p>
        </w:tc>
      </w:tr>
      <w:tr w14:paraId="2B4F721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5A9E1B9">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14538E4">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67A475FE">
            <w:pPr>
              <w:spacing w:line="240" w:lineRule="auto"/>
              <w:jc w:val="center"/>
            </w:pPr>
            <w:r>
              <w:rPr>
                <w:sz w:val="18"/>
                <w:szCs w:val="18"/>
              </w:rPr>
              <w:t>0.683</w:t>
            </w:r>
          </w:p>
        </w:tc>
      </w:tr>
    </w:tbl>
    <w:p w14:paraId="21D85D2F">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047B877B">
      <w:pPr>
        <w:ind w:firstLine="420"/>
        <w:jc w:val="both"/>
      </w:pPr>
      <w:r>
        <w:rPr>
          <w:sz w:val="21"/>
          <w:szCs w:val="21"/>
        </w:rPr>
        <w:t xml:space="preserve">表2显示，(0.9, 0.9, 0.2)情形下传统耦合度仍达0.818，MPI仅为0.503；(1.0, 1.0, 0.0)下耦合度为0，MPI仍为0.333。但(0.9, 0.9, 0.2)与(0.5, 0.5, 0.5)仅差0.003，可见MPI是“有限替代”意义上的弱补偿。</w:t>
      </w:r>
    </w:p>
    <w:p w14:paraId="12091E07">
      <w:pPr>
        <w:spacing w:before="160" w:after="80"/>
      </w:pPr>
      <w:r>
        <w:rPr>
          <w:rFonts w:eastAsia="黑体"/>
          <w:b/>
          <w:bCs/>
          <w:sz w:val="21"/>
          <w:szCs w:val="21"/>
        </w:rPr>
        <w:t>（六）诊断与检验方法</w:t>
      </w:r>
    </w:p>
    <w:p w14:paraId="02D1A9B2">
      <w:pPr>
        <w:ind w:firstLine="420"/>
        <w:jc w:val="both"/>
      </w:pPr>
      <w:r>
        <w:rPr>
          <w:sz w:val="21"/>
          <w:szCs w:val="21"/>
        </w:rPr>
        <w:t xml:space="preserve">另设三类诊断：结构性贡献缺口（各指标组合权重与偏离度之积的占比）识别缺口来源；局部敏感性（子系统指数±1%扰动下MPI的变动百分比）识别最敏感的改善方向；留一法与截断样本检验结果的稳健性。</w:t>
      </w:r>
    </w:p>
    <w:p w14:paraId="4AA48D28">
      <w:pPr>
        <w:spacing w:before="260" w:after="120"/>
      </w:pPr>
      <w:r>
        <w:rPr>
          <w:rFonts w:eastAsia="黑体"/>
          <w:b/>
          <w:bCs/>
          <w:sz w:val="28"/>
          <w:szCs w:val="28"/>
        </w:rPr>
        <w:t>四、结果与分析</w:t>
      </w:r>
    </w:p>
    <w:p w14:paraId="25C81E7C">
      <w:pPr>
        <w:spacing w:before="160" w:after="80"/>
      </w:pPr>
      <w:r>
        <w:rPr>
          <w:rFonts w:eastAsia="黑体"/>
          <w:b/>
          <w:bCs/>
          <w:sz w:val="21"/>
          <w:szCs w:val="21"/>
        </w:rPr>
        <w:t>（一）三子系统综合指数的阶段性演进</w:t>
      </w:r>
    </w:p>
    <w:p w14:paraId="0946448E">
      <w:pPr>
        <w:ind w:firstLine="420"/>
        <w:jc w:val="both"/>
      </w:pPr>
      <w:r>
        <w:rPr>
          <w:sz w:val="21"/>
          <w:szCs w:val="21"/>
        </w:rPr>
        <w:t xml:space="preserve">测算结果见表3和图3。MPI由0.393持续升至0.754，三子系统的相对位置可分为三个阶段。</w:t>
      </w:r>
    </w:p>
    <w:p w14:paraId="67C0B654">
      <w:pPr>
        <w:ind w:firstLine="420"/>
        <w:jc w:val="both"/>
      </w:pPr>
      <w:r>
        <w:rPr>
          <w:sz w:val="21"/>
          <w:szCs w:val="21"/>
        </w:rPr>
        <w:t xml:space="preserve">2016—2017年生态最弱（2016年为0.267，安全与发展分别为0.537、0.467）。因生态以2016年实测值为下限、规划目标为上限，这反映的是规划目标的达成进度，而非当时生态状况本身。</w:t>
      </w:r>
    </w:p>
    <w:p w14:paraId="671F9DF0">
      <w:pPr>
        <w:ind w:firstLine="420"/>
        <w:jc w:val="both"/>
      </w:pPr>
      <w:r>
        <w:rPr>
          <w:sz w:val="21"/>
          <w:szCs w:val="21"/>
        </w:rPr>
        <w:t xml:space="preserve">2018—2022年发展最弱，在0.484—0.539之间波动。该阶段与新冠疫情重叠，但疫情前的2018、2019年发展（0.489、0.519）已低于安全（0.617、0.615），发展滞后并非完全由疫情造成。</w:t>
      </w:r>
    </w:p>
    <w:p w14:paraId="42FAEFD5">
      <w:pPr>
        <w:ind w:firstLine="420"/>
        <w:jc w:val="both"/>
      </w:pPr>
      <w:r>
        <w:rPr>
          <w:sz w:val="21"/>
          <w:szCs w:val="21"/>
        </w:rPr>
        <w:t xml:space="preserve">2023—2025年生态跃居首位（2025年为0.843），安全改善趋缓，2025年仅比发展低0.003，成为相对短板。</w:t>
      </w:r>
    </w:p>
    <w:p w14:paraId="2FCF8A95">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371DC99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804458D">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ED20BD">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20DEFCB">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B4FF42">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B16FE0">
            <w:pPr>
              <w:spacing w:line="240" w:lineRule="auto"/>
              <w:jc w:val="center"/>
            </w:pPr>
            <w:r>
              <w:rPr>
                <w:b/>
                <w:bCs/>
                <w:sz w:val="18"/>
                <w:szCs w:val="18"/>
              </w:rPr>
              <w:t>MPI协调指数 D</w:t>
            </w:r>
          </w:p>
        </w:tc>
      </w:tr>
      <w:tr w14:paraId="732F42F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0CCC0200">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09756071">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7701897E">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11049AB1">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78AF2BC6">
            <w:pPr>
              <w:spacing w:line="240" w:lineRule="auto"/>
              <w:jc w:val="center"/>
            </w:pPr>
            <w:r>
              <w:rPr>
                <w:sz w:val="18"/>
                <w:szCs w:val="18"/>
              </w:rPr>
              <w:t>0.393</w:t>
            </w:r>
          </w:p>
        </w:tc>
      </w:tr>
      <w:tr w14:paraId="1A515C1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728D744">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74D74E4D">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02E3D0E5">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8D18A79">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19BA4763">
            <w:pPr>
              <w:spacing w:line="240" w:lineRule="auto"/>
              <w:jc w:val="center"/>
            </w:pPr>
            <w:r>
              <w:rPr>
                <w:sz w:val="18"/>
                <w:szCs w:val="18"/>
              </w:rPr>
              <w:t>0.486</w:t>
            </w:r>
          </w:p>
        </w:tc>
      </w:tr>
      <w:tr w14:paraId="4759A7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E467788">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30647772">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19471E7E">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58698597">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336C613">
            <w:pPr>
              <w:spacing w:line="240" w:lineRule="auto"/>
              <w:jc w:val="center"/>
            </w:pPr>
            <w:r>
              <w:rPr>
                <w:sz w:val="18"/>
                <w:szCs w:val="18"/>
              </w:rPr>
              <w:t>0.528</w:t>
            </w:r>
          </w:p>
        </w:tc>
      </w:tr>
      <w:tr w14:paraId="43B327C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569DFD5">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59BCC6DE">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A262058">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63B3A6CF">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E13410A">
            <w:pPr>
              <w:spacing w:line="240" w:lineRule="auto"/>
              <w:jc w:val="center"/>
            </w:pPr>
            <w:r>
              <w:rPr>
                <w:sz w:val="18"/>
                <w:szCs w:val="18"/>
              </w:rPr>
              <w:t>0.556</w:t>
            </w:r>
          </w:p>
        </w:tc>
      </w:tr>
      <w:tr w14:paraId="4D28929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B09BC9B">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4F9572CE">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3362234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56F0177C">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53C1CED5">
            <w:pPr>
              <w:spacing w:line="240" w:lineRule="auto"/>
              <w:jc w:val="center"/>
            </w:pPr>
            <w:r>
              <w:rPr>
                <w:sz w:val="18"/>
                <w:szCs w:val="18"/>
              </w:rPr>
              <w:t>0.571</w:t>
            </w:r>
          </w:p>
        </w:tc>
      </w:tr>
      <w:tr w14:paraId="2CAD5EF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88CF3E4">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4275326B">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251BFC61">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3DADCFFC">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5010B99B">
            <w:pPr>
              <w:spacing w:line="240" w:lineRule="auto"/>
              <w:jc w:val="center"/>
            </w:pPr>
            <w:r>
              <w:rPr>
                <w:sz w:val="18"/>
                <w:szCs w:val="18"/>
              </w:rPr>
              <w:t>0.598</w:t>
            </w:r>
          </w:p>
        </w:tc>
      </w:tr>
      <w:tr w14:paraId="058279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22082D9">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044867E6">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8C68458">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22D0211A">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2592A2F6">
            <w:pPr>
              <w:spacing w:line="240" w:lineRule="auto"/>
              <w:jc w:val="center"/>
            </w:pPr>
            <w:r>
              <w:rPr>
                <w:sz w:val="18"/>
                <w:szCs w:val="18"/>
              </w:rPr>
              <w:t>0.607</w:t>
            </w:r>
          </w:p>
        </w:tc>
      </w:tr>
      <w:tr w14:paraId="66C0E0A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98B7825">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768D0C7D">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1C250ABA">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54194A06">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939BAD1">
            <w:pPr>
              <w:spacing w:line="240" w:lineRule="auto"/>
              <w:jc w:val="center"/>
            </w:pPr>
            <w:r>
              <w:rPr>
                <w:sz w:val="18"/>
                <w:szCs w:val="18"/>
              </w:rPr>
              <w:t>0.680</w:t>
            </w:r>
          </w:p>
        </w:tc>
      </w:tr>
      <w:tr w14:paraId="7DFB6C2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0785D9D">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4AC00D0">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05A80EEC">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5121D1">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128B1D9B">
            <w:pPr>
              <w:spacing w:line="240" w:lineRule="auto"/>
              <w:jc w:val="center"/>
            </w:pPr>
            <w:r>
              <w:rPr>
                <w:sz w:val="18"/>
                <w:szCs w:val="18"/>
              </w:rPr>
              <w:t>0.711</w:t>
            </w:r>
          </w:p>
        </w:tc>
      </w:tr>
      <w:tr w14:paraId="66CF5B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3170A10F">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8DF7937">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03A18BC">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FD3B167">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7496C5F">
            <w:pPr>
              <w:spacing w:line="240" w:lineRule="auto"/>
              <w:jc w:val="center"/>
            </w:pPr>
            <w:r>
              <w:rPr>
                <w:sz w:val="18"/>
                <w:szCs w:val="18"/>
              </w:rPr>
              <w:t>0.754</w:t>
            </w:r>
          </w:p>
        </w:tc>
      </w:tr>
    </w:tbl>
    <w:p w14:paraId="3C0707D0">
      <w:pPr>
        <w:spacing w:before="30" w:after="140"/>
      </w:pPr>
      <w:r>
        <w:rPr>
          <w:sz w:val="18"/>
          <w:szCs w:val="18"/>
        </w:rPr>
        <w:t>注：样本期内MPI测算结果均落在0</w:t>
      </w:r>
      <w:r>
        <w:rPr>
          <w:rFonts w:hint="eastAsia"/>
          <w:sz w:val="18"/>
          <w:szCs w:val="18"/>
        </w:rPr>
        <w:t>—</w:t>
      </w:r>
      <w:r>
        <w:rPr>
          <w:sz w:val="18"/>
          <w:szCs w:val="18"/>
        </w:rPr>
        <w:t>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 xml:space="preserve">在失衡极端严重时可能为负，本文样本期内未出现。</w:t>
      </w:r>
    </w:p>
    <w:p w14:paraId="0EE64151">
      <w:pPr>
        <w:spacing w:before="120" w:after="40"/>
        <w:jc w:val="center"/>
      </w:pPr>
      <w:r>
        <w:drawing>
          <wp:inline distT="0" distB="0" distL="0" distR="0">
            <wp:extent cx="4490085" cy="2004060"/>
            <wp:effectExtent l="0" t="0" r="5715" b="1524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8"/>
                    <a:stretch>
                      <a:fillRect/>
                    </a:stretch>
                  </pic:blipFill>
                  <pic:spPr>
                    <a:xfrm>
                      <a:off x="0" y="0"/>
                      <a:ext cx="4490085" cy="2004060"/>
                    </a:xfrm>
                    <a:prstGeom prst="rect">
                      <a:avLst/>
                    </a:prstGeom>
                  </pic:spPr>
                </pic:pic>
              </a:graphicData>
            </a:graphic>
          </wp:inline>
        </w:drawing>
      </w:r>
    </w:p>
    <w:p w14:paraId="32646F68">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2025年西藏安全、发展、生态三子系统综合指数演进</w:t>
      </w:r>
    </w:p>
    <w:p w14:paraId="5212BE59">
      <w:pPr>
        <w:spacing w:after="140"/>
        <w:jc w:val="both"/>
      </w:pPr>
      <w:r>
        <w:rPr>
          <w:sz w:val="18"/>
          <w:szCs w:val="18"/>
        </w:rPr>
        <w:t>注：数据来源于表3。</w:t>
      </w:r>
    </w:p>
    <w:p w14:paraId="39A66526">
      <w:pPr>
        <w:spacing w:before="160" w:after="80"/>
      </w:pPr>
      <w:r>
        <w:rPr>
          <w:rFonts w:eastAsia="黑体"/>
          <w:b/>
          <w:bCs/>
          <w:sz w:val="21"/>
          <w:szCs w:val="21"/>
        </w:rPr>
        <w:t xml:space="preserve">（二）短板诊断</w:t>
      </w:r>
    </w:p>
    <w:p w14:paraId="3F833779">
      <w:pPr>
        <w:ind w:firstLine="420"/>
        <w:jc w:val="both"/>
      </w:pPr>
      <w:r>
        <w:rPr>
          <w:sz w:val="21"/>
          <w:szCs w:val="21"/>
        </w:rPr>
        <w:t xml:space="preserve">结构性贡献缺口主要来自外向度（31.1%）、森林覆盖率（25.6%）、草原综合植被盖度（15.8%）与能耗指数（11.5%）；安全类指标因年际波动小、客观权重偏低而贡献很小，故短板识别以等权的子系统比较为主。局部敏感性方面，2017—2022年MPI对发展最为敏感，2023年起对安全的敏感性超过发展（2025年为0.354比0.353），与H3所述的短板转移一致。</w:t>
      </w:r>
    </w:p>
    <w:p w14:paraId="48D6109F">
      <w:pPr>
        <w:ind w:firstLine="420"/>
        <w:jc w:val="both"/>
      </w:pPr>
      <w:r>
        <w:rPr>
          <w:sz w:val="21"/>
          <w:szCs w:val="21"/>
        </w:rPr>
        <w:t xml:space="preserve">此外，西藏清洁能源发电占比已超过99%，但2015—2024年累计外送电量仅158.14亿千瓦时</w:t>
      </w:r>
      <w:r>
        <w:rPr>
          <w:sz w:val="21"/>
          <w:szCs w:val="21"/>
          <w:vertAlign w:val="superscript"/>
        </w:rPr>
        <w:t xml:space="preserve">[42]</w:t>
      </w:r>
      <w:r>
        <w:rPr>
          <w:sz w:val="21"/>
          <w:szCs w:val="21"/>
        </w:rPr>
        <w:t xml:space="preserve">，约相当于一年的发电量，转化通道尚不畅通，与H2方向一致。</w:t>
      </w:r>
    </w:p>
    <w:p w14:paraId="6EDD1EB1">
      <w:pPr>
        <w:spacing w:before="260" w:after="120"/>
      </w:pPr>
      <w:r>
        <w:rPr>
          <w:rFonts w:eastAsia="黑体"/>
          <w:b/>
          <w:bCs/>
          <w:sz w:val="28"/>
          <w:szCs w:val="28"/>
        </w:rPr>
        <w:t xml:space="preserve">五、稳健性检验</w:t>
      </w:r>
    </w:p>
    <w:p w14:paraId="01C0D272">
      <w:pPr>
        <w:ind w:firstLine="420"/>
        <w:jc w:val="both"/>
      </w:pPr>
      <w:r>
        <w:rPr>
          <w:sz w:val="21"/>
          <w:szCs w:val="21"/>
        </w:rPr>
        <w:t xml:space="preserve">第一，以同一13项指标按协调、绿色、开放、共享四维线性加总构造对照指数，其与MPI的相关系数为0.979。样本期内失衡惩罚项仅为0.000—0.031，聚合方式影响有限；三元框架的增量来自按战略功能分组，使阶段性短板得以识别。</w:t>
      </w:r>
    </w:p>
    <w:p w14:paraId="4C8BFBB2">
      <w:pPr>
        <w:ind w:firstLine="420"/>
        <w:jc w:val="both"/>
      </w:pPr>
      <w:r>
        <w:rPr>
          <w:sz w:val="21"/>
          <w:szCs w:val="21"/>
        </w:rPr>
        <w:t xml:space="preserve">第二，以2016—2022年截断样本重算，固定基准法的历史取值不变，改用极差标准化时MPI最大偏移0.229；组合权重约83%集中于四项指标，安全类指标权重均低于1.2%，支持等权；五项惯例性上限作±25%扰动不改变MPI的上升趋势，但末段安全短板的排序对上限较为敏感；E2于2025年已超出规划上限，存在封顶效应。</w:t>
      </w:r>
    </w:p>
    <w:p w14:paraId="3960CD59">
      <w:pPr>
        <w:ind w:firstLine="420"/>
        <w:jc w:val="both"/>
      </w:pPr>
      <w:r>
        <w:rPr>
          <w:sz w:val="21"/>
          <w:szCs w:val="21"/>
        </w:rPr>
        <w:t xml:space="preserve">第三，留一法（表4）中发展最弱年数为2—9年，13项设定中11项不少于3年，仅剔除S4或D3时为2年。故前两个阶段的判断稳健，末段的安全信号属初步观察。</w:t>
      </w:r>
    </w:p>
    <w:p w14:paraId="4DF40FF3">
      <w:pPr>
        <w:spacing w:before="140" w:after="40"/>
        <w:jc w:val="center"/>
      </w:pPr>
      <w:r>
        <w:rPr>
          <w:rFonts w:eastAsia="黑体"/>
          <w:b/>
          <w:bCs/>
          <w:sz w:val="21"/>
          <w:szCs w:val="21"/>
        </w:rPr>
        <w:t xml:space="preserve">表4　13项指标留一法（LOO）结果</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000"/>
        <w:gridCol w:w="1800"/>
        <w:gridCol w:w="1800"/>
        <w:gridCol w:w="2200"/>
      </w:tblGrid>
      <w:tr w14:paraId="74C5CBF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30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14B984">
            <w:pPr>
              <w:spacing w:line="240" w:lineRule="auto"/>
              <w:jc w:val="center"/>
            </w:pPr>
            <w:r>
              <w:rPr>
                <w:b/>
                <w:bCs/>
                <w:sz w:val="18"/>
                <w:szCs w:val="18"/>
              </w:rPr>
              <w:t>剔除指标</w:t>
            </w:r>
          </w:p>
        </w:tc>
        <w:tc>
          <w:tcPr>
            <w:tcW w:w="1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1DC76E">
            <w:pPr>
              <w:spacing w:line="240" w:lineRule="auto"/>
              <w:jc w:val="center"/>
            </w:pPr>
            <w:r>
              <w:rPr>
                <w:b/>
                <w:bCs/>
                <w:sz w:val="18"/>
                <w:szCs w:val="18"/>
              </w:rPr>
              <w:t>D</w:t>
            </w:r>
            <w:r>
              <w:rPr>
                <w:b/>
                <w:bCs/>
                <w:sz w:val="18"/>
                <w:szCs w:val="18"/>
                <w:vertAlign w:val="subscript"/>
              </w:rPr>
              <w:t>MPI</w:t>
            </w:r>
            <w:r>
              <w:rPr>
                <w:b/>
                <w:bCs/>
                <w:sz w:val="18"/>
                <w:szCs w:val="18"/>
              </w:rPr>
              <w:t>(2016)</w:t>
            </w:r>
          </w:p>
        </w:tc>
        <w:tc>
          <w:tcPr>
            <w:tcW w:w="1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E78B5EE">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7E845AE">
            <w:pPr>
              <w:spacing w:line="240" w:lineRule="auto"/>
              <w:jc w:val="center"/>
            </w:pPr>
            <w:r>
              <w:rPr>
                <w:b/>
                <w:bCs/>
                <w:sz w:val="18"/>
                <w:szCs w:val="18"/>
              </w:rPr>
              <w:t>发展最弱年数（共10年）</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S1 人均一般公共预算收入</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0.400</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7</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S2 城乡居民收入比与全国差距</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0.392</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0.769</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8</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S3 居民医保人均财政补助标准</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0.402</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0.766</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8</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S4 养老参保率</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0.370</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2</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D1 人均GDP相对全国水平</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0.378</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0.745</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7</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D2 农村居民人均收入相对全国水平</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0.371</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0.732</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9</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D3 外向度</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0.395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2</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D4 人均接待游客</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0.751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5</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D5 发电量</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0.408</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0.746</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4</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E1 单位GDP能耗指数</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0.426</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0.770</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6</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E2 森林覆盖率</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0.439</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5</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E3 空气质量优良天数比例</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0.205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3</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E4 草原综合植被盖度</w:t>
            </w:r>
          </w:p>
        </w:tc>
        <w:tc>
          <w:tcPr>
            <w:tcW w:w="18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0.439</w:t>
            </w:r>
          </w:p>
        </w:tc>
        <w:tc>
          <w:tcPr>
            <w:tcW w:w="18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5</w:t>
            </w:r>
          </w:p>
        </w:tc>
      </w:tr>
    </w:tbl>
    <w:p w14:paraId="07045021">
      <w:pPr>
        <w:spacing w:before="30" w:after="140"/>
      </w:pPr>
      <w:r>
        <w:rPr>
          <w:sz w:val="18"/>
          <w:szCs w:val="18"/>
        </w:rPr>
        <w:t>注：逐一剔除单项指标后按其余设定不变重算。</w:t>
      </w:r>
      <w:r>
        <w:rPr>
          <w:rFonts w:hint="eastAsia"/>
          <w:sz w:val="18"/>
          <w:szCs w:val="18"/>
        </w:rPr>
        <w:t>“</w:t>
      </w:r>
      <w:r>
        <w:rPr>
          <w:sz w:val="18"/>
          <w:szCs w:val="18"/>
        </w:rPr>
        <w:t>发展最弱年数</w:t>
      </w:r>
      <w:r>
        <w:rPr>
          <w:rFonts w:hint="eastAsia"/>
          <w:sz w:val="18"/>
          <w:szCs w:val="18"/>
        </w:rPr>
        <w:t>”</w:t>
      </w:r>
      <w:r>
        <w:rPr>
          <w:sz w:val="18"/>
          <w:szCs w:val="18"/>
        </w:rPr>
        <w:t>指样本期10年中发展子系统指数在三者中最低的年数。</w:t>
      </w:r>
    </w:p>
    <w:p w14:paraId="707370EA">
      <w:pPr>
        <w:spacing w:before="260" w:after="120"/>
      </w:pPr>
      <w:r>
        <w:rPr>
          <w:rFonts w:eastAsia="黑体"/>
          <w:b/>
          <w:bCs/>
          <w:sz w:val="28"/>
          <w:szCs w:val="28"/>
        </w:rPr>
        <w:t xml:space="preserve">六、结论与政策启示</w:t>
      </w:r>
    </w:p>
    <w:p w14:paraId="17BFAF3B">
      <w:pPr>
        <w:spacing w:before="160" w:after="80"/>
      </w:pPr>
      <w:r>
        <w:rPr>
          <w:rFonts w:eastAsia="黑体"/>
          <w:b/>
          <w:bCs/>
          <w:sz w:val="21"/>
          <w:szCs w:val="21"/>
        </w:rPr>
        <w:t>（一）主要结论</w:t>
      </w:r>
    </w:p>
    <w:p w14:paraId="6051B862">
      <w:pPr>
        <w:ind w:firstLine="420"/>
        <w:jc w:val="both"/>
        <w:rPr>
          <w:sz w:val="21"/>
          <w:szCs w:val="21"/>
        </w:rPr>
      </w:pPr>
      <w:r>
        <w:rPr>
          <w:rFonts w:hint="eastAsia"/>
          <w:sz w:val="21"/>
          <w:szCs w:val="21"/>
        </w:rPr>
        <w:t xml:space="preserve">（1）2016—2025年西藏三子系统同步改善，MPI由0.393升至0.754，未出现以一项功能换取另一项功能的情形。</w:t>
      </w:r>
    </w:p>
    <w:p w14:paraId="3A1B6AE2">
      <w:pPr>
        <w:ind w:firstLine="420"/>
        <w:jc w:val="both"/>
        <w:rPr>
          <w:sz w:val="21"/>
          <w:szCs w:val="21"/>
        </w:rPr>
      </w:pPr>
      <w:r>
        <w:rPr>
          <w:rFonts w:hint="eastAsia"/>
          <w:sz w:val="21"/>
          <w:szCs w:val="21"/>
        </w:rPr>
        <w:t xml:space="preserve">（2）相对短板由生态转为发展，近期安全改善趋缓；政策资源应随当期短板调整，而非固定投向某一子系统。</w:t>
      </w:r>
    </w:p>
    <w:p w14:paraId="48E02D6D">
      <w:pPr>
        <w:ind w:firstLine="420"/>
        <w:jc w:val="both"/>
        <w:rPr>
          <w:sz w:val="21"/>
          <w:szCs w:val="21"/>
        </w:rPr>
      </w:pPr>
      <w:r>
        <w:rPr>
          <w:rFonts w:hint="eastAsia"/>
          <w:sz w:val="21"/>
          <w:szCs w:val="21"/>
        </w:rPr>
        <w:t xml:space="preserve">（3）三元框架的增量在于识别阶段性短板，对西藏的考核评价宜将安全与生态屏障功能单列考察。</w:t>
      </w:r>
    </w:p>
    <w:p w14:paraId="5B3B99D2">
      <w:pPr>
        <w:ind w:firstLine="420"/>
        <w:jc w:val="both"/>
        <w:rPr>
          <w:sz w:val="21"/>
          <w:szCs w:val="21"/>
        </w:rPr>
      </w:pPr>
      <w:r>
        <w:rPr>
          <w:rFonts w:hint="eastAsia"/>
          <w:sz w:val="21"/>
          <w:szCs w:val="21"/>
        </w:rPr>
        <w:t xml:space="preserve">（4）安全与生态功能主要依靠财政投入维系：2024年除拉萨市（36.19%）外，其余六个地市（区）财政自给率均低于11%。发展的相对滞后部分反映了这种资源配置结构，但这一解释未能与疫情冲击分离。</w:t>
      </w:r>
    </w:p>
    <w:p w14:paraId="56AD5372">
      <w:pPr>
        <w:spacing w:before="160" w:after="80"/>
      </w:pPr>
      <w:r>
        <w:rPr>
          <w:rFonts w:eastAsia="黑体"/>
          <w:b/>
          <w:bCs/>
          <w:sz w:val="21"/>
          <w:szCs w:val="21"/>
        </w:rPr>
        <w:t>（二）政策建议</w:t>
      </w:r>
      <w:bookmarkStart w:id="0" w:name="_GoBack"/>
      <w:bookmarkEnd w:id="0"/>
    </w:p>
    <w:p w14:paraId="526714D4">
      <w:pPr>
        <w:ind w:firstLine="420"/>
        <w:jc w:val="both"/>
        <w:rPr>
          <w:sz w:val="21"/>
          <w:szCs w:val="21"/>
        </w:rPr>
      </w:pPr>
      <w:r>
        <w:rPr>
          <w:sz w:val="21"/>
          <w:szCs w:val="21"/>
        </w:rPr>
        <w:t xml:space="preserve">围绕创建高原经济高质量发展先行区</w:t>
      </w:r>
      <w:r>
        <w:rPr>
          <w:sz w:val="21"/>
          <w:szCs w:val="21"/>
          <w:vertAlign w:val="superscript"/>
        </w:rPr>
        <w:t xml:space="preserve">[15]</w:t>
      </w:r>
      <w:r>
        <w:rPr>
          <w:sz w:val="21"/>
          <w:szCs w:val="21"/>
        </w:rPr>
        <w:t xml:space="preserve">，提出四条建议（第三条依据样本末期的初步观察）。</w:t>
      </w:r>
    </w:p>
    <w:p w14:paraId="5796EFBE">
      <w:pPr>
        <w:ind w:firstLine="420"/>
        <w:jc w:val="both"/>
      </w:pPr>
      <w:r>
        <w:rPr>
          <w:sz w:val="21"/>
          <w:szCs w:val="21"/>
        </w:rPr>
        <w:t xml:space="preserve">第一，优化服务业结构。2024年西藏第三产业比重为54.3%</w:t>
      </w:r>
      <w:r>
        <w:rPr>
          <w:sz w:val="21"/>
          <w:szCs w:val="21"/>
          <w:vertAlign w:val="superscript"/>
        </w:rPr>
        <w:t xml:space="preserve">[37]</w:t>
      </w:r>
      <w:r>
        <w:rPr>
          <w:sz w:val="21"/>
          <w:szCs w:val="21"/>
        </w:rPr>
        <w:t xml:space="preserve">，低于全国的56.7%</w:t>
      </w:r>
      <w:r>
        <w:rPr>
          <w:sz w:val="21"/>
          <w:szCs w:val="21"/>
          <w:vertAlign w:val="superscript"/>
        </w:rPr>
        <w:t xml:space="preserve">[39]</w:t>
      </w:r>
      <w:r>
        <w:rPr>
          <w:sz w:val="21"/>
          <w:szCs w:val="21"/>
        </w:rPr>
        <w:t xml:space="preserve">，应发展高端文旅、康养研学与生产性服务业，完善口岸物流与边贸产业链。</w:t>
      </w:r>
    </w:p>
    <w:p w14:paraId="547826FC">
      <w:pPr>
        <w:ind w:firstLine="420"/>
        <w:jc w:val="both"/>
      </w:pPr>
      <w:r>
        <w:rPr>
          <w:sz w:val="21"/>
          <w:szCs w:val="21"/>
        </w:rPr>
        <w:t xml:space="preserve">第二，畅通生态价值转化通道。依托清洁能源外送、生态文旅、碳汇交易与绿色农牧产品品牌，探索绿电跨省消纳补偿机制。</w:t>
      </w:r>
    </w:p>
    <w:p w14:paraId="207C7F05">
      <w:pPr>
        <w:ind w:firstLine="420"/>
        <w:jc w:val="both"/>
      </w:pPr>
      <w:r>
        <w:rPr>
          <w:sz w:val="21"/>
          <w:szCs w:val="21"/>
        </w:rPr>
        <w:t xml:space="preserve">第三，稳固民生保障投入。保持地方财力、医保与养老保障的投入强度，避免安全子系统改善滞后。</w:t>
      </w:r>
    </w:p>
    <w:p w14:paraId="6321A4C0">
      <w:pPr>
        <w:ind w:firstLine="420"/>
        <w:jc w:val="both"/>
      </w:pPr>
      <w:r>
        <w:rPr>
          <w:sz w:val="21"/>
          <w:szCs w:val="21"/>
        </w:rPr>
        <w:t xml:space="preserve">第四，建立短板动态监测机制。以协调指数、结构性贡献缺口与局部敏感性开展年度监测，逐年识别当期短板。</w:t>
      </w:r>
    </w:p>
    <w:p w14:paraId="1CBA53F6">
      <w:pPr>
        <w:spacing w:before="160" w:after="80"/>
      </w:pPr>
      <w:r>
        <w:rPr>
          <w:rFonts w:eastAsia="黑体"/>
          <w:b/>
          <w:bCs/>
          <w:sz w:val="21"/>
          <w:szCs w:val="21"/>
        </w:rPr>
        <w:t>（三）研究局限与展望</w:t>
      </w:r>
    </w:p>
    <w:p w14:paraId="3333C1A9">
      <w:pPr>
        <w:ind w:firstLine="420"/>
        <w:jc w:val="both"/>
      </w:pPr>
      <w:r>
        <w:rPr>
          <w:sz w:val="21"/>
          <w:szCs w:val="21"/>
        </w:rPr>
        <w:t xml:space="preserve">本文的局限在于：安全与生态均为间接代理，三个子系统的标准化基准类型不一，跨子系统比较受基准选择影响；数据为单一地区10年观测且覆盖疫情期，H1、H2只作分析命题；生态指数涨幅（0.576）高于安全（0.178）与发展（0.251），部分源于以规划目标标定基准。后续可借助面板数据，并拓展至四省涉藏州县加以检验。</w:t>
      </w:r>
    </w:p>
    <w:p w14:paraId="085A8D26">
      <w:pPr>
        <w:spacing w:before="260" w:after="120"/>
      </w:pPr>
      <w:r>
        <w:rPr>
          <w:rFonts w:eastAsia="黑体"/>
          <w:b/>
          <w:bCs/>
          <w:sz w:val="28"/>
          <w:szCs w:val="28"/>
        </w:rPr>
        <w:t>参考文献</w:t>
      </w:r>
    </w:p>
    <w:p w14:paraId="14E59D62">
      <w:pPr>
        <w:spacing w:after="20" w:line="300" w:lineRule="auto"/>
        <w:ind w:left="360" w:hanging="360"/>
      </w:pPr>
      <w:r>
        <w:rPr>
          <w:sz w:val="20"/>
          <w:szCs w:val="20"/>
        </w:rPr>
        <w:t>[1] 中国社会科学院财经战略研究院课题组,尹振涛,谭洪波,等.</w:t>
      </w:r>
      <w:r>
        <w:rPr>
          <w:rFonts w:hint="eastAsia"/>
          <w:sz w:val="20"/>
          <w:szCs w:val="20"/>
        </w:rPr>
        <w:t>“</w:t>
      </w:r>
      <w:r>
        <w:rPr>
          <w:sz w:val="20"/>
          <w:szCs w:val="20"/>
        </w:rPr>
        <w:t>十五五</w:t>
      </w:r>
      <w:r>
        <w:rPr>
          <w:rFonts w:hint="eastAsia"/>
          <w:sz w:val="20"/>
          <w:szCs w:val="20"/>
        </w:rPr>
        <w:t>”</w:t>
      </w:r>
      <w:r>
        <w:rPr>
          <w:sz w:val="20"/>
          <w:szCs w:val="20"/>
        </w:rPr>
        <w:t>时期经济高质量发展的若干问题研究[J].财贸经济,2025(12):5-24.</w:t>
      </w:r>
    </w:p>
    <w:p w14:paraId="47D38361">
      <w:pPr>
        <w:spacing w:after="20" w:line="300" w:lineRule="auto"/>
        <w:ind w:left="360" w:hanging="360"/>
      </w:pPr>
      <w:r>
        <w:rPr>
          <w:sz w:val="20"/>
          <w:szCs w:val="20"/>
        </w:rPr>
        <w:t>[2] 樊杰.</w:t>
      </w:r>
      <w:r>
        <w:rPr>
          <w:rFonts w:hint="eastAsia"/>
          <w:sz w:val="20"/>
          <w:szCs w:val="20"/>
        </w:rPr>
        <w:t>“</w:t>
      </w:r>
      <w:r>
        <w:rPr>
          <w:sz w:val="20"/>
          <w:szCs w:val="20"/>
        </w:rPr>
        <w:t>十五五</w:t>
      </w:r>
      <w:r>
        <w:rPr>
          <w:rFonts w:hint="eastAsia"/>
          <w:sz w:val="20"/>
          <w:szCs w:val="20"/>
        </w:rPr>
        <w:t>”</w:t>
      </w:r>
      <w:r>
        <w:rPr>
          <w:sz w:val="20"/>
          <w:szCs w:val="20"/>
        </w:rPr>
        <w:t>时期中国区域协调发展的理论探索、战略创新与路径选择[J].中国科学院院刊,2024(4):605-619.</w:t>
      </w:r>
    </w:p>
    <w:p w14:paraId="186404B8">
      <w:pPr>
        <w:spacing w:after="20" w:line="300" w:lineRule="auto"/>
        <w:ind w:left="360" w:hanging="360"/>
      </w:pPr>
      <w:r>
        <w:rPr>
          <w:sz w:val="20"/>
          <w:szCs w:val="20"/>
        </w:rPr>
        <w:t>[3] 楼俊超,余郑霁.西藏现代化发展的现实基础、主要挑战与路径选择[J].西藏大学学报(社会科学版),2024(4):143-148.</w:t>
      </w:r>
    </w:p>
    <w:p w14:paraId="5015D093">
      <w:pPr>
        <w:spacing w:after="20" w:line="300" w:lineRule="auto"/>
        <w:ind w:left="360" w:hanging="360"/>
      </w:pPr>
      <w:r>
        <w:rPr>
          <w:sz w:val="20"/>
          <w:szCs w:val="20"/>
        </w:rPr>
        <w:t>[4] 陈宗荣.深刻理解新时代党的治藏方略的世界观和方法论意蕴[J].中国藏学,2023(1):1-8,210.</w:t>
      </w:r>
    </w:p>
    <w:p w14:paraId="6FEF670C">
      <w:pPr>
        <w:spacing w:after="20" w:line="300" w:lineRule="auto"/>
        <w:ind w:left="360" w:hanging="360"/>
      </w:pPr>
      <w:r>
        <w:rPr>
          <w:sz w:val="20"/>
          <w:szCs w:val="20"/>
        </w:rPr>
        <w:t>[5] 周亦峰.西藏筑牢国家生态安全屏障的法治逻辑</w:t>
      </w:r>
      <w:r>
        <w:rPr>
          <w:rFonts w:hint="eastAsia"/>
          <w:sz w:val="20"/>
          <w:szCs w:val="20"/>
        </w:rPr>
        <w:t>——</w:t>
      </w:r>
      <w:r>
        <w:rPr>
          <w:sz w:val="20"/>
          <w:szCs w:val="20"/>
        </w:rPr>
        <w:t>以习近平生态文明思想为视域[J].中国藏学,2021(4):29-35.</w:t>
      </w:r>
    </w:p>
    <w:p w14:paraId="4E513AC8">
      <w:pPr>
        <w:spacing w:after="20" w:line="300" w:lineRule="auto"/>
        <w:ind w:left="360" w:hanging="360"/>
      </w:pPr>
      <w:r>
        <w:rPr>
          <w:sz w:val="20"/>
          <w:szCs w:val="20"/>
        </w:rPr>
        <w:t>[6] 郑堆.用文化自信凝人心聚合力　以中国式现代化生动实践推动西藏长治久安和高质量发展[J].中国藏学,2023(1):9-15,210.</w:t>
      </w:r>
    </w:p>
    <w:p w14:paraId="1D48FB93">
      <w:pPr>
        <w:spacing w:after="20" w:line="300" w:lineRule="auto"/>
        <w:ind w:left="360" w:hanging="360"/>
      </w:pPr>
      <w:r>
        <w:rPr>
          <w:sz w:val="20"/>
          <w:szCs w:val="20"/>
        </w:rPr>
        <w:t>[7] 师博,任保平.中国省际经济高质量发展的测度与分析[J].经济问题,2018(4):1-6.</w:t>
      </w:r>
    </w:p>
    <w:p w14:paraId="13E805FB">
      <w:pPr>
        <w:spacing w:after="20" w:line="300" w:lineRule="auto"/>
        <w:ind w:left="360" w:hanging="360"/>
      </w:pPr>
      <w:r>
        <w:rPr>
          <w:sz w:val="20"/>
          <w:szCs w:val="20"/>
        </w:rPr>
        <w:t>[8] 李金昌,史龙梅,徐蔼婷.高质量发展评价指标体系探讨[J].统计研究,2019(1):4-14.</w:t>
      </w:r>
    </w:p>
    <w:p w14:paraId="473A1DEA">
      <w:pPr>
        <w:spacing w:after="20" w:line="300" w:lineRule="auto"/>
        <w:ind w:left="360" w:hanging="360"/>
      </w:pPr>
      <w:r>
        <w:rPr>
          <w:sz w:val="20"/>
          <w:szCs w:val="20"/>
        </w:rPr>
        <w:t>[9] 杨永芳,王秦.新时代中国区域经济高质量发展评价指标体系构建研究[J].中国软科学,2024(S1):182-190.</w:t>
      </w:r>
    </w:p>
    <w:p w14:paraId="1B9A6889">
      <w:pPr>
        <w:spacing w:after="20" w:line="300" w:lineRule="auto"/>
        <w:ind w:left="360" w:hanging="360"/>
      </w:pPr>
      <w:r>
        <w:rPr>
          <w:sz w:val="20"/>
          <w:szCs w:val="20"/>
        </w:rPr>
        <w:t>[10] 张伟丽,王伊斌,魏瑞博.城市群内城市高质量发展趋同俱乐部时空演进及机理[J].地理学报,2023(12):3109-3128.</w:t>
      </w:r>
    </w:p>
    <w:p w14:paraId="0DA91109">
      <w:pPr>
        <w:spacing w:after="20" w:line="300" w:lineRule="auto"/>
        <w:ind w:left="360" w:hanging="360"/>
      </w:pPr>
      <w:r>
        <w:rPr>
          <w:sz w:val="20"/>
          <w:szCs w:val="20"/>
        </w:rPr>
        <w:t>[11] 张国俊,王运喆,陈宇,周春山.中国城市群高质量发展的时空特征及分异机理[J].地理研究,2022(8):2109-2124.</w:t>
      </w:r>
    </w:p>
    <w:p w14:paraId="29FF41C4">
      <w:pPr>
        <w:spacing w:after="20" w:line="300" w:lineRule="auto"/>
        <w:ind w:left="360" w:hanging="360"/>
      </w:pPr>
      <w:r>
        <w:rPr>
          <w:sz w:val="20"/>
          <w:szCs w:val="20"/>
        </w:rPr>
        <w:t>[12] DEARING J A, WANG R, ZHANG K, et al. Safe and just operating spaces for regional social-ecological systems[J].Global Environmental Change,2014,28:227-238.</w:t>
      </w:r>
    </w:p>
    <w:p w14:paraId="408AB839">
      <w:pPr>
        <w:spacing w:after="20" w:line="300" w:lineRule="auto"/>
        <w:ind w:left="360" w:hanging="360"/>
      </w:pPr>
      <w:r>
        <w:rPr>
          <w:sz w:val="20"/>
          <w:szCs w:val="20"/>
        </w:rPr>
        <w:t>[13] RAWORTH K. Doughnut Economics: Seven Ways to Think Like a 21st-Century Economist[M].London:Random House Business Books,2017.</w:t>
      </w:r>
    </w:p>
    <w:p w14:paraId="7A991A06">
      <w:pPr>
        <w:spacing w:after="20" w:line="300" w:lineRule="auto"/>
        <w:ind w:left="360" w:hanging="360"/>
      </w:pPr>
      <w:r>
        <w:rPr>
          <w:sz w:val="20"/>
          <w:szCs w:val="20"/>
        </w:rPr>
        <w:t>[14] 卜洁文.统筹发展和安全视域下西藏高质量融入</w:t>
      </w:r>
      <w:r>
        <w:rPr>
          <w:rFonts w:hint="eastAsia"/>
          <w:sz w:val="20"/>
          <w:szCs w:val="20"/>
        </w:rPr>
        <w:t>“</w:t>
      </w:r>
      <w:r>
        <w:rPr>
          <w:sz w:val="20"/>
          <w:szCs w:val="20"/>
        </w:rPr>
        <w:t>一带一路</w:t>
      </w:r>
      <w:r>
        <w:rPr>
          <w:rFonts w:hint="eastAsia"/>
          <w:sz w:val="20"/>
          <w:szCs w:val="20"/>
        </w:rPr>
        <w:t>”</w:t>
      </w:r>
      <w:r>
        <w:rPr>
          <w:sz w:val="20"/>
          <w:szCs w:val="20"/>
        </w:rPr>
        <w:t>建设研究[J].西藏大学学报(社会科学版),2024(2):186-191.</w:t>
      </w:r>
    </w:p>
    <w:p w14:paraId="5E88511D">
      <w:pPr>
        <w:spacing w:after="20" w:line="300" w:lineRule="auto"/>
        <w:ind w:left="360" w:hanging="360"/>
      </w:pPr>
      <w:r>
        <w:rPr>
          <w:sz w:val="20"/>
          <w:szCs w:val="20"/>
        </w:rPr>
        <w:t>[15] 徐伍达,久毛措.西藏推动高原经济高质量发展研究[J].西藏研究,2023(6):114-127,156.</w:t>
      </w:r>
    </w:p>
    <w:p w14:paraId="24CA2924">
      <w:pPr>
        <w:spacing w:after="20" w:line="300" w:lineRule="auto"/>
        <w:ind w:left="360" w:hanging="360"/>
      </w:pPr>
      <w:r>
        <w:rPr>
          <w:sz w:val="20"/>
          <w:szCs w:val="20"/>
        </w:rPr>
        <w:t>[16] 冯娜娜,韦雄生,龙堂展.边疆民族地区新质生产力发展水平测度及障碍因子分析</w:t>
      </w:r>
      <w:r>
        <w:rPr>
          <w:rFonts w:hint="eastAsia"/>
          <w:sz w:val="20"/>
          <w:szCs w:val="20"/>
        </w:rPr>
        <w:t>——</w:t>
      </w:r>
      <w:r>
        <w:rPr>
          <w:sz w:val="20"/>
          <w:szCs w:val="20"/>
        </w:rPr>
        <w:t>以西藏、广西和云南为例[J].南宁师范大学学报(自然科学版),2025(2):13-22.</w:t>
      </w:r>
    </w:p>
    <w:p w14:paraId="2E9CA5F8">
      <w:pPr>
        <w:spacing w:after="20" w:line="300" w:lineRule="auto"/>
        <w:ind w:left="360" w:hanging="360"/>
      </w:pPr>
      <w:r>
        <w:rPr>
          <w:sz w:val="20"/>
          <w:szCs w:val="20"/>
        </w:rPr>
        <w:t>[17] 鲁万波,贾光宁.西藏经济高质量发展指标体系构建与测度[J].西藏大学学报(社会科学版),2022(3):172-181.</w:t>
      </w:r>
    </w:p>
    <w:p w14:paraId="4A97EC2A">
      <w:pPr>
        <w:spacing w:after="20" w:line="300" w:lineRule="auto"/>
        <w:ind w:left="360" w:hanging="360"/>
      </w:pPr>
      <w:r>
        <w:rPr>
          <w:sz w:val="20"/>
          <w:szCs w:val="20"/>
        </w:rPr>
        <w:t>[18] 席蒙蒙.西藏经济高质量发展水平测度研究[J].青海民族研究,2023(3):107-115.</w:t>
      </w:r>
    </w:p>
    <w:p w14:paraId="414BF5A1">
      <w:pPr>
        <w:spacing w:after="20" w:line="300" w:lineRule="auto"/>
        <w:ind w:left="360" w:hanging="360"/>
      </w:pPr>
      <w:r>
        <w:rPr>
          <w:sz w:val="20"/>
          <w:szCs w:val="20"/>
        </w:rPr>
        <w:t>[19] 冯思童.西藏高质量发展评估指标的耦合效应及灰色关联分析[J].商业经济研究,2025(8):184-188.</w:t>
      </w:r>
    </w:p>
    <w:p w14:paraId="1A1AEA52">
      <w:pPr>
        <w:spacing w:after="20" w:line="300" w:lineRule="auto"/>
        <w:ind w:left="360" w:hanging="360"/>
      </w:pPr>
      <w:r>
        <w:rPr>
          <w:sz w:val="20"/>
          <w:szCs w:val="20"/>
        </w:rPr>
        <w:t>[20] 陈朴,杨亚波.西藏创建高原经济高质量发展先行区评价指标体系构建研究[J].西藏研究,2023(1):1-12,155.</w:t>
      </w:r>
    </w:p>
    <w:p w14:paraId="159C148C">
      <w:pPr>
        <w:spacing w:after="20" w:line="300" w:lineRule="auto"/>
        <w:ind w:left="360" w:hanging="360"/>
      </w:pPr>
      <w:r>
        <w:rPr>
          <w:sz w:val="20"/>
          <w:szCs w:val="20"/>
        </w:rPr>
        <w:t>[21] 严茂超,ODUM H T.西藏生态经济系统的能值分析与可持续发展研究[J].自然资源学报,1998(2):117-125.</w:t>
      </w:r>
    </w:p>
    <w:p w14:paraId="1FCD00A6">
      <w:pPr>
        <w:spacing w:after="20" w:line="300" w:lineRule="auto"/>
        <w:ind w:left="360" w:hanging="360"/>
      </w:pPr>
      <w:r>
        <w:rPr>
          <w:sz w:val="20"/>
          <w:szCs w:val="20"/>
        </w:rPr>
        <w:t>[22] 赵晓鸿.西藏经济发展与生态安全的冲突及对策[J].西南民族大学学报(人文社科版),2006(10):34-37.</w:t>
      </w:r>
    </w:p>
    <w:p w14:paraId="169EA637">
      <w:pPr>
        <w:spacing w:after="20" w:line="300" w:lineRule="auto"/>
        <w:ind w:left="360" w:hanging="360"/>
      </w:pPr>
      <w:r>
        <w:rPr>
          <w:sz w:val="20"/>
          <w:szCs w:val="20"/>
        </w:rPr>
        <w:t>[23] 郑应友,侯霞.基于Bibliometrix的西藏生态经济领域研究现状、热点探析与趋势展望(1984—2022)[J].西藏研究,2024(2):144-154,160.</w:t>
      </w:r>
    </w:p>
    <w:p w14:paraId="5F5B5183">
      <w:pPr>
        <w:spacing w:after="20" w:line="300" w:lineRule="auto"/>
        <w:ind w:left="360" w:hanging="360"/>
      </w:pPr>
      <w:r>
        <w:rPr>
          <w:sz w:val="20"/>
          <w:szCs w:val="20"/>
        </w:rPr>
        <w:t>[24] 焦乐佳,姚柳杨,宋连久,等.西藏县域生态</w:t>
      </w:r>
      <w:r>
        <w:rPr>
          <w:rFonts w:hint="eastAsia"/>
          <w:sz w:val="20"/>
          <w:szCs w:val="20"/>
        </w:rPr>
        <w:t>—</w:t>
      </w:r>
      <w:r>
        <w:rPr>
          <w:sz w:val="20"/>
          <w:szCs w:val="20"/>
        </w:rPr>
        <w:t>经济</w:t>
      </w:r>
      <w:r>
        <w:rPr>
          <w:rFonts w:hint="eastAsia"/>
          <w:sz w:val="20"/>
          <w:szCs w:val="20"/>
        </w:rPr>
        <w:t>—</w:t>
      </w:r>
      <w:r>
        <w:rPr>
          <w:sz w:val="20"/>
          <w:szCs w:val="20"/>
        </w:rPr>
        <w:t>社会耦合协调发展的时空演变及预测[J].水土保持通报,2026(2):378-388.</w:t>
      </w:r>
    </w:p>
    <w:p w14:paraId="4D52FE02">
      <w:pPr>
        <w:spacing w:after="20" w:line="300" w:lineRule="auto"/>
        <w:ind w:left="360" w:hanging="360"/>
      </w:pPr>
      <w:r>
        <w:rPr>
          <w:sz w:val="20"/>
          <w:szCs w:val="20"/>
        </w:rPr>
        <w:t>[25] 王翔宇,高培超,宋长青,等.区域高质量发展的内涵与评价体系探索</w:t>
      </w:r>
      <w:r>
        <w:rPr>
          <w:rFonts w:hint="eastAsia"/>
          <w:sz w:val="20"/>
          <w:szCs w:val="20"/>
        </w:rPr>
        <w:t>——</w:t>
      </w:r>
      <w:r>
        <w:rPr>
          <w:sz w:val="20"/>
          <w:szCs w:val="20"/>
        </w:rPr>
        <w:t>以青藏高原县域单元为例[J].北京师范大学学报(自然科学版),2022(2):328-336.</w:t>
      </w:r>
    </w:p>
    <w:p w14:paraId="03E77064">
      <w:pPr>
        <w:spacing w:after="20" w:line="300" w:lineRule="auto"/>
        <w:ind w:left="360" w:hanging="360"/>
      </w:pPr>
      <w:r>
        <w:rPr>
          <w:sz w:val="20"/>
          <w:szCs w:val="20"/>
        </w:rPr>
        <w:t>[26] 魏卫,刘娴娴,王晓宇,等.美丽中国系统耦合协调度的空间异质性探索[J].经济地理,2021(6):30-38.</w:t>
      </w:r>
    </w:p>
    <w:p w14:paraId="60CF61C0">
      <w:pPr>
        <w:spacing w:after="20" w:line="300" w:lineRule="auto"/>
        <w:ind w:left="360" w:hanging="360"/>
      </w:pPr>
      <w:r>
        <w:rPr>
          <w:sz w:val="20"/>
          <w:szCs w:val="20"/>
        </w:rPr>
        <w:t>[27] 丛晓男.耦合度模型的形式、性质及在地理学研究中的若干误用[J].经济地理,2019(4):18-25.</w:t>
      </w:r>
    </w:p>
    <w:p w14:paraId="0EE5F026">
      <w:pPr>
        <w:spacing w:after="20" w:line="300" w:lineRule="auto"/>
        <w:ind w:left="360" w:hanging="360"/>
      </w:pPr>
      <w:r>
        <w:rPr>
          <w:sz w:val="20"/>
          <w:szCs w:val="20"/>
        </w:rPr>
        <w:t>[28] DIAKOULAKI D, MAVROTAS G, PAPAYANNAKIS L. Determining objective weights in multiple criteria problems: The CRITIC method[J].Computers &amp; Operations Research,1995,22(7):763-770.</w:t>
      </w:r>
    </w:p>
    <w:p w14:paraId="263A9CC6">
      <w:pPr>
        <w:spacing w:after="20" w:line="300" w:lineRule="auto"/>
        <w:ind w:left="360" w:hanging="360"/>
      </w:pPr>
      <w:r>
        <w:rPr>
          <w:sz w:val="20"/>
          <w:szCs w:val="20"/>
        </w:rPr>
        <w:t>[29] 于婷,于法稳.基于熵权TOPSIS法的农业高质量发展评价及障碍因子诊断[J].云南社会科学,2021(5):76-83.</w:t>
      </w:r>
    </w:p>
    <w:p w14:paraId="319D2FE6">
      <w:pPr>
        <w:spacing w:after="20" w:line="300" w:lineRule="auto"/>
        <w:ind w:left="360" w:hanging="360"/>
      </w:pPr>
      <w:r>
        <w:rPr>
          <w:sz w:val="20"/>
          <w:szCs w:val="20"/>
        </w:rPr>
        <w:t>[30] NARDO M, SAISANA M, SALTELLI A, et al. Handbook on Constructing Composite Indicators: Methodology and User Guide[M].Paris:OECD Publishing,2008.</w:t>
      </w:r>
    </w:p>
    <w:p w14:paraId="76434778">
      <w:pPr>
        <w:spacing w:after="20" w:line="300" w:lineRule="auto"/>
        <w:ind w:left="360" w:hanging="360"/>
      </w:pPr>
      <w:r>
        <w:rPr>
          <w:sz w:val="20"/>
          <w:szCs w:val="20"/>
        </w:rPr>
        <w:t>[31] GRECO S, ISHIZAKA A, TASIOU M, et al. On the methodological framework of composite indices: A review of the issues of weighting, aggregation, and robustness[J].Social Indicators Research,2019,141(1):61-94.</w:t>
      </w:r>
    </w:p>
    <w:p w14:paraId="0E19BA49">
      <w:pPr>
        <w:spacing w:after="20" w:line="300" w:lineRule="auto"/>
        <w:ind w:left="360" w:hanging="360"/>
      </w:pPr>
      <w:r>
        <w:rPr>
          <w:sz w:val="20"/>
          <w:szCs w:val="20"/>
        </w:rPr>
        <w:t>[32] MUNDA G, NARDO M. Noncompensatory/nonlinear composite indicators for ranking countries: A defensible setting[J].Applied Economics,2009,41(12):1513-1523.</w:t>
      </w:r>
    </w:p>
    <w:p w14:paraId="0C0C4762">
      <w:pPr>
        <w:spacing w:after="20" w:line="300" w:lineRule="auto"/>
        <w:ind w:left="360" w:hanging="360"/>
      </w:pPr>
      <w:r>
        <w:rPr>
          <w:sz w:val="20"/>
          <w:szCs w:val="20"/>
        </w:rPr>
        <w:t>[33] TARABUSI E C, GUARINI G. An unbalance adjustment method for development indicators[J].Social Indicators Research,2013,112(1):19-45.</w:t>
      </w:r>
    </w:p>
    <w:p w14:paraId="0EEF30A0">
      <w:pPr>
        <w:spacing w:after="20" w:line="300" w:lineRule="auto"/>
        <w:ind w:left="360" w:hanging="360"/>
      </w:pPr>
      <w:r>
        <w:rPr>
          <w:sz w:val="20"/>
          <w:szCs w:val="20"/>
        </w:rPr>
        <w:t>[34] 陈爱东,李国平,陈泓宇.西藏地理势能优势转化为开发优势的机制设计及路径选择研究[J].西藏发展论坛,2025(6):52-57.</w:t>
      </w:r>
    </w:p>
    <w:p w14:paraId="09292A7E">
      <w:pPr>
        <w:spacing w:after="20" w:line="300" w:lineRule="auto"/>
        <w:ind w:left="360" w:hanging="360"/>
      </w:pPr>
      <w:r>
        <w:rPr>
          <w:sz w:val="20"/>
          <w:szCs w:val="20"/>
        </w:rPr>
        <w:t>[35] 罗绒战堆,艾意欣,胡文政.生态屏障建设与农牧民可持续生计资本积累的互促研究</w:t>
      </w:r>
      <w:r>
        <w:rPr>
          <w:rFonts w:hint="eastAsia"/>
          <w:sz w:val="20"/>
          <w:szCs w:val="20"/>
        </w:rPr>
        <w:t>——</w:t>
      </w:r>
      <w:r>
        <w:rPr>
          <w:sz w:val="20"/>
          <w:szCs w:val="20"/>
        </w:rPr>
        <w:t>以《规划》在西藏农牧社区的实施为例[J].西藏大学学报(社会科学版),2024(1):158-166.</w:t>
      </w:r>
    </w:p>
    <w:p w14:paraId="03592BBA">
      <w:pPr>
        <w:spacing w:after="20" w:line="300" w:lineRule="auto"/>
        <w:ind w:left="360" w:hanging="360"/>
      </w:pPr>
      <w:r>
        <w:rPr>
          <w:sz w:val="20"/>
          <w:szCs w:val="20"/>
        </w:rPr>
        <w:t>[36] 孙勇,杨荣涛,刘星君.中国陆地边疆治理现代化指向中</w:t>
      </w:r>
      <w:r>
        <w:rPr>
          <w:rFonts w:hint="eastAsia"/>
          <w:sz w:val="20"/>
          <w:szCs w:val="20"/>
        </w:rPr>
        <w:t>“</w:t>
      </w:r>
      <w:r>
        <w:rPr>
          <w:sz w:val="20"/>
          <w:szCs w:val="20"/>
        </w:rPr>
        <w:t>健全</w:t>
      </w:r>
      <w:r>
        <w:rPr>
          <w:rFonts w:hint="eastAsia"/>
          <w:sz w:val="20"/>
          <w:szCs w:val="20"/>
        </w:rPr>
        <w:t>”</w:t>
      </w:r>
      <w:r>
        <w:rPr>
          <w:sz w:val="20"/>
          <w:szCs w:val="20"/>
        </w:rPr>
        <w:t>问题探讨</w:t>
      </w:r>
      <w:r>
        <w:rPr>
          <w:rFonts w:hint="eastAsia"/>
          <w:sz w:val="20"/>
          <w:szCs w:val="20"/>
        </w:rPr>
        <w:t>——</w:t>
      </w:r>
      <w:r>
        <w:rPr>
          <w:sz w:val="20"/>
          <w:szCs w:val="20"/>
        </w:rPr>
        <w:t>以国家安全体系制度、能力、建设和塑形的叠合为中心[J].西藏大学学报(社会科学版),2024(1):175-186.</w:t>
      </w:r>
    </w:p>
    <w:p w14:paraId="0B4FD860">
      <w:pPr>
        <w:spacing w:after="20" w:line="300" w:lineRule="auto"/>
        <w:ind w:left="360" w:hanging="360"/>
      </w:pPr>
      <w:r>
        <w:rPr>
          <w:sz w:val="20"/>
          <w:szCs w:val="20"/>
        </w:rPr>
        <w:t>[37] 西藏自治区统计局,国家统计局西藏调查总队.西藏自治区国民经济和社会发展统计公报(2016</w:t>
      </w:r>
      <w:r>
        <w:rPr>
          <w:rFonts w:hint="eastAsia"/>
          <w:sz w:val="20"/>
          <w:szCs w:val="20"/>
        </w:rPr>
        <w:t>—</w:t>
      </w:r>
      <w:r>
        <w:rPr>
          <w:sz w:val="20"/>
          <w:szCs w:val="20"/>
        </w:rPr>
        <w:t>2025)[R].2017</w:t>
      </w:r>
      <w:r>
        <w:rPr>
          <w:rFonts w:hint="eastAsia"/>
          <w:sz w:val="20"/>
          <w:szCs w:val="20"/>
        </w:rPr>
        <w:t>—</w:t>
      </w:r>
      <w:r>
        <w:rPr>
          <w:sz w:val="20"/>
          <w:szCs w:val="20"/>
        </w:rPr>
        <w:t>2026.</w:t>
      </w:r>
    </w:p>
    <w:p w14:paraId="112CA1FC">
      <w:pPr>
        <w:spacing w:after="20" w:line="300" w:lineRule="auto"/>
        <w:ind w:left="360" w:hanging="360"/>
      </w:pPr>
      <w:r>
        <w:rPr>
          <w:sz w:val="20"/>
          <w:szCs w:val="20"/>
        </w:rPr>
        <w:t>[38] 西藏自治区统计局.西藏统计年鉴(2017</w:t>
      </w:r>
      <w:r>
        <w:rPr>
          <w:rFonts w:hint="eastAsia"/>
          <w:sz w:val="20"/>
          <w:szCs w:val="20"/>
        </w:rPr>
        <w:t>—</w:t>
      </w:r>
      <w:r>
        <w:rPr>
          <w:sz w:val="20"/>
          <w:szCs w:val="20"/>
        </w:rPr>
        <w:t>2025)[M].北京:中国统计出版社,2017</w:t>
      </w:r>
      <w:r>
        <w:rPr>
          <w:rFonts w:hint="eastAsia"/>
          <w:sz w:val="20"/>
          <w:szCs w:val="20"/>
        </w:rPr>
        <w:t>—</w:t>
      </w:r>
      <w:r>
        <w:rPr>
          <w:sz w:val="20"/>
          <w:szCs w:val="20"/>
        </w:rPr>
        <w:t>2025.</w:t>
      </w:r>
    </w:p>
    <w:p w14:paraId="784F027B">
      <w:pPr>
        <w:spacing w:after="20" w:line="300" w:lineRule="auto"/>
        <w:ind w:left="360" w:hanging="360"/>
      </w:pPr>
      <w:r>
        <w:rPr>
          <w:sz w:val="20"/>
          <w:szCs w:val="20"/>
        </w:rPr>
        <w:t>[39] 国家统计局.中国统计年鉴(2017</w:t>
      </w:r>
      <w:r>
        <w:rPr>
          <w:rFonts w:hint="eastAsia"/>
          <w:sz w:val="20"/>
          <w:szCs w:val="20"/>
        </w:rPr>
        <w:t>—</w:t>
      </w:r>
      <w:r>
        <w:rPr>
          <w:sz w:val="20"/>
          <w:szCs w:val="20"/>
        </w:rPr>
        <w:t>2025)、中国统计摘要2026[M].北京:中国统计出版社,2017</w:t>
      </w:r>
      <w:r>
        <w:rPr>
          <w:rFonts w:hint="eastAsia"/>
          <w:sz w:val="20"/>
          <w:szCs w:val="20"/>
        </w:rPr>
        <w:t>—</w:t>
      </w:r>
      <w:r>
        <w:rPr>
          <w:sz w:val="20"/>
          <w:szCs w:val="20"/>
        </w:rPr>
        <w:t>2026.</w:t>
      </w:r>
    </w:p>
    <w:p w14:paraId="0A1F22E5">
      <w:pPr>
        <w:spacing w:after="20" w:line="300" w:lineRule="auto"/>
        <w:ind w:left="360" w:hanging="360"/>
      </w:pPr>
      <w:r>
        <w:rPr>
          <w:sz w:val="20"/>
          <w:szCs w:val="20"/>
        </w:rPr>
        <w:t>[40] 西藏自治区生态环境厅.西藏自治区生态环境状况公报(2016</w:t>
      </w:r>
      <w:r>
        <w:rPr>
          <w:rFonts w:hint="eastAsia"/>
          <w:sz w:val="20"/>
          <w:szCs w:val="20"/>
        </w:rPr>
        <w:t>—</w:t>
      </w:r>
      <w:r>
        <w:rPr>
          <w:sz w:val="20"/>
          <w:szCs w:val="20"/>
        </w:rPr>
        <w:t>2025)[R].2017</w:t>
      </w:r>
      <w:r>
        <w:rPr>
          <w:rFonts w:hint="eastAsia"/>
          <w:sz w:val="20"/>
          <w:szCs w:val="20"/>
        </w:rPr>
        <w:t>—</w:t>
      </w:r>
      <w:r>
        <w:rPr>
          <w:sz w:val="20"/>
          <w:szCs w:val="20"/>
        </w:rPr>
        <w:t>2026.</w:t>
      </w:r>
    </w:p>
    <w:p w14:paraId="678A688E">
      <w:pPr>
        <w:spacing w:after="20" w:line="300" w:lineRule="auto"/>
        <w:ind w:left="360" w:hanging="360"/>
      </w:pPr>
      <w:r>
        <w:rPr>
          <w:sz w:val="20"/>
          <w:szCs w:val="20"/>
        </w:rPr>
        <w:t>[41] MAZZIOTTA M, PARETO A. On a generalized non-compensatory composite index for measuring socio-economic phenomena[J].Social Indicators Research,2016,127(3):983-1003.</w:t>
      </w:r>
    </w:p>
    <w:p w14:paraId="43DA06B9">
      <w:pPr>
        <w:spacing w:after="20" w:line="300" w:lineRule="auto"/>
        <w:ind w:left="360" w:hanging="360"/>
      </w:pPr>
      <w:r>
        <w:rPr>
          <w:sz w:val="20"/>
          <w:szCs w:val="20"/>
        </w:rPr>
        <w:t>[42] 西藏用电量增速领跑全国[EB/OL].西藏自治区人民政府网,(2025-02-20)[2026-09-04].http://www.xizang.gov.cn/xwzx_406/bmkx/202502/t20250220_464008.html.</w:t>
      </w:r>
    </w:p>
    <w:p w14:paraId="1E40B9B5">
      <w:pPr>
        <w:spacing w:before="240" w:after="60"/>
        <w:jc w:val="center"/>
      </w:pPr>
      <w:r>
        <w:rPr>
          <w:b/>
          <w:bCs/>
          <w:sz w:val="22"/>
          <w:szCs w:val="22"/>
        </w:rPr>
        <w:t>A Triadic Coordination Evaluation of Xizang's High-Quality Development under National Strategic-Function Constraints—A Measurement Based on Security, Development and Ecology</w:t>
      </w:r>
    </w:p>
    <w:p w14:paraId="342107B5">
      <w:pPr>
        <w:spacing w:after="120"/>
        <w:jc w:val="center"/>
      </w:pPr>
      <w:r>
        <w:t>GONG Yanhong　WANG Zhanpeng　ZHAO Zihuan</w:t>
      </w:r>
      <w:r>
        <w:br w:type="textWrapping"/>
      </w:r>
      <w:r>
        <w:t>(School of Finance and Economics, Xizang University, Lhasa, Xizang 850000)</w:t>
      </w:r>
    </w:p>
    <w:p w14:paraId="72317202">
      <w:pPr>
        <w:spacing w:after="100" w:line="300" w:lineRule="auto"/>
        <w:jc w:val="both"/>
      </w:pPr>
      <w:r>
        <w:rPr>
          <w:b/>
          <w:bCs/>
        </w:rPr>
        <w:t>Abstract:</w:t>
      </w:r>
      <w:r>
        <w:t xml:space="preserve"> Xizang serves as a national ecological-security barrier, a border-security barrier and a pilot zone for high-quality plateau economic development, functions that frameworks centred on economic performance cannot fully capture. Drawing on the "four major tasks" of the Party's strategy for governing Xizang in the new era, this paper builds a 13-indicator security–development–ecology framework and measures coordination over 2016–2025 with fixed-benchmark standardisation and an unbalance-penalty coordination index (MPI). The MPI rises from 0.393 to 0.754. The lagging subsystem shifts from ecology (2016–2017) to development (2018–2022), a finding robust across specifications, while security improves more slowly in 2023–2025. A linear index built from the same indicators tracks the MPI closely (r = 0.979), so the framework adds value by identifying phase-specific weak links by strategic function. The paper recommends upgrading services, converting ecological assets into economic value, sustaining livelihood-security spending and monitoring weak links dynamically.</w:t>
      </w:r>
    </w:p>
    <w:p w14:paraId="6DEFACF6">
      <w:pPr>
        <w:spacing w:after="100"/>
        <w:jc w:val="both"/>
      </w:pPr>
      <w:r>
        <w:rPr>
          <w:b/>
          <w:bCs/>
        </w:rPr>
        <w:t>Keywords:</w:t>
      </w:r>
      <w:r>
        <w:t xml:space="preserve"> Xizang; the Party's Strategy for Governing Xizang; High-quality Development; National Strategic Functions; Triadic Coordination; Unbalance-penalty Aggregation</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76" w:lineRule="auto"/>
      </w:pPr>
      <w:r>
        <w:separator/>
      </w:r>
    </w:p>
  </w:footnote>
  <w:footnote w:type="continuationSeparator" w:id="3">
    <w:p>
      <w:pPr>
        <w:spacing w:line="276" w:lineRule="auto"/>
      </w:pPr>
      <w:r>
        <w:continuationSeparator/>
      </w:r>
    </w:p>
  </w:footnote>
  <w:footnote w:id="0">
    <w:p w14:paraId="0B2EF567">
      <w:pPr>
        <w:snapToGrid w:val="0"/>
        <w:jc w:val="both"/>
        <w:rPr>
          <w:sz w:val="18"/>
          <w:szCs w:val="18"/>
        </w:rPr>
      </w:pPr>
      <w:r>
        <w:rPr>
          <w:sz w:val="18"/>
          <w:szCs w:val="18"/>
          <w:vertAlign w:val="superscript"/>
        </w:rPr>
        <w:footnoteRef/>
      </w:r>
      <w:r>
        <w:rPr>
          <w:rFonts w:ascii="仿宋" w:hAnsi="仿宋" w:eastAsia="仿宋"/>
          <w:sz w:val="18"/>
          <w:szCs w:val="18"/>
        </w:rPr>
        <w:t xml:space="preserve"> 基金项目：</w:t>
      </w:r>
      <w:r>
        <w:rPr>
          <w:rFonts w:hint="eastAsia" w:ascii="仿宋" w:hAnsi="仿宋" w:eastAsia="仿宋"/>
          <w:sz w:val="18"/>
          <w:szCs w:val="18"/>
          <w:lang w:val="en-US" w:eastAsia="zh-CN"/>
        </w:rPr>
        <w:t>西藏自治区研究阐释党的二十届四中全会和自治区党委十届九次全会精神专项课题（项目名称：数字化转型赋能西藏生态产业价值实现的机制与路径研究）</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trackRevisions w:val="1"/>
  <w:documentProtection w:enforcement="0"/>
  <w:defaultTabStop w:val="420"/>
  <w:noPunctuationKerning w:val="1"/>
  <w:characterSpacingControl w:val="doNotCompress"/>
  <w:footnotePr>
    <w:footnote w:id="2"/>
    <w:footnote w:id="3"/>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136A5"/>
    <w:rsid w:val="00051B1B"/>
    <w:rsid w:val="000E26D8"/>
    <w:rsid w:val="000F00B1"/>
    <w:rsid w:val="0014029E"/>
    <w:rsid w:val="001431B0"/>
    <w:rsid w:val="0017437F"/>
    <w:rsid w:val="00184074"/>
    <w:rsid w:val="00187F2C"/>
    <w:rsid w:val="00190CBC"/>
    <w:rsid w:val="001B01FA"/>
    <w:rsid w:val="001F7056"/>
    <w:rsid w:val="00211B45"/>
    <w:rsid w:val="002124A6"/>
    <w:rsid w:val="002367A0"/>
    <w:rsid w:val="002460C5"/>
    <w:rsid w:val="0026294B"/>
    <w:rsid w:val="002A3EA5"/>
    <w:rsid w:val="002A6352"/>
    <w:rsid w:val="002B2866"/>
    <w:rsid w:val="002B47C8"/>
    <w:rsid w:val="002B5CE3"/>
    <w:rsid w:val="002C2709"/>
    <w:rsid w:val="002D2441"/>
    <w:rsid w:val="002D65F2"/>
    <w:rsid w:val="002F64DE"/>
    <w:rsid w:val="00323315"/>
    <w:rsid w:val="003439F0"/>
    <w:rsid w:val="003632B8"/>
    <w:rsid w:val="003C1078"/>
    <w:rsid w:val="003D35EE"/>
    <w:rsid w:val="003F2199"/>
    <w:rsid w:val="00403BF8"/>
    <w:rsid w:val="00414AF7"/>
    <w:rsid w:val="00425592"/>
    <w:rsid w:val="00445916"/>
    <w:rsid w:val="004474EB"/>
    <w:rsid w:val="00454F62"/>
    <w:rsid w:val="00461ED9"/>
    <w:rsid w:val="00486E30"/>
    <w:rsid w:val="004C3D45"/>
    <w:rsid w:val="004C40AA"/>
    <w:rsid w:val="004D26EB"/>
    <w:rsid w:val="004E7EA7"/>
    <w:rsid w:val="00577084"/>
    <w:rsid w:val="005B2CED"/>
    <w:rsid w:val="00634F2D"/>
    <w:rsid w:val="006509D7"/>
    <w:rsid w:val="00673DCF"/>
    <w:rsid w:val="00681A8E"/>
    <w:rsid w:val="00682C14"/>
    <w:rsid w:val="006B22D1"/>
    <w:rsid w:val="006D1320"/>
    <w:rsid w:val="00706B23"/>
    <w:rsid w:val="00730139"/>
    <w:rsid w:val="007354A8"/>
    <w:rsid w:val="00742420"/>
    <w:rsid w:val="00781B3A"/>
    <w:rsid w:val="00784A9B"/>
    <w:rsid w:val="00794EC7"/>
    <w:rsid w:val="007A58A0"/>
    <w:rsid w:val="007C0ADC"/>
    <w:rsid w:val="007C2E52"/>
    <w:rsid w:val="007C4D1F"/>
    <w:rsid w:val="007C6A22"/>
    <w:rsid w:val="0081554C"/>
    <w:rsid w:val="008233F1"/>
    <w:rsid w:val="00866D28"/>
    <w:rsid w:val="00871D2F"/>
    <w:rsid w:val="008945A1"/>
    <w:rsid w:val="008B511C"/>
    <w:rsid w:val="008C2DF7"/>
    <w:rsid w:val="00905D08"/>
    <w:rsid w:val="009606D0"/>
    <w:rsid w:val="009656D2"/>
    <w:rsid w:val="00977FDA"/>
    <w:rsid w:val="00980188"/>
    <w:rsid w:val="009C1B21"/>
    <w:rsid w:val="009D22AE"/>
    <w:rsid w:val="009D69FA"/>
    <w:rsid w:val="00A3402C"/>
    <w:rsid w:val="00A553C6"/>
    <w:rsid w:val="00A603C9"/>
    <w:rsid w:val="00A76DA5"/>
    <w:rsid w:val="00AA29D1"/>
    <w:rsid w:val="00AC064C"/>
    <w:rsid w:val="00AC687F"/>
    <w:rsid w:val="00AE1D6C"/>
    <w:rsid w:val="00AE2FF8"/>
    <w:rsid w:val="00AF0095"/>
    <w:rsid w:val="00AF389B"/>
    <w:rsid w:val="00B405A1"/>
    <w:rsid w:val="00BC1AF2"/>
    <w:rsid w:val="00BE0F6C"/>
    <w:rsid w:val="00BF2B18"/>
    <w:rsid w:val="00C262BB"/>
    <w:rsid w:val="00C43C1D"/>
    <w:rsid w:val="00C51728"/>
    <w:rsid w:val="00C87655"/>
    <w:rsid w:val="00CA5482"/>
    <w:rsid w:val="00CB4E49"/>
    <w:rsid w:val="00CD44CD"/>
    <w:rsid w:val="00D40F55"/>
    <w:rsid w:val="00D5648E"/>
    <w:rsid w:val="00D5726F"/>
    <w:rsid w:val="00D73E52"/>
    <w:rsid w:val="00D859C2"/>
    <w:rsid w:val="00D96D77"/>
    <w:rsid w:val="00D9775C"/>
    <w:rsid w:val="00DB59BB"/>
    <w:rsid w:val="00E101A9"/>
    <w:rsid w:val="00E24121"/>
    <w:rsid w:val="00E7777E"/>
    <w:rsid w:val="00E779F1"/>
    <w:rsid w:val="00EC2A89"/>
    <w:rsid w:val="00EC5EB0"/>
    <w:rsid w:val="00EF3C3D"/>
    <w:rsid w:val="00F02BBC"/>
    <w:rsid w:val="00F115AD"/>
    <w:rsid w:val="00F30DE0"/>
    <w:rsid w:val="00F536ED"/>
    <w:rsid w:val="00F53A23"/>
    <w:rsid w:val="00F566F6"/>
    <w:rsid w:val="00F56A81"/>
    <w:rsid w:val="00F90971"/>
    <w:rsid w:val="00FA67B8"/>
    <w:rsid w:val="00FA78EE"/>
    <w:rsid w:val="00FD6243"/>
    <w:rsid w:val="00FE65B5"/>
    <w:rsid w:val="00FF033D"/>
    <w:rsid w:val="00FF07A4"/>
    <w:rsid w:val="010B69E8"/>
    <w:rsid w:val="082F6793"/>
    <w:rsid w:val="16B2725A"/>
    <w:rsid w:val="1F617319"/>
    <w:rsid w:val="29976824"/>
    <w:rsid w:val="3E5E574F"/>
    <w:rsid w:val="43187AEE"/>
    <w:rsid w:val="5D752C36"/>
    <w:rsid w:val="6B58657E"/>
    <w:rsid w:val="740B0165"/>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6">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4"/>
    <w:semiHidden/>
    <w:unhideWhenUsed/>
    <w:qFormat/>
    <w:uiPriority w:val="99"/>
    <w:rPr>
      <w:rFonts w:ascii="Times New Roman" w:hAnsi="Times New Roman" w:eastAsia="宋体" w:cs="Times New Roman"/>
      <w:lang w:val="en-US" w:eastAsia="zh-CN" w:bidi="ar-SA"/>
    </w:rPr>
  </w:style>
  <w:style w:type="paragraph" w:styleId="10">
    <w:name w:val="footer"/>
    <w:basedOn w:val="1"/>
    <w:link w:val="26"/>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5"/>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3"/>
    <w:semiHidden/>
    <w:unhideWhenUsed/>
    <w:qFormat/>
    <w:uiPriority w:val="99"/>
    <w:rPr>
      <w:rFonts w:ascii="Times New Roman" w:hAnsi="Times New Roman" w:eastAsia="宋体" w:cs="Times New Roman"/>
      <w:lang w:val="en-US" w:eastAsia="zh-CN" w:bidi="ar-SA"/>
    </w:rPr>
  </w:style>
  <w:style w:type="paragraph" w:styleId="13">
    <w:name w:val="Normal (Web)"/>
    <w:basedOn w:val="1"/>
    <w:semiHidden/>
    <w:unhideWhenUsed/>
    <w:qFormat/>
    <w:uiPriority w:val="99"/>
    <w:rPr>
      <w:sz w:val="24"/>
      <w:szCs w:val="24"/>
    </w:rPr>
  </w:style>
  <w:style w:type="paragraph" w:styleId="14">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annotation reference"/>
    <w:basedOn w:val="16"/>
    <w:semiHidden/>
    <w:unhideWhenUsed/>
    <w:qFormat/>
    <w:uiPriority w:val="99"/>
    <w:rPr>
      <w:sz w:val="21"/>
      <w:szCs w:val="21"/>
    </w:rPr>
  </w:style>
  <w:style w:type="character" w:styleId="20">
    <w:name w:val="footnote reference"/>
    <w:semiHidden/>
    <w:unhideWhenUsed/>
    <w:qFormat/>
    <w:uiPriority w:val="99"/>
    <w:rPr>
      <w:vertAlign w:val="superscript"/>
    </w:rPr>
  </w:style>
  <w:style w:type="paragraph" w:customStyle="1" w:styleId="21">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2">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3">
    <w:name w:val="脚注文本 字符"/>
    <w:link w:val="12"/>
    <w:semiHidden/>
    <w:unhideWhenUsed/>
    <w:qFormat/>
    <w:uiPriority w:val="99"/>
    <w:rPr>
      <w:sz w:val="20"/>
      <w:szCs w:val="20"/>
    </w:rPr>
  </w:style>
  <w:style w:type="character" w:customStyle="1" w:styleId="24">
    <w:name w:val="尾注文本 字符"/>
    <w:link w:val="9"/>
    <w:semiHidden/>
    <w:unhideWhenUsed/>
    <w:qFormat/>
    <w:uiPriority w:val="99"/>
    <w:rPr>
      <w:sz w:val="20"/>
      <w:szCs w:val="20"/>
    </w:rPr>
  </w:style>
  <w:style w:type="character" w:customStyle="1" w:styleId="25">
    <w:name w:val="页眉 字符"/>
    <w:basedOn w:val="16"/>
    <w:link w:val="11"/>
    <w:qFormat/>
    <w:uiPriority w:val="99"/>
    <w:rPr>
      <w:sz w:val="18"/>
      <w:szCs w:val="18"/>
    </w:rPr>
  </w:style>
  <w:style w:type="character" w:customStyle="1" w:styleId="26">
    <w:name w:val="页脚 字符"/>
    <w:basedOn w:val="16"/>
    <w:link w:val="10"/>
    <w:qFormat/>
    <w:uiPriority w:val="99"/>
    <w:rPr>
      <w:sz w:val="18"/>
      <w:szCs w:val="18"/>
    </w:rPr>
  </w:style>
  <w:style w:type="paragraph" w:customStyle="1" w:styleId="27">
    <w:name w:val="修订1"/>
    <w:hidden/>
    <w:unhideWhenUsed/>
    <w:qFormat/>
    <w:uiPriority w:val="99"/>
    <w:rPr>
      <w:rFonts w:ascii="Times New Roman" w:hAnsi="Times New Roman" w:eastAsia="宋体" w:cs="Times New Roman"/>
      <w:sz w:val="19"/>
      <w:szCs w:val="19"/>
      <w:lang w:val="en-US" w:eastAsia="zh-CN" w:bidi="ar-SA"/>
    </w:rPr>
  </w:style>
  <w:style w:type="paragraph" w:customStyle="1" w:styleId="28">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CDD78-3035-4116-A17A-5D6CE0EE56AC}">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7301</Words>
  <Characters>7502</Characters>
  <Lines>544</Lines>
  <Paragraphs>468</Paragraphs>
  <TotalTime>63</TotalTime>
  <ScaleCrop>false</ScaleCrop>
  <LinksUpToDate>false</LinksUpToDate>
  <CharactersWithSpaces>7509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2026-09-24T09:52:00Z</dcterms:created>
  <dc:creator>Un-named</dc:creator>
  <cp:lastModifiedBy>glora</cp:lastModifiedBy>
  <dcterms:modified xsi:type="dcterms:W3CDTF">2026-09-29T13:07:42Z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eyJoZGlkIjoiNWQ4MDNhOTkyNTlmMzlmODQ5NzFjNzg3YzJkNjdhYzQiLCJ1c2VySWQiOiIzODUyODM4NDQifQ==</vt:lpwstr>
  </property>
  <property fmtid="{D5CDD505-2E9C-101B-9397-08002B2CF9AE}" pid="3" name="KSOProductBuildVer">
    <vt:lpwstr>2052-12.1.0.28505</vt:lpwstr>
  </property>
  <property fmtid="{D5CDD505-2E9C-101B-9397-08002B2CF9AE}" pid="4" name="ICV">
    <vt:lpwstr>EE787D102D7E4EA7A8BC8772EDC44548_12</vt:lpwstr>
  </property>
</Properties>
</file>