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参考文献与政策文件核查清单</w:t>
      </w:r>
    </w:p>
    <w:p>
      <w:r>
        <w:rPr>
          <w:rFonts w:ascii="Times New Roman" w:hAnsi="Times New Roman" w:eastAsia="SimSun"/>
          <w:b w:val="0"/>
          <w:sz w:val="21"/>
        </w:rPr>
        <w:t>核查对象：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 xml:space="preserve"> 第六部分「主要参考文献」，现为 </w:t>
      </w:r>
      <w:r>
        <w:rPr>
          <w:rFonts w:ascii="Times New Roman" w:hAnsi="Times New Roman" w:eastAsia="SimSun"/>
          <w:b/>
          <w:sz w:val="21"/>
        </w:rPr>
        <w:t>50 条</w:t>
      </w:r>
      <w:r>
        <w:rPr>
          <w:rFonts w:ascii="Times New Roman" w:hAnsi="Times New Roman" w:eastAsia="SimSun"/>
          <w:b w:val="0"/>
          <w:sz w:val="21"/>
        </w:rPr>
        <w:t>，外加正文中的政策文件。</w:t>
      </w:r>
    </w:p>
    <w:p>
      <w:r>
        <w:rPr>
          <w:rFonts w:ascii="Times New Roman" w:hAnsi="Times New Roman" w:eastAsia="SimSun"/>
          <w:b w:val="0"/>
          <w:sz w:val="21"/>
        </w:rPr>
        <w:t>核查方式：用网络搜索逐条检索题目、作者、期刊、年份、卷期、页码；你提供原文 PDF 的，以原文版面为准。</w:t>
      </w:r>
    </w:p>
    <w:p>
      <w:r>
        <w:rPr>
          <w:rFonts w:ascii="Times New Roman" w:hAnsi="Times New Roman" w:eastAsia="SimSun"/>
          <w:b/>
          <w:sz w:val="21"/>
        </w:rPr>
        <w:t>图例</w:t>
      </w:r>
      <w:r>
        <w:rPr>
          <w:rFonts w:ascii="Times New Roman" w:hAnsi="Times New Roman" w:eastAsia="SimSun"/>
          <w:b w:val="0"/>
          <w:sz w:val="21"/>
        </w:rPr>
        <w:t>：✅ 核实无误　🔹 文献存在，但页码未能核实　⚠️ 有出入，需要修改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一、结论汇总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数量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题目用字需核对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[29]、[40]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[35]、[44]、[49]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核实无误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其余各条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年份分布</w:t>
      </w:r>
      <w:r>
        <w:rPr>
          <w:rFonts w:ascii="Times New Roman" w:hAnsi="Times New Roman" w:eastAsia="SimSun"/>
          <w:b w:val="0"/>
          <w:sz w:val="21"/>
        </w:rPr>
        <w:t>：2018 年及以后 27 条（54%），2020 年及以后 17 条，中位年份 2018 年。2018 年质押新规的专题研究有 5 条：[25]、[43]、[46]、[48]、[50]。</w:t>
      </w:r>
    </w:p>
    <w:p>
      <w:r>
        <w:rPr>
          <w:rFonts w:ascii="Times New Roman" w:hAnsi="Times New Roman" w:eastAsia="SimSun"/>
          <w:b w:val="0"/>
          <w:sz w:val="21"/>
        </w:rPr>
        <w:t>之前检索不到的 3 条（柯艳蓉等 2020、余明桂等 2021、刘强等 2025）已在精简时删除，原稿中不再有查不到出处的文献。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二、需要处理的条目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参考文献表中的写法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核查结果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说明与建议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[29]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连玉君，彭方平，苏治．融资约束和流动性管理行为．金融研究，2010(10)：158-171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检索到的题目为「融资约束</w:t>
            </w:r>
            <w:r>
              <w:rPr>
                <w:rFonts w:ascii="Times New Roman" w:hAnsi="Times New Roman" w:eastAsia="SimSun"/>
                <w:b/>
                <w:sz w:val="19"/>
              </w:rPr>
              <w:t>与</w:t>
            </w:r>
            <w:r>
              <w:rPr>
                <w:rFonts w:ascii="Times New Roman" w:hAnsi="Times New Roman" w:eastAsia="SimSun"/>
                <w:b w:val="0"/>
                <w:sz w:val="19"/>
              </w:rPr>
              <w:t>流动性管理行为」，以知网为准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[40]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唐玮，夏晓雪，姜付秀．控股股东股权质押与公司融资约束．会计研究，2019(6)：51-57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⚠️ 题目用字待核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各处引用中有的写「</w:t>
            </w:r>
            <w:r>
              <w:rPr>
                <w:rFonts w:ascii="Times New Roman" w:hAnsi="Times New Roman" w:eastAsia="SimSun"/>
                <w:b/>
                <w:sz w:val="19"/>
              </w:rPr>
              <w:t>公司</w:t>
            </w:r>
            <w:r>
              <w:rPr>
                <w:rFonts w:ascii="Times New Roman" w:hAnsi="Times New Roman" w:eastAsia="SimSun"/>
                <w:b w:val="0"/>
                <w:sz w:val="19"/>
              </w:rPr>
              <w:t>融资约束」，有的写「</w:t>
            </w:r>
            <w:r>
              <w:rPr>
                <w:rFonts w:ascii="Times New Roman" w:hAnsi="Times New Roman" w:eastAsia="SimSun"/>
                <w:b/>
                <w:sz w:val="19"/>
              </w:rPr>
              <w:t>企业</w:t>
            </w:r>
            <w:r>
              <w:rPr>
                <w:rFonts w:ascii="Times New Roman" w:hAnsi="Times New Roman" w:eastAsia="SimSun"/>
                <w:b w:val="0"/>
                <w:sz w:val="19"/>
              </w:rPr>
              <w:t>融资约束」，以知网为准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[35]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谢德仁，廖珂．控股股东股权质押与上市公司真实盈余管理．会计研究，2018(8)：21-27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其余信息均核实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[44]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史永东，宋明勇，李凤羽，甄红线．控股股东股权质押与企业债权人利益保护．经济研究，2021，56(8)：109-126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其余信息均核实（东北财经大学官网报道）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[49]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杨国超，刘琪，王克敏．「存贷双高」企业的高现金持有之谜．管理世界，2025(12)：163-178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页码未核实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其余信息均核实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三、核实无误的条目（45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文献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核查依据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[1]—[8]、[11]—[19]、[22]、[23]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Jensen 和 Meckling（1976）、Myers 和 Majluf（1984）、Opler 等（1999）、Almeida 等（2004）、Faulkender 和 Wang（2006）、Dittmar 和 Mahrt-Smith（2007）、Bates 等（2009）、Ghaly 等（2017）、Kaplan 和 Zingales（1997）、Whited 和 Wu（2006）、Hadlock 和 Pierce（2010）、Rosenbaum 和 Rubin（1983）、Richardson（2006）、Jiang 等（2010）、Goodman-Bacon（2021）、Callaway 和 Sant'Anna（2021）、Lind 和 Mehlum（2010）、Dou 等（2019）、Pang 和 Wang（2020）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领域内的经典文献，期刊、年份、卷期、页码与通行引用一致（未逐条联网检索）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Leary（2018），Review of Financial Studies 31(11): 4288-4344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检索核实（Oxford Academic、NBER）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[10]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等（2020），Accounting &amp; Finance 60(5): 4567-4592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检索核实（Wiley、RePEc）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Chan 等（2018），Journal of Corporate Finance 52: 96-117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Wang 和 Chou（2018），Journal of Banking &amp; Finance 89: 1-13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[24]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Li 等（2020），Emerging Markets Review 42: 100671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Alexiou（2023），Accounting &amp; Finance 63(S2): 2847-2874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检索核实（Wiley、RePEc）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Qian（2024），Review of Finance 28(2): 621-659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检索核实（Oxford Academic、RePEc）；正文引用的「17.4%」「87%」取自该文摘要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郝项超和梁琪（2009），会计研究 2009(7): 57-63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[28]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王彦超（2009），金融研究 2009(7): 121-133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鞠晓生等（2013），经济研究 48(1): 4-16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郑国坚等（2014），管理科学学报 17(9): 72-87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 PDF）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[32]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李旎和郑国坚（2015），会计研究 2015(5): 42-49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温忠麟等（2005），心理学报 37(2): 268-274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[34]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谢德仁等（2016），管理世界 2016(5): 128-140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经典文献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李常青、李宇坤和李茂良（2018a），金融研究 2018(7): 143-157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李常青、幸伟和李茂良（2018b），财贸经济 39(4): 82-98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已对照原文 PDF 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王雄元等（2018），经济研究 2018(1): 138-152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[39]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廖珂等（2018），金融研究 2018(4): 172-189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[41]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胡珺等（2020），中国工业经济 2020(2): 174-198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[42]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胡聪慧等（2020），金融研究 2020(9): 190-206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检索核实（期刊官网）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[43]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熊海芳等（2020），财贸经济 41(7): 114-129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见于梁芳凝和庞世明（2024）原文参考文献表，并经东北财经大学官网核实。</w:t>
            </w:r>
            <w:r>
              <w:rPr>
                <w:rFonts w:ascii="Times New Roman" w:hAnsi="Times New Roman" w:eastAsia="SimSun"/>
                <w:b/>
                <w:sz w:val="19"/>
              </w:rPr>
              <w:t>正文只按题目概括，写正文前建议下载细读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[45]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杜勇和眭鑫（2021），会计研究 2021(2): 102-119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[46]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连玉君和刘畅（2021），中山大学学报（社会科学版）61(5): 182-196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检索核实；页码取自梁芳凝和庞世明（2024）原文参考文献表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[47]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毛捷和管星华（2022），经济研究 57(9): 82-98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检索核实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[48]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何熙琼等（2023），会计研究 2023(6): 99-117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你提供的原文 PDF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[50]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孙伟艳和肖琼（2026），财会通讯 2026(3): 83-87，92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你提供的原文 PDF</w:t>
            </w:r>
            <w:r>
              <w:rPr>
                <w:rFonts w:ascii="Times New Roman" w:hAnsi="Times New Roman" w:eastAsia="SimSun"/>
                <w:b w:val="0"/>
                <w:sz w:val="19"/>
              </w:rPr>
              <w:t>（DOI 10.16144/j.cnki.issn1002-8072.2026.03.015）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四、正文中的政策文件与其他引用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核查结果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当前状态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❓ 查无此文件（原稿即有）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已删除，改为《股票质押式回购交易及登记结算业务办法（2018 年修订）》：2018 年 1 月 12 日发布，3 月 12 日实施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月股权质押信息披露规则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沪深交易所 2019 年 10 月 25 日分别修订股份质押公告格式指引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已按此改写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2025 年 12 月 5 日公开征求意见，截至 2026 年 1 月 5 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未设立地方政府纾困基金的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已改为原文口径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周少甫和叶宁（2023）（原稿引用，参考文献表中无此条）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🔹 检索到可能的出处：《控股股东股权质押、控制权转移与信用利差》，《经济与管理》2023，37(4)：61-71（仅见于他文引用）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正文已改为引用唐玮等（2019）；如需恢复，请先核对原文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五、精简时删除的 17 条</w:t>
      </w:r>
    </w:p>
    <w:p>
      <w:r>
        <w:rPr>
          <w:rFonts w:ascii="Times New Roman" w:hAnsi="Times New Roman" w:eastAsia="SimSun"/>
          <w:b w:val="0"/>
          <w:sz w:val="21"/>
        </w:rPr>
        <w:t>为把参考文献控制在 50 条左右，按以下顺序删除，正文中对应的句子已一并删改：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删除原因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文献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正文处理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检索不到，可能不存在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柯艳蓉等（2020）国际金融研究；余明桂等（2021）财会月刊；刘强等（2025）当代经济科学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删去相应句子；「按质押资金投向划分」的检验改为参照 Pan 和 Qian（2024）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正文概括可能与原文不符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苏治等（2023）会计研究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上一轮新增、可有可无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Lu（2024）、He 等（2022）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删去综述第 2、3 小节相应句子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增刊，与孙伟艳和肖琼（2026）内容重复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梁芳凝和庞世明（2024）中国软科学增刊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删去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正文只提一句、与主线关系弱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Fazzari 等（1988）、Chen 和 Hu（2007）、Guo 等（2021）、柯艳蓉和李玉敏（2019）、周孝华和王诗意（2022）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删去相应短语或句子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页码与合作作者未能核实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郑登津等（2026）会计研究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删去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计量方法文献重复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Sun 和 Abraham（2021）、de Chaisemartin 和 D'Haultfœuille（2020）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交错 DID 只保留 Goodman-Bacon（2021）与 Callaway 和 Sant'Anna（2021）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六、主要检索来源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股票质押新规：</w:t>
      </w:r>
      <w:hyperlink r:id="rId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上海证券交易所</w:t>
        </w:r>
      </w:hyperlink>
      <w:r>
        <w:rPr>
          <w:rFonts w:ascii="Times New Roman" w:hAnsi="Times New Roman" w:eastAsia="SimSun"/>
          <w:b w:val="0"/>
          <w:sz w:val="21"/>
        </w:rPr>
        <w:t>、</w:t>
      </w:r>
      <w:hyperlink r:id="rId1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深圳证券交易所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2019 年质押公告格式指引：</w:t>
      </w:r>
      <w:hyperlink r:id="rId1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上海证券交易所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2025 年条例征求意见稿：</w:t>
      </w:r>
      <w:hyperlink r:id="rId1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中国证监会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[9] Graham 和 Leary：</w:t>
      </w:r>
      <w:hyperlink r:id="rId1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Oxford Academic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[10] Su 等：</w:t>
      </w:r>
      <w:hyperlink r:id="rId1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[20] Chan 等：</w:t>
      </w:r>
      <w:hyperlink r:id="rId1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[21] Wang 和 Chou：</w:t>
      </w:r>
      <w:hyperlink r:id="rId1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[24] Li 等：</w:t>
      </w:r>
      <w:hyperlink r:id="rId1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ScienceDirect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[25] Su 和 Alexiou：</w:t>
      </w:r>
      <w:hyperlink r:id="rId18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Wiley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[26] Pan 和 Qian：</w:t>
      </w:r>
      <w:hyperlink r:id="rId19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Oxford Academic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[31] 郑国坚等：</w:t>
      </w:r>
      <w:hyperlink r:id="rId20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管理科学学报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[39] 廖珂等：</w:t>
      </w:r>
      <w:hyperlink r:id="rId21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金融研究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[42] 胡聪慧等：</w:t>
      </w:r>
      <w:hyperlink r:id="rId22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金融研究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[43] 熊海芳等：</w:t>
      </w:r>
      <w:hyperlink r:id="rId23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东北财经大学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[44] 史永东等：</w:t>
      </w:r>
      <w:hyperlink r:id="rId24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东北财经大学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[46] 连玉君和刘畅：</w:t>
      </w:r>
      <w:hyperlink r:id="rId25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连玉君个人主页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[47] 毛捷和管星华：</w:t>
      </w:r>
      <w:hyperlink r:id="rId26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对外经济贸易大学</w:t>
        </w:r>
      </w:hyperlink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[49] 杨国超等：</w:t>
      </w:r>
      <w:hyperlink r:id="rId27">
        <w:r>
          <w:rPr>
            <w:rFonts w:ascii="Times New Roman" w:hAnsi="Times New Roman" w:eastAsia="SimSun"/>
            <w:color w:val="1F4E79"/>
            <w:u w:val="single"/>
            <w:sz w:val="21"/>
          </w:rPr>
          <w:t xml:space="preserve">马克数据网《管理世界》2025 年第 12 期目录</w:t>
        </w:r>
      </w:hyperlink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sse.com.cn/aboutus/mediacenter/hotandd/c/c_20180112_4449644.shtml" TargetMode="External"/><Relationship Id="rId10" Type="http://schemas.openxmlformats.org/officeDocument/2006/relationships/hyperlink" Target="https://www.szse.cn/marketServices/deal/stockrepo/rules/t20250327_612583.html" TargetMode="External"/><Relationship Id="rId11" Type="http://schemas.openxmlformats.org/officeDocument/2006/relationships/hyperlink" Target="http://www.sse.com.cn/aboutus/mediacenter/hotandd/c/c_20191025_4933867.shtml" TargetMode="External"/><Relationship Id="rId12" Type="http://schemas.openxmlformats.org/officeDocument/2006/relationships/hyperlink" Target="https://www.csrc.gov.cn/csrc/c101981/c7599967/content.shtml" TargetMode="External"/><Relationship Id="rId13" Type="http://schemas.openxmlformats.org/officeDocument/2006/relationships/hyperlink" Target="https://academic.oup.com/rfs/article-abstract/31/11/4288/5054918" TargetMode="External"/><Relationship Id="rId14" Type="http://schemas.openxmlformats.org/officeDocument/2006/relationships/hyperlink" Target="https://onlinelibrary.wiley.com/doi/full/10.1111/acfi.12674" TargetMode="External"/><Relationship Id="rId15" Type="http://schemas.openxmlformats.org/officeDocument/2006/relationships/hyperlink" Target="https://www.sciencedirect.com/science/article/abs/pii/S0929119917306727" TargetMode="External"/><Relationship Id="rId16" Type="http://schemas.openxmlformats.org/officeDocument/2006/relationships/hyperlink" Target="https://www.sciencedirect.com/science/article/abs/pii/S0378426618300219" TargetMode="External"/><Relationship Id="rId17" Type="http://schemas.openxmlformats.org/officeDocument/2006/relationships/hyperlink" Target="https://www.sciencedirect.com/science/article/abs/pii/S1566014119305199" TargetMode="External"/><Relationship Id="rId18" Type="http://schemas.openxmlformats.org/officeDocument/2006/relationships/hyperlink" Target="https://onlinelibrary.wiley.com/doi/abs/10.1111/acfi.12997" TargetMode="External"/><Relationship Id="rId19" Type="http://schemas.openxmlformats.org/officeDocument/2006/relationships/hyperlink" Target="https://academic.oup.com/rof/article-abstract/28/2/621/7284122" TargetMode="External"/><Relationship Id="rId20" Type="http://schemas.openxmlformats.org/officeDocument/2006/relationships/hyperlink" Target="https://jmsc.tju.edu.cn/jmsc/article/pdf/20140906" TargetMode="External"/><Relationship Id="rId21" Type="http://schemas.openxmlformats.org/officeDocument/2006/relationships/hyperlink" Target="http://www.jryj.org.cn/CN/abstract/abstract472.shtml" TargetMode="External"/><Relationship Id="rId22" Type="http://schemas.openxmlformats.org/officeDocument/2006/relationships/hyperlink" Target="http://www.jryj.org.cn/CN/abstract/abstract792.shtml" TargetMode="External"/><Relationship Id="rId23" Type="http://schemas.openxmlformats.org/officeDocument/2006/relationships/hyperlink" Target="https://sf.dufe.edu.cn/content_67109.html" TargetMode="External"/><Relationship Id="rId24" Type="http://schemas.openxmlformats.org/officeDocument/2006/relationships/hyperlink" Target="https://www.dufe.edu.cn/content_54659.html" TargetMode="External"/><Relationship Id="rId25" Type="http://schemas.openxmlformats.org/officeDocument/2006/relationships/hyperlink" Target="https://lingnan.sysu.edu.cn/en/faculty/lianyujun" TargetMode="External"/><Relationship Id="rId26" Type="http://schemas.openxmlformats.org/officeDocument/2006/relationships/hyperlink" Target="http://site.uibe.edu.cn/aspxNews/ViewNews.aspx?NewsID=14754" TargetMode="External"/><Relationship Id="rId27" Type="http://schemas.openxmlformats.org/officeDocument/2006/relationships/hyperlink" Target="https://www.macrodatas.cn/article/11474737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