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SimSun"/>
          <w:b/>
          <w:sz w:val="32"/>
        </w:rPr>
        <w:t>开题进展汇报</w:t>
      </w:r>
    </w:p>
    <w:p>
      <w:r>
        <w:rPr>
          <w:rFonts w:ascii="Times New Roman" w:hAnsi="Times New Roman" w:eastAsia="SimSun"/>
          <w:b/>
          <w:sz w:val="21"/>
        </w:rPr>
        <w:t>题目</w:t>
      </w:r>
      <w:r>
        <w:rPr>
          <w:rFonts w:ascii="Times New Roman" w:hAnsi="Times New Roman" w:eastAsia="SimSun"/>
          <w:b w:val="0"/>
          <w:sz w:val="21"/>
        </w:rPr>
        <w:t>：大股东股权质押与企业现金持有水平——掏空与风险规避两种机制的识别与边界条件</w:t>
      </w:r>
    </w:p>
    <w:p>
      <w:r>
        <w:rPr>
          <w:rFonts w:ascii="Times New Roman" w:hAnsi="Times New Roman" w:eastAsia="SimSun"/>
          <w:b/>
          <w:sz w:val="21"/>
        </w:rPr>
        <w:t>专业</w:t>
      </w:r>
      <w:r>
        <w:rPr>
          <w:rFonts w:ascii="Times New Roman" w:hAnsi="Times New Roman" w:eastAsia="SimSun"/>
          <w:b w:val="0"/>
          <w:sz w:val="21"/>
        </w:rPr>
        <w:t>：金融学（公司金融方向）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一、目前进展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事项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状态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开题报告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已按学院模板修改完成，参考文献 50 条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数据下载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已完成，全部来自国泰安 CSMAR 数据库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数据清洗与变量构造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基准回归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复现李常青等（2018b）的 U 型关系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机制检验、边界条件、2018 年新规 DID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已完成初步估计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稳健性检验、PSM、替代指标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待做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二、研究问题</w:t>
      </w:r>
    </w:p>
    <w:p>
      <w:r>
        <w:rPr>
          <w:rFonts w:ascii="Times New Roman" w:hAnsi="Times New Roman" w:eastAsia="SimSun"/>
          <w:b w:val="0"/>
          <w:sz w:val="21"/>
        </w:rPr>
        <w:t>大股东质押股票后，公司会多存现金还是少存现金？已有文献有两种解释：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风险规避说</w:t>
      </w:r>
      <w:r>
        <w:rPr>
          <w:rFonts w:ascii="Times New Roman" w:hAnsi="Times New Roman" w:eastAsia="SimSun"/>
          <w:b w:val="0"/>
          <w:sz w:val="21"/>
        </w:rPr>
        <w:t>：大股东担心股价下跌被平仓、丧失控制权，会推动公司多持有现金；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掏空说</w:t>
      </w:r>
      <w:r>
        <w:rPr>
          <w:rFonts w:ascii="Times New Roman" w:hAnsi="Times New Roman" w:eastAsia="SimSun"/>
          <w:b w:val="0"/>
          <w:sz w:val="21"/>
        </w:rPr>
        <w:t>：质押后大股东资金压力上升，更可能占用公司资金，公司现金减少。</w:t>
      </w:r>
    </w:p>
    <w:p>
      <w:r>
        <w:rPr>
          <w:rFonts w:ascii="Times New Roman" w:hAnsi="Times New Roman" w:eastAsia="SimSun"/>
          <w:b w:val="0"/>
          <w:sz w:val="21"/>
        </w:rPr>
        <w:t xml:space="preserve">李常青等（2018b，《财贸经济》）基于 2013—2015 年数据发现二者呈 </w:t>
      </w:r>
      <w:r>
        <w:rPr>
          <w:rFonts w:ascii="Times New Roman" w:hAnsi="Times New Roman" w:eastAsia="SimSun"/>
          <w:b/>
          <w:sz w:val="21"/>
        </w:rPr>
        <w:t>U 型关系</w:t>
      </w:r>
      <w:r>
        <w:rPr>
          <w:rFonts w:ascii="Times New Roman" w:hAnsi="Times New Roman" w:eastAsia="SimSun"/>
          <w:b w:val="0"/>
          <w:sz w:val="21"/>
        </w:rPr>
        <w:t>。本文在更长的样本中重新检验这一结论，并设计渠道检验区分两种机制。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三、数据与样本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来源</w:t>
      </w:r>
      <w:r>
        <w:rPr>
          <w:rFonts w:ascii="Times New Roman" w:hAnsi="Times New Roman" w:eastAsia="SimSun"/>
          <w:b w:val="0"/>
          <w:sz w:val="21"/>
        </w:rPr>
        <w:t>：国泰安 CSMAR，包括股东股权质押统计表与明细表、十大股东文件、财务报表、股权性质、个股回报率。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样本</w:t>
      </w:r>
      <w:r>
        <w:rPr>
          <w:rFonts w:ascii="Times New Roman" w:hAnsi="Times New Roman" w:eastAsia="SimSun"/>
          <w:b w:val="0"/>
          <w:sz w:val="21"/>
        </w:rPr>
        <w:t>：2007—2025 年沪深 A 股非金融上市公司，剔除 ST、*ST、PT 及资不抵债的公司。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规模</w:t>
      </w:r>
      <w:r>
        <w:rPr>
          <w:rFonts w:ascii="Times New Roman" w:hAnsi="Times New Roman" w:eastAsia="SimSun"/>
          <w:b w:val="0"/>
          <w:sz w:val="21"/>
        </w:rPr>
        <w:t>：50,961 个公司—年度观测，5,161 家公司。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核心变量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质押比例 Pledge：年末第一大股东未解押质押股数 ÷ 其持股数；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现金持有 Cash：货币资金 /（总资产 − 货币资金）。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数据质量</w:t>
      </w:r>
      <w:r>
        <w:rPr>
          <w:rFonts w:ascii="Times New Roman" w:hAnsi="Times New Roman" w:eastAsia="SimSun"/>
          <w:b w:val="0"/>
          <w:sz w:val="21"/>
        </w:rPr>
        <w:t>：质押比例由统计表、明细表两种口径分别构造，相关系数 0.96；与十大股东文件中的质押标识对比，一致率约 95%。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</w:t>
      </w:r>
      <w:r>
        <w:rPr>
          <w:rFonts w:ascii="Times New Roman" w:hAnsi="Times New Roman" w:eastAsia="SimSun"/>
          <w:b/>
          <w:sz w:val="21"/>
        </w:rPr>
        <w:t>质押趋势</w:t>
      </w:r>
      <w:r>
        <w:rPr>
          <w:rFonts w:ascii="Times New Roman" w:hAnsi="Times New Roman" w:eastAsia="SimSun"/>
          <w:b w:val="0"/>
          <w:sz w:val="21"/>
        </w:rPr>
        <w:t>：平均质押比例由 2007 年约 11% 升至 2018 年约 33% 的峰值，此后回落至 2025 年约 11%。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四、初步结果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1. 基准回归：质押越多，现金越少，但经济意义不大</w:t>
      </w:r>
    </w:p>
    <w:p>
      <w:r>
        <w:rPr>
          <w:rFonts w:ascii="Times New Roman" w:hAnsi="Times New Roman" w:eastAsia="SimSun"/>
          <w:b w:val="0"/>
          <w:sz w:val="21"/>
        </w:rPr>
        <w:t>模型控制公司与年度固定效应，标准误按公司聚类。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设定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加入控制变量（基准）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−0.0165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公司 + 行业×年度固定效应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质押比例滞后一期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明细表口径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控制上市年数固定效应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−0.0136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剔除上市后前 3 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−0.0082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质押比例上升一个标准差，现金持有下降约为均值的 2.2%。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2. U 型关系只存在于公司之间（最稳健的发现）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设定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一次项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平方项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拐点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U 型是否成立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原文口径：2013—2015 年，混合回归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−0.181***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+0.170***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全样本，混合回归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−0.168***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+0.136***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0.62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2013—2015 年，公司固定效应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全样本，公司固定效应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−0.046***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+0.033**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不成立</w:t>
            </w:r>
          </w:p>
        </w:tc>
      </w:tr>
    </w:tbl>
    <w:p/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按原文口径能复现出 U 型，拐点 0.53，与原文约 0.55 基本一致，说明数据可靠。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加入公司固定效应后，U 型在所有设定下都不成立。</w:t>
      </w:r>
      <w:r>
        <w:rPr>
          <w:rFonts w:ascii="Times New Roman" w:hAnsi="Times New Roman" w:eastAsia="SimSun"/>
          <w:b/>
          <w:sz w:val="21"/>
        </w:rPr>
        <w:t>同一家公司质押加深后并不会多持有现金</w:t>
      </w:r>
      <w:r>
        <w:rPr>
          <w:rFonts w:ascii="Times New Roman" w:hAnsi="Times New Roman" w:eastAsia="SimSun"/>
          <w:b w:val="0"/>
          <w:sz w:val="21"/>
        </w:rPr>
        <w:t>；原文的 U 型上升段来自"高质押公司本来现金就多"这类公司间差异。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3. 机制检验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检验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含义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平仓压力 Pressure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越接近平仓线，现金越少，</w:t>
            </w:r>
            <w:r>
              <w:rPr>
                <w:rFonts w:ascii="Times New Roman" w:hAnsi="Times New Roman" w:eastAsia="SimSun"/>
                <w:b/>
                <w:sz w:val="19"/>
              </w:rPr>
              <w:t>与风险规避说的预测相反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资金占用（其他应收 − 其他应付）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+0.0012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掏空渠道证据较弱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其他应收款 / 总资产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+0.0014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*（p = 0.06）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弱支持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现金边际价值：ΔC × Pledge，民营企业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−0.225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民营高质押公司的现金被市场打折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4. 边界条件与政策评估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检验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H3：质押 × 高融资约束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−0.0331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H4：质押 × 国有企业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+0.0054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2016—2025 年子样本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*（p = 0.07）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年新规 DID 第一阶段：新规前质押比例 × 新规后 → 质押比例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−0.178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年新规 DID 简化式：新规前质押比例 × 新规后 → 现金持有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新规显著压低了高质押公司的质押比例，但现金持有没有随之显著变化。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五、初步结论</w:t>
      </w:r>
    </w:p>
    <w:p>
      <w:r>
        <w:rPr>
          <w:rFonts w:ascii="Times New Roman" w:hAnsi="Times New Roman" w:eastAsia="SimSun"/>
          <w:b w:val="0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风险规避说在公司内部不成立</w:t>
      </w:r>
      <w:r>
        <w:rPr>
          <w:rFonts w:ascii="Times New Roman" w:hAnsi="Times New Roman" w:eastAsia="SimSun"/>
          <w:b w:val="0"/>
          <w:sz w:val="21"/>
        </w:rPr>
        <w:t>：U 型上升段来自公司间差异，平仓压力越大现金反而越少。这是目前最稳健的结论。</w:t>
      </w:r>
    </w:p>
    <w:p>
      <w:r>
        <w:rPr>
          <w:rFonts w:ascii="Times New Roman" w:hAnsi="Times New Roman" w:eastAsia="SimSun"/>
          <w:b w:val="0"/>
          <w:sz w:val="21"/>
        </w:rPr>
        <w:t>2. 质押与现金持有整体呈负相关，但主要出现在</w:t>
      </w:r>
      <w:r>
        <w:rPr>
          <w:rFonts w:ascii="Times New Roman" w:hAnsi="Times New Roman" w:eastAsia="SimSun"/>
          <w:b/>
          <w:sz w:val="21"/>
        </w:rPr>
        <w:t>上市时间较短的公司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r>
        <w:rPr>
          <w:rFonts w:ascii="Times New Roman" w:hAnsi="Times New Roman" w:eastAsia="SimSun"/>
          <w:b w:val="0"/>
          <w:sz w:val="21"/>
        </w:rPr>
        <w:t>3. 掏空渠道证据较弱，只能说"部分支持"。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六、存在的问题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问题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拟处理方式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负效应集中在上市初期公司，剔除上市后前 3 年后不显著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新上市公司募集资金多、限售期内不能质押，可能机械地造成负相关；正文中控制上市年数固定效应，并单独讨论上市初期样本中质押与募集资金使用的关系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经济意义较小（约为均值的 2.2%）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如实报告，不夸大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掏空渠道证据较弱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结论写为"数据不支持风险规避说"，不写"支持掏空说"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年同时发生资管新规、股市大跌等冲击，DID 识别不够干净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DID 定位为政策效果评估而非主要识别策略；补充剔除 2018 年、控制 2018 年股价跌幅、缩短窗口、时间安慰剂等检验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融资约束 SA 指数主要由上市年限决定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H3 与"上市初期"的发现合并讨论，并用 KZ、WW 指数作稳健性检验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平仓压力的测度较粗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限定为 2013 年后以证券公司为质权人的场内质押重新计算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七、下一步计划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阶段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时间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任务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第一阶段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开题后第 1—2 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数据下载、清洗与匹配；完成基准预回归（已完成）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第二阶段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3—5 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数据清洗、变量测算（含 SA 截尾、平仓压力测算）、描述性统计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第三阶段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6—8 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基准回归、渠道检验（平仓压力、资金占用、现金边际价值）、边界条件检验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第四阶段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9—10 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年新规 DID、纾困补充检验、现金可靠性检验、PSM 与滞后一期等稳健性检验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第五阶段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11—13 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论文初稿撰写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第六阶段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 14—16 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导师修改反馈、定稿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八、请老师指导的问题</w:t>
      </w:r>
    </w:p>
    <w:p>
      <w:r>
        <w:rPr>
          <w:rFonts w:ascii="Times New Roman" w:hAnsi="Times New Roman" w:eastAsia="SimSun"/>
          <w:b w:val="0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研究主线</w:t>
      </w:r>
      <w:r>
        <w:rPr>
          <w:rFonts w:ascii="Times New Roman" w:hAnsi="Times New Roman" w:eastAsia="SimSun"/>
          <w:b w:val="0"/>
          <w:sz w:val="21"/>
        </w:rPr>
        <w:t>：是否可以从"掏空与风险规避谁占优"调整为"否定风险规避说，U 型关系来自公司间差异"？题目的副标题是否需要相应修改？</w:t>
      </w:r>
    </w:p>
    <w:p>
      <w:r>
        <w:rPr>
          <w:rFonts w:ascii="Times New Roman" w:hAnsi="Times New Roman" w:eastAsia="SimSun"/>
          <w:b w:val="0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2018 年新规 DID 的定位</w:t>
      </w:r>
      <w:r>
        <w:rPr>
          <w:rFonts w:ascii="Times New Roman" w:hAnsi="Times New Roman" w:eastAsia="SimSun"/>
          <w:b w:val="0"/>
          <w:sz w:val="21"/>
        </w:rPr>
        <w:t>：作为政策效果评估、不作为主要识别策略，这样处理是否合适？</w:t>
      </w:r>
    </w:p>
    <w:p>
      <w:r>
        <w:rPr>
          <w:rFonts w:ascii="Times New Roman" w:hAnsi="Times New Roman" w:eastAsia="SimSun"/>
          <w:b w:val="0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上市初期效应</w:t>
      </w:r>
      <w:r>
        <w:rPr>
          <w:rFonts w:ascii="Times New Roman" w:hAnsi="Times New Roman" w:eastAsia="SimSun"/>
          <w:b w:val="0"/>
          <w:sz w:val="21"/>
        </w:rPr>
        <w:t>：负向关系集中在上市初期公司，是作为进一步分析单独讨论，还是调整样本（如剔除上市未满 3 年的观测）作为主回归？</w:t>
      </w:r>
    </w:p>
    <w:p>
      <w:r>
        <w:rPr>
          <w:rFonts w:ascii="Times New Roman" w:hAnsi="Times New Roman" w:eastAsia="SimSun"/>
          <w:b w:val="0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进度安排</w:t>
      </w:r>
      <w:r>
        <w:rPr>
          <w:rFonts w:ascii="Times New Roman" w:hAnsi="Times New Roman" w:eastAsia="SimSun"/>
          <w:b w:val="0"/>
          <w:sz w:val="21"/>
        </w:rPr>
        <w:t>：16 周完成初稿是否合适？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