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预回归结果（正式版，已剔除 ST）</w:t>
      </w:r>
    </w:p>
    <w:p>
      <w:r>
        <w:rPr>
          <w:rFonts w:ascii="Times New Roman" w:hAnsi="Times New Roman" w:eastAsia="SimSun"/>
          <w:b/>
          <w:sz w:val="21"/>
        </w:rPr>
        <w:t>数据</w:t>
      </w:r>
      <w:r>
        <w:rPr>
          <w:rFonts w:ascii="Times New Roman" w:hAnsi="Times New Roman" w:eastAsia="SimSun"/>
          <w:b w:val="0"/>
          <w:sz w:val="21"/>
        </w:rPr>
        <w:t>：CSMAR，2007—2025 年沪深 A 股非金融上市公司，已剔除 ST、*ST、PT（按当年证券简称识别）和资不抵债公司。样本 50,961 个公司年度、5,161 家公司；回归样本 50,737 个。</w:t>
      </w:r>
    </w:p>
    <w:p>
      <w:r>
        <w:rPr>
          <w:rFonts w:ascii="Times New Roman" w:hAnsi="Times New Roman" w:eastAsia="SimSun"/>
          <w:b/>
          <w:sz w:val="21"/>
        </w:rPr>
        <w:t>核心变量</w:t>
      </w:r>
      <w:r>
        <w:rPr>
          <w:rFonts w:ascii="Times New Roman" w:hAnsi="Times New Roman" w:eastAsia="SimSun"/>
          <w:b w:val="0"/>
          <w:sz w:val="21"/>
        </w:rPr>
        <w:t>：Pledge = 年末第一大股东未解押质押股数 ÷ 其持股数，由股权质押统计表构造，并用明细表独立验证。</w:t>
      </w:r>
    </w:p>
    <w:p>
      <w:r>
        <w:rPr>
          <w:rFonts w:ascii="Times New Roman" w:hAnsi="Times New Roman" w:eastAsia="SimSun"/>
          <w:b/>
          <w:sz w:val="21"/>
        </w:rPr>
        <w:t>基准模型</w:t>
      </w:r>
      <w:r>
        <w:rPr>
          <w:rFonts w:ascii="Times New Roman" w:hAnsi="Times New Roman" w:eastAsia="SimSun"/>
          <w:b w:val="0"/>
          <w:sz w:val="21"/>
        </w:rPr>
        <w:t>：Cash = 货币资金 /（总资产 − 货币资金），控制公司与年度固定效应，标准误按公司聚类。</w:t>
      </w:r>
    </w:p>
    <w:p>
      <w:r>
        <w:rPr>
          <w:rFonts w:ascii="Times New Roman" w:hAnsi="Times New Roman" w:eastAsia="SimSun"/>
          <w:b w:val="0"/>
          <w:sz w:val="21"/>
        </w:rPr>
        <w:t xml:space="preserve">完整输出见 </w:t>
      </w:r>
      <w:r>
        <w:rPr>
          <w:rFonts w:ascii="Times New Roman" w:hAnsi="Times New Roman" w:eastAsia="SimSun"/>
          <w:b w:val="0"/>
          <w:sz w:val="21"/>
        </w:rPr>
        <w:t>预回归-自动输出-全样本.md</w:t>
      </w:r>
      <w:r>
        <w:rPr>
          <w:rFonts w:ascii="Times New Roman" w:hAnsi="Times New Roman" w:eastAsia="SimSun"/>
          <w:b w:val="0"/>
          <w:sz w:val="21"/>
        </w:rPr>
        <w:t>、</w:t>
      </w:r>
      <w:r>
        <w:rPr>
          <w:rFonts w:ascii="Times New Roman" w:hAnsi="Times New Roman" w:eastAsia="SimSun"/>
          <w:b w:val="0"/>
          <w:sz w:val="21"/>
        </w:rPr>
        <w:t>机制检验-自动输出.md</w:t>
      </w:r>
      <w:r>
        <w:rPr>
          <w:rFonts w:ascii="Times New Roman" w:hAnsi="Times New Roman" w:eastAsia="SimSun"/>
          <w:b w:val="0"/>
          <w:sz w:val="21"/>
        </w:rPr>
        <w:t>、</w:t>
      </w:r>
      <w:r>
        <w:rPr>
          <w:rFonts w:ascii="Times New Roman" w:hAnsi="Times New Roman" w:eastAsia="SimSun"/>
          <w:b w:val="0"/>
          <w:sz w:val="21"/>
        </w:rPr>
        <w:t>复现李常青2018.md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r>
        <w:rPr>
          <w:rFonts w:ascii="Times New Roman" w:hAnsi="Times New Roman" w:eastAsia="SimSun"/>
          <w:b w:val="0"/>
          <w:sz w:val="21"/>
        </w:rPr>
        <w:t xml:space="preserve">复现步骤：依次运行 </w:t>
      </w:r>
      <w:r>
        <w:rPr>
          <w:rFonts w:ascii="Times New Roman" w:hAnsi="Times New Roman" w:eastAsia="SimSun"/>
          <w:b w:val="0"/>
          <w:sz w:val="21"/>
        </w:rPr>
        <w:t>build_panel.py</w:t>
      </w:r>
      <w:r>
        <w:rPr>
          <w:rFonts w:ascii="Times New Roman" w:hAnsi="Times New Roman" w:eastAsia="SimSun"/>
          <w:b w:val="0"/>
          <w:sz w:val="21"/>
        </w:rPr>
        <w:t xml:space="preserve"> → </w:t>
      </w:r>
      <w:r>
        <w:rPr>
          <w:rFonts w:ascii="Times New Roman" w:hAnsi="Times New Roman" w:eastAsia="SimSun"/>
          <w:b w:val="0"/>
          <w:sz w:val="21"/>
        </w:rPr>
        <w:t>preregression.py</w:t>
      </w:r>
      <w:r>
        <w:rPr>
          <w:rFonts w:ascii="Times New Roman" w:hAnsi="Times New Roman" w:eastAsia="SimSun"/>
          <w:b w:val="0"/>
          <w:sz w:val="21"/>
        </w:rPr>
        <w:t xml:space="preserve"> → </w:t>
      </w:r>
      <w:r>
        <w:rPr>
          <w:rFonts w:ascii="Times New Roman" w:hAnsi="Times New Roman" w:eastAsia="SimSun"/>
          <w:b w:val="0"/>
          <w:sz w:val="21"/>
        </w:rPr>
        <w:t>mechanism.py</w:t>
      </w:r>
      <w:r>
        <w:rPr>
          <w:rFonts w:ascii="Times New Roman" w:hAnsi="Times New Roman" w:eastAsia="SimSun"/>
          <w:b w:val="0"/>
          <w:sz w:val="21"/>
        </w:rPr>
        <w:t xml:space="preserve"> → </w:t>
      </w:r>
      <w:r>
        <w:rPr>
          <w:rFonts w:ascii="Times New Roman" w:hAnsi="Times New Roman" w:eastAsia="SimSun"/>
          <w:b w:val="0"/>
          <w:sz w:val="21"/>
        </w:rPr>
        <w:t>replicate_lcq2018.py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r>
        <w:rPr>
          <w:rFonts w:ascii="Times New Roman" w:hAnsi="Times New Roman" w:eastAsia="SimSun"/>
          <w:b w:val="0"/>
          <w:sz w:val="21"/>
        </w:rPr>
        <w:t>---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一句话总结</w:t>
      </w:r>
    </w:p>
    <w:p>
      <w:r>
        <w:rPr>
          <w:rFonts w:ascii="Times New Roman" w:hAnsi="Times New Roman" w:eastAsia="SimSun"/>
          <w:b/>
          <w:sz w:val="21"/>
        </w:rPr>
        <w:t>大股东质押不会促使公司增持现金，风险规避说在公司内部不成立：李常青等（2018b）发现的 U 型上升段来自公司之间的差异，平仓压力越大现金反而越少。质押与现金持有整体呈负相关，但这一关系主要集中在上市时间较短的公司；掏空渠道的证据较弱。</w:t>
      </w:r>
    </w:p>
    <w:p>
      <w:pPr>
        <w:ind w:left="340"/>
      </w:pPr>
      <w:r>
        <w:rPr>
          <w:rFonts w:ascii="Times New Roman" w:hAnsi="Times New Roman" w:eastAsia="SimSun"/>
          <w:b w:val="0"/>
          <w:color w:val="595959"/>
          <w:sz w:val="21"/>
        </w:rPr>
        <w:t>与剔除 ST 之前的版本相比，结论有三处变弱：剔除上市后前 3 年后基准结果不再显著；2016 年后的负效应只在 10% 水平显著；资金占用渠道基本不显著。原先的部分证据来自 ST 公司，这些公司往往正是大股东占款最严重的一批。</w:t>
      </w:r>
    </w:p>
    <w:p>
      <w:r>
        <w:rPr>
          <w:rFonts w:ascii="Times New Roman" w:hAnsi="Times New Roman" w:eastAsia="SimSun"/>
          <w:b w:val="0"/>
          <w:sz w:val="21"/>
        </w:rPr>
        <w:t>---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一、质押比例的构造与验证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核验项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统计表口径 vs 明细表口径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相关系数 0.96，95% 的公司年度差异在 5 个百分点以内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与十大股东质押标识（1 = 有质押/冻结/托管）的一致率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约 95%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平均质押比例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2007 年约 11% → 2018 年约 33%（峰值）→ 2025 年约 11%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二、基准回归（H1a／H1b）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标准误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无控制变量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−0.0335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0.0062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加控制变量（基准）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−0.0165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0.0056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是否质押虚拟变量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0.0037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质押比例滞后一期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 + 行业×年度 FE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货币资金/总资产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−0.0083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0.0028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占总股本口径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−0.0441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0.0193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控股股东口径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0.0064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明细表口径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上市年数逐年 FE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−0.0136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剔除上市后前 3 年 + 上市年数 FE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−0.0082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0.0056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不显著（p = 0.14）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经济意义</w:t>
      </w:r>
      <w:r>
        <w:rPr>
          <w:rFonts w:ascii="Times New Roman" w:hAnsi="Times New Roman" w:eastAsia="SimSun"/>
          <w:b w:val="0"/>
          <w:sz w:val="21"/>
        </w:rPr>
        <w:t>：质押比例上升一个标准差（0.331），Cash 下降约为均值的 2.2%。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三、负效应集中在上市初期：必须正视的问题</w:t>
      </w:r>
    </w:p>
    <w:p>
      <w:r>
        <w:rPr>
          <w:rFonts w:ascii="Times New Roman" w:hAnsi="Times New Roman" w:eastAsia="SimSun"/>
          <w:b w:val="0"/>
          <w:sz w:val="21"/>
        </w:rPr>
        <w:t>新上市公司现金多（募集资金）、质押少（限售期），会机械地造成负相关：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上市年数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1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2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3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5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7</w:t>
            </w:r>
          </w:p>
        </w:tc>
        <w:tc>
          <w:tcPr>
            <w:tcW w:type="dxa" w:w="1377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10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平均 Cash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0.40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0.36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0.30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0.21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平均 Pledge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0.14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0.23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子样本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2004 年及以后上市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−0.0157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**（p = 0.04）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2004 年以前上市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−0.0032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不显著（p = 0.68）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上市满 5 年的观测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−0.0070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不显著（p = 0.21）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 + 上市年数逐年 FE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−0.0136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控制上市年数固定效应后，全样本仍然显著；但</w:t>
      </w:r>
      <w:r>
        <w:rPr>
          <w:rFonts w:ascii="Times New Roman" w:hAnsi="Times New Roman" w:eastAsia="SimSun"/>
          <w:b/>
          <w:sz w:val="21"/>
        </w:rPr>
        <w:t>在上市多年的成熟公司里，质押与现金没有显著关系</w:t>
      </w:r>
      <w:r>
        <w:rPr>
          <w:rFonts w:ascii="Times New Roman" w:hAnsi="Times New Roman" w:eastAsia="SimSun"/>
          <w:b w:val="0"/>
          <w:sz w:val="21"/>
        </w:rPr>
        <w:t>。可能的解释：限售期结束后立即大比例质押的控股股东，同时也在更快地动用募集资金。这一点可以作为论文的进一步分析，但目前不能下定论。</w:t>
      </w:r>
    </w:p>
    <w:p>
      <w:r>
        <w:rPr>
          <w:rFonts w:ascii="Times New Roman" w:hAnsi="Times New Roman" w:eastAsia="SimSun"/>
          <w:b/>
          <w:sz w:val="21"/>
        </w:rPr>
        <w:t>写作建议</w:t>
      </w:r>
      <w:r>
        <w:rPr>
          <w:rFonts w:ascii="Times New Roman" w:hAnsi="Times New Roman" w:eastAsia="SimSun"/>
          <w:b w:val="0"/>
          <w:sz w:val="21"/>
        </w:rPr>
        <w:t>：不要把"质押降低现金"写成全样本普遍成立的结论，要写明它主要出现在上市初期的公司。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四、与已有研究的比较：U 型只存在于公司之间（最稳健的发现）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一次项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平方项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拐点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U 型检验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原文口径</w:t>
            </w:r>
            <w:r>
              <w:rPr>
                <w:rFonts w:ascii="Times New Roman" w:hAnsi="Times New Roman" w:eastAsia="SimSun"/>
                <w:b w:val="0"/>
                <w:sz w:val="19"/>
              </w:rPr>
              <w:t>：2013—2015，混合 OLS + 行业 + 年度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−0.181***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+0.170***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全样本，混合 OLS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−0.168***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+0.136***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0.62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非国企，混合 OLS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−0.164***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+0.140***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2013—2015，公司 + 年度 FE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❌ 不成立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全样本，公司 + 年度 FE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−0.046***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+0.033**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❌ 不成立（右端斜率 t = 1.04）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非国企，公司 + 年度 FE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❌ 不成立</w:t>
            </w:r>
          </w:p>
        </w:tc>
      </w:tr>
    </w:tbl>
    <w:p/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用原文口径能几乎原样复现 U 型（拐点 0.53，原文约 0.55），说明本文的数据可靠。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加入公司固定效应后，所有设定下 U 型都不成立：</w:t>
      </w:r>
      <w:r>
        <w:rPr>
          <w:rFonts w:ascii="Times New Roman" w:hAnsi="Times New Roman" w:eastAsia="SimSun"/>
          <w:b/>
          <w:sz w:val="21"/>
        </w:rPr>
        <w:t>同一家公司质押加深后并不会增持现金</w:t>
      </w:r>
      <w:r>
        <w:rPr>
          <w:rFonts w:ascii="Times New Roman" w:hAnsi="Times New Roman" w:eastAsia="SimSun"/>
          <w:b w:val="0"/>
          <w:sz w:val="21"/>
        </w:rPr>
        <w:t>，原文的上升段来自"高质押公司本来现金就多"这种公司间差异。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这一结论不受剔除 ST、上市年限等处理的影响，</w:t>
      </w:r>
      <w:r>
        <w:rPr>
          <w:rFonts w:ascii="Times New Roman" w:hAnsi="Times New Roman" w:eastAsia="SimSun"/>
          <w:b/>
          <w:sz w:val="21"/>
        </w:rPr>
        <w:t>是本文最稳健、最有分量的贡献</w:t>
      </w:r>
      <w:r>
        <w:rPr>
          <w:rFonts w:ascii="Times New Roman" w:hAnsi="Times New Roman" w:eastAsia="SimSun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五、机制检验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H2a 风险规避渠道：不成立，方向相反（稳健）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平仓压力 Pressure（全样本）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Pressure（质押公司子样本）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−0.0084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上年 Pressure（质押公司子样本）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风险规避说预测：越接近平仓线现金越多，实际是越少。</w:t>
      </w:r>
    </w:p>
    <w:p>
      <w:r>
        <w:rPr>
          <w:rFonts w:ascii="Times New Roman" w:hAnsi="Times New Roman" w:eastAsia="SimSun"/>
          <w:b w:val="0"/>
          <w:sz w:val="21"/>
        </w:rPr>
        <w:t>平仓压力的测度比较粗：按质押率 40%、年利率 10%、预警线 160% 估算，利息逐年累积，时间长的质押容易被判为触及预警线，总体触及率偏高（42.2%）。正式论文里建议只对 2013 年后的场内质押（质权人为证券公司）计算。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H2b 掏空渠道：证据较弱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（其他应收 − 其他应付）/ 总资产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其他应收款 / 总资产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*（p = 0.06）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（其他应收 − 其他应付）/ 总资产，民营企业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现金边际价值：ΔC × Pledge，民营企业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−0.225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现金边际价值：ΔC × Pledge，全样本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−0.059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剔除 ST 后，资金占用基本不显著；只剩民营企业中高质押公司的现金被市场打折这一条证据。</w:t>
      </w:r>
      <w:r>
        <w:rPr>
          <w:rFonts w:ascii="Times New Roman" w:hAnsi="Times New Roman" w:eastAsia="SimSun"/>
          <w:b/>
          <w:sz w:val="21"/>
        </w:rPr>
        <w:t>H2b 只能说"部分、弱支持"。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六、边界条件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检验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2007—2015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+0.0036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2016—2025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*（p = 0.07）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负效应在风险暴露期更明显，但证据减弱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H3：Pledge × 滞后一期高融资约束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−0.0331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H3 成立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H4：Pledge × SOE（组间差异）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+0.0054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不显著（p = 0.67）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H4 不成立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H3 的 SA 指数主要由上市年限决定，"融资约束强"在很大程度上也就是"上市时间短"。这和第三部分的发现是同一回事，写的时候要一起讨论，不要当成两个独立的发现。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七、2018 新规 DID（政策评估）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系数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显著性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第一阶段：PledgePre × Post → Pledge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−0.178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***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简化式：PledgePre × Post → Cash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不显著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新规显著压降了高质押公司的质押比例，但现金持有没有随之显著变化。开题报告中已将其定位为政策效果评估。</w:t>
      </w:r>
    </w:p>
    <w:p>
      <w:r>
        <w:rPr>
          <w:rFonts w:ascii="Times New Roman" w:hAnsi="Times New Roman" w:eastAsia="SimSun"/>
          <w:b w:val="0"/>
          <w:sz w:val="21"/>
        </w:rPr>
        <w:t>---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对论文写作的建议</w:t>
      </w:r>
    </w:p>
    <w:p>
      <w:r>
        <w:rPr>
          <w:rFonts w:ascii="Times New Roman" w:hAnsi="Times New Roman" w:eastAsia="SimSun"/>
          <w:b w:val="0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主线调整为</w:t>
      </w:r>
      <w:r>
        <w:rPr>
          <w:rFonts w:ascii="Times New Roman" w:hAnsi="Times New Roman" w:eastAsia="SimSun"/>
          <w:b w:val="0"/>
          <w:sz w:val="21"/>
        </w:rPr>
        <w:t>：质押不会促使公司增持现金 → 前人发现的 U 型上升段来自公司间差异，公司内部不存在 → 平仓压力越大现金越少，风险规避说不成立 → 质押与现金的负相关主要出现在上市初期公司 → 掏空渠道证据较弱，仅民营企业现金价值被打折。</w:t>
      </w:r>
    </w:p>
    <w:p>
      <w:r>
        <w:rPr>
          <w:rFonts w:ascii="Times New Roman" w:hAnsi="Times New Roman" w:eastAsia="SimSun"/>
          <w:b w:val="0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最有分量、最稳健的贡献是"否定风险规避说"</w:t>
      </w:r>
      <w:r>
        <w:rPr>
          <w:rFonts w:ascii="Times New Roman" w:hAnsi="Times New Roman" w:eastAsia="SimSun"/>
          <w:b w:val="0"/>
          <w:sz w:val="21"/>
        </w:rPr>
        <w:t>，包括 U 型复现和平仓压力检验。"支持掏空说"要写得克制。</w:t>
      </w:r>
    </w:p>
    <w:p>
      <w:r>
        <w:rPr>
          <w:rFonts w:ascii="Times New Roman" w:hAnsi="Times New Roman" w:eastAsia="SimSun"/>
          <w:b w:val="0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必须如实报告的弱点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经济意义不大（约为均值的 2.2%）；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负效应主要在上市初期公司，成熟公司不显著；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掏空渠道证据较弱；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H4 不成立；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DID 简化式不显著；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平仓压力测度比较粗。</w:t>
      </w:r>
    </w:p>
    <w:p>
      <w:r>
        <w:rPr>
          <w:rFonts w:ascii="Times New Roman" w:hAnsi="Times New Roman" w:eastAsia="SimSun"/>
          <w:b w:val="0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开题报告的假设不用改</w:t>
      </w:r>
      <w:r>
        <w:rPr>
          <w:rFonts w:ascii="Times New Roman" w:hAnsi="Times New Roman" w:eastAsia="SimSun"/>
          <w:b w:val="0"/>
          <w:sz w:val="21"/>
        </w:rPr>
        <w:t>：竞争性假设的写法容纳得了这些结果。但答辩时的说法要随之调整，不要说"支持掏空说"，而要说"数据不支持风险规避说，负向关系主要存在于上市初期公司"。</w:t>
      </w:r>
    </w:p>
    <w:p>
      <w:r>
        <w:rPr>
          <w:rFonts w:ascii="Times New Roman" w:hAnsi="Times New Roman" w:eastAsia="SimSun"/>
          <w:b w:val="0"/>
          <w:sz w:val="21"/>
        </w:rPr>
        <w:t xml:space="preserve">5. </w:t>
      </w:r>
      <w:r>
        <w:rPr>
          <w:rFonts w:ascii="Times New Roman" w:hAnsi="Times New Roman" w:eastAsia="SimSun"/>
          <w:b/>
          <w:sz w:val="21"/>
        </w:rPr>
        <w:t>还可以补的检验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上市初期样本中，质押与募集资金使用的关系（IPO 募集资金去向）；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按质权人类型分组（证券公司 vs 银行）；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现金可靠性检验（需要受限货币资金数据）；</w:t>
      </w:r>
    </w:p>
    <w:p>
      <w:pPr>
        <w:ind w:left="680" w:hanging="227"/>
      </w:pPr>
      <w:r>
        <w:rPr>
          <w:rFonts w:ascii="Times New Roman" w:hAnsi="Times New Roman" w:eastAsia="SimSun"/>
          <w:b w:val="0"/>
          <w:sz w:val="21"/>
        </w:rPr>
        <w:t>• 投资挤出检验（资本支出已有，研发需另下）。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