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7E92C">
      <w:pPr>
        <w:spacing w:before="120" w:after="40"/>
        <w:jc w:val="center"/>
      </w:pPr>
      <w:r>
        <w:rPr>
          <w:rFonts w:eastAsia="黑体"/>
          <w:b/>
          <w:bCs/>
          <w:sz w:val="30"/>
          <w:szCs w:val="30"/>
        </w:rPr>
        <w:t>国家战略功能约束下西藏高质量发展的三元协调评价</w:t>
      </w:r>
    </w:p>
    <w:p w14:paraId="3AF91374">
      <w:pPr>
        <w:spacing w:after="120"/>
        <w:jc w:val="center"/>
      </w:pPr>
      <w:r>
        <w:rPr>
          <w:rFonts w:hint="eastAsia" w:eastAsia="黑体"/>
          <w:b/>
          <w:bCs/>
          <w:sz w:val="24"/>
          <w:szCs w:val="24"/>
        </w:rPr>
        <w:t>——</w:t>
      </w:r>
      <w:r>
        <w:rPr>
          <w:rFonts w:eastAsia="黑体"/>
          <w:b/>
          <w:bCs/>
          <w:sz w:val="24"/>
          <w:szCs w:val="24"/>
        </w:rPr>
        <w:t>基于</w:t>
      </w:r>
      <w:r>
        <w:rPr>
          <w:rFonts w:hint="eastAsia" w:eastAsia="黑体"/>
          <w:b/>
          <w:bCs/>
          <w:sz w:val="24"/>
          <w:szCs w:val="24"/>
        </w:rPr>
        <w:t>“</w:t>
      </w:r>
      <w:r>
        <w:rPr>
          <w:rFonts w:eastAsia="黑体"/>
          <w:b/>
          <w:bCs/>
          <w:sz w:val="24"/>
          <w:szCs w:val="24"/>
        </w:rPr>
        <w:t>安全</w:t>
      </w:r>
      <w:r>
        <w:rPr>
          <w:rFonts w:hint="eastAsia" w:eastAsia="黑体"/>
          <w:b/>
          <w:bCs/>
          <w:sz w:val="24"/>
          <w:szCs w:val="24"/>
        </w:rPr>
        <w:t>—</w:t>
      </w:r>
      <w:r>
        <w:rPr>
          <w:rFonts w:eastAsia="黑体"/>
          <w:b/>
          <w:bCs/>
          <w:sz w:val="24"/>
          <w:szCs w:val="24"/>
        </w:rPr>
        <w:t>发展</w:t>
      </w:r>
      <w:r>
        <w:rPr>
          <w:rFonts w:hint="eastAsia" w:eastAsia="黑体"/>
          <w:b/>
          <w:bCs/>
          <w:sz w:val="24"/>
          <w:szCs w:val="24"/>
        </w:rPr>
        <w:t>—</w:t>
      </w:r>
      <w:r>
        <w:rPr>
          <w:rFonts w:eastAsia="黑体"/>
          <w:b/>
          <w:bCs/>
          <w:sz w:val="24"/>
          <w:szCs w:val="24"/>
        </w:rPr>
        <w:t>生态</w:t>
      </w:r>
      <w:r>
        <w:rPr>
          <w:rFonts w:hint="eastAsia" w:eastAsia="黑体"/>
          <w:b/>
          <w:bCs/>
          <w:sz w:val="24"/>
          <w:szCs w:val="24"/>
        </w:rPr>
        <w:t>”</w:t>
      </w:r>
      <w:r>
        <w:rPr>
          <w:rFonts w:eastAsia="黑体"/>
          <w:b/>
          <w:bCs/>
          <w:sz w:val="24"/>
          <w:szCs w:val="24"/>
        </w:rPr>
        <w:t>的测度</w:t>
      </w:r>
    </w:p>
    <w:p w14:paraId="006C1426">
      <w:pPr>
        <w:spacing w:after="200"/>
        <w:jc w:val="center"/>
      </w:pPr>
      <w:r>
        <w:rPr>
          <w:rFonts w:hint="eastAsia"/>
        </w:rPr>
        <w:t>巩艳红　王展鹏　赵子欢</w:t>
      </w:r>
    </w:p>
    <w:p w14:paraId="4D4DA276">
      <w:pPr>
        <w:spacing w:after="200"/>
        <w:jc w:val="center"/>
      </w:pPr>
      <w:r>
        <w:t>（</w:t>
      </w:r>
      <w:r>
        <w:rPr>
          <w:rFonts w:hint="eastAsia"/>
        </w:rPr>
        <w:t>西藏大学财经学院　西藏拉萨　850000</w:t>
      </w:r>
      <w:r>
        <w:t>）</w:t>
      </w:r>
      <w:r>
        <w:rPr>
          <w:vertAlign w:val="superscript"/>
        </w:rPr>
        <w:footnoteReference w:id="0"/>
      </w:r>
    </w:p>
    <w:p w14:paraId="365E6C99">
      <w:pPr>
        <w:spacing w:after="60"/>
        <w:ind w:firstLine="420"/>
        <w:jc w:val="both"/>
        <w:rPr>
          <w:sz w:val="18"/>
          <w:szCs w:val="18"/>
        </w:rPr>
      </w:pPr>
      <w:r>
        <w:rPr>
          <w:rFonts w:eastAsia="黑体"/>
          <w:b/>
          <w:bCs/>
        </w:rPr>
        <w:t>摘要　</w:t>
      </w:r>
      <w:r>
        <w:rPr>
          <w:sz w:val="18"/>
          <w:szCs w:val="18"/>
        </w:rPr>
        <w:t>西藏同时承担国家生态安全屏障、边疆安全屏障和高原经济高质量发展先行区建设等多重战略功能，以经济绩效为主的通用框架难以充分反映其</w:t>
      </w:r>
      <w:r>
        <w:rPr>
          <w:rFonts w:hint="eastAsia"/>
          <w:sz w:val="18"/>
          <w:szCs w:val="18"/>
        </w:rPr>
        <w:t>发展</w:t>
      </w:r>
      <w:r>
        <w:rPr>
          <w:sz w:val="18"/>
          <w:szCs w:val="18"/>
        </w:rPr>
        <w:t>状况。本文以新时代党的治藏方略</w:t>
      </w:r>
      <w:r>
        <w:rPr>
          <w:rFonts w:hint="eastAsia"/>
          <w:sz w:val="18"/>
          <w:szCs w:val="18"/>
        </w:rPr>
        <w:t>“</w:t>
      </w:r>
      <w:r>
        <w:rPr>
          <w:sz w:val="18"/>
          <w:szCs w:val="18"/>
        </w:rPr>
        <w:t>四件大事</w:t>
      </w:r>
      <w:r>
        <w:rPr>
          <w:rFonts w:hint="eastAsia"/>
          <w:sz w:val="18"/>
          <w:szCs w:val="18"/>
        </w:rPr>
        <w:t>”</w:t>
      </w:r>
      <w:r>
        <w:rPr>
          <w:sz w:val="18"/>
          <w:szCs w:val="18"/>
        </w:rPr>
        <w:t>为学理起点，构建</w:t>
      </w:r>
      <w:r>
        <w:rPr>
          <w:rFonts w:hint="eastAsia"/>
          <w:sz w:val="18"/>
          <w:szCs w:val="18"/>
        </w:rPr>
        <w:t>“</w:t>
      </w:r>
      <w:r>
        <w:rPr>
          <w:sz w:val="18"/>
          <w:szCs w:val="18"/>
        </w:rPr>
        <w:t>安全</w:t>
      </w:r>
      <w:r>
        <w:rPr>
          <w:rFonts w:hint="eastAsia"/>
          <w:sz w:val="18"/>
          <w:szCs w:val="18"/>
        </w:rPr>
        <w:t>—</w:t>
      </w:r>
      <w:r>
        <w:rPr>
          <w:sz w:val="18"/>
          <w:szCs w:val="18"/>
        </w:rPr>
        <w:t>发展</w:t>
      </w:r>
      <w:r>
        <w:rPr>
          <w:rFonts w:hint="eastAsia"/>
          <w:sz w:val="18"/>
          <w:szCs w:val="18"/>
        </w:rPr>
        <w:t>—</w:t>
      </w:r>
      <w:r>
        <w:rPr>
          <w:sz w:val="18"/>
          <w:szCs w:val="18"/>
        </w:rPr>
        <w:t>生态</w:t>
      </w:r>
      <w:r>
        <w:rPr>
          <w:rFonts w:hint="eastAsia"/>
          <w:sz w:val="18"/>
          <w:szCs w:val="18"/>
        </w:rPr>
        <w:t>”</w:t>
      </w:r>
      <w:r>
        <w:rPr>
          <w:sz w:val="18"/>
          <w:szCs w:val="18"/>
        </w:rPr>
        <w:t>三元评价框架，分别以4项、5项、4项指标刻画边疆安全屏障的维系条件、高原经济的发展成效与生态安全屏障的守护程度。采用固定基准标准化与失衡惩罚型协调指数（MPI）测度2016</w:t>
      </w:r>
      <w:r>
        <w:rPr>
          <w:rFonts w:hint="eastAsia"/>
          <w:sz w:val="18"/>
          <w:szCs w:val="18"/>
        </w:rPr>
        <w:t>—</w:t>
      </w:r>
      <w:r>
        <w:rPr>
          <w:sz w:val="18"/>
          <w:szCs w:val="18"/>
        </w:rPr>
        <w:t>2025年西藏三元协调</w:t>
      </w:r>
      <w:r>
        <w:rPr>
          <w:rFonts w:hint="eastAsia"/>
          <w:sz w:val="18"/>
          <w:szCs w:val="18"/>
        </w:rPr>
        <w:t>高质量发展</w:t>
      </w:r>
      <w:r>
        <w:rPr>
          <w:sz w:val="18"/>
          <w:szCs w:val="18"/>
        </w:rPr>
        <w:t>状</w:t>
      </w:r>
      <w:r>
        <w:rPr>
          <w:rFonts w:hint="eastAsia"/>
          <w:sz w:val="18"/>
          <w:szCs w:val="18"/>
        </w:rPr>
        <w:t>况</w:t>
      </w:r>
      <w:r>
        <w:rPr>
          <w:sz w:val="18"/>
          <w:szCs w:val="18"/>
        </w:rPr>
        <w:t>。研究发现：（1）三个子系统综合指数总体上升，MPI由0.393提高至0.754，；统筹推进“四件大事”的成效在测度上得到体现；（2）协调短板具有阶段性变化特征，2016</w:t>
      </w:r>
      <w:r>
        <w:rPr>
          <w:rFonts w:hint="eastAsia"/>
          <w:sz w:val="18"/>
          <w:szCs w:val="18"/>
        </w:rPr>
        <w:t>—</w:t>
      </w:r>
      <w:r>
        <w:rPr>
          <w:sz w:val="18"/>
          <w:szCs w:val="18"/>
        </w:rPr>
        <w:t>2017年主要表现为生态相对滞后，2018</w:t>
      </w:r>
      <w:r>
        <w:rPr>
          <w:rFonts w:hint="eastAsia"/>
          <w:sz w:val="18"/>
          <w:szCs w:val="18"/>
        </w:rPr>
        <w:t>—</w:t>
      </w:r>
      <w:r>
        <w:rPr>
          <w:sz w:val="18"/>
          <w:szCs w:val="18"/>
        </w:rPr>
        <w:t>2022年转为发展相对滞后，这两段判断在多种设定下均稳健；2023</w:t>
      </w:r>
      <w:r>
        <w:rPr>
          <w:rFonts w:hint="eastAsia"/>
          <w:sz w:val="18"/>
          <w:szCs w:val="18"/>
        </w:rPr>
        <w:t>—</w:t>
      </w:r>
      <w:r>
        <w:rPr>
          <w:sz w:val="18"/>
          <w:szCs w:val="18"/>
        </w:rPr>
        <w:t>2025年安全子系统改善相对趋缓，呈现短板转移的初步迹象，提示政策资源投向需随短板所在适时调整；（3）以同一组13项指标按通用的协调、绿色、开放、共享四个维度线性加总作对照，二者走势高度一致（相关系数为0.979），说明三元框架不改变总体趋势判断，其增量在于按战略功能分组后能够识别不同功能之间的阶段性相对短板，为分阶段确定政策着力点提供依据。据此提出优化服务业结构、畅通生态价值转化通道、稳固民生保障投入和建立短板动态监测机制等建议。</w:t>
      </w:r>
    </w:p>
    <w:p w14:paraId="5F7905D1">
      <w:pPr>
        <w:spacing w:after="160"/>
        <w:ind w:firstLine="420"/>
        <w:jc w:val="both"/>
      </w:pPr>
      <w:r>
        <w:rPr>
          <w:rFonts w:eastAsia="黑体"/>
          <w:b/>
          <w:bCs/>
        </w:rPr>
        <w:t>关键词　</w:t>
      </w:r>
      <w:r>
        <w:rPr>
          <w:sz w:val="18"/>
          <w:szCs w:val="18"/>
        </w:rPr>
        <w:t>西藏；治藏方略；高质量发展；国家战略功能；三元协调；失衡惩罚型聚合</w:t>
      </w:r>
    </w:p>
    <w:p w14:paraId="15C0352D">
      <w:pPr>
        <w:spacing w:before="260" w:after="120"/>
      </w:pPr>
      <w:r>
        <w:rPr>
          <w:rFonts w:eastAsia="黑体"/>
          <w:b/>
          <w:bCs/>
          <w:sz w:val="28"/>
          <w:szCs w:val="28"/>
        </w:rPr>
        <w:t>一、引言</w:t>
      </w:r>
    </w:p>
    <w:p w14:paraId="09C4B334">
      <w:pPr>
        <w:ind w:firstLine="420"/>
        <w:jc w:val="both"/>
        <w:rPr>
          <w:sz w:val="21"/>
          <w:szCs w:val="21"/>
        </w:rPr>
      </w:pPr>
      <w:r>
        <w:rPr>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sz w:val="21"/>
          <w:szCs w:val="21"/>
          <w:vertAlign w:val="superscript"/>
        </w:rPr>
        <w:t>[1]</w:t>
      </w:r>
      <w:r>
        <w:rPr>
          <w:sz w:val="21"/>
          <w:szCs w:val="21"/>
        </w:rPr>
        <w:t>。这一思路隐含着一个前提，即发展在区域功能中居于主导地位；对大多数地区而言，该前提是成立的。但西藏地处青藏高原腹地，在国家空间分工中同时承担多重国家战略功能，发展并不是其唯一目标。如果沿用以经济绩效为主的通用框架评价西藏，安全屏障与生态屏障两项功能就被排除在评价范围之外；评价维度覆盖不了区域实际承担的功能，也就难以完整反映西藏的</w:t>
      </w:r>
      <w:r>
        <w:rPr>
          <w:rFonts w:hint="eastAsia"/>
          <w:sz w:val="21"/>
          <w:szCs w:val="21"/>
        </w:rPr>
        <w:t>高质量发展</w:t>
      </w:r>
      <w:r>
        <w:rPr>
          <w:sz w:val="21"/>
          <w:szCs w:val="21"/>
        </w:rPr>
        <w:t>。</w:t>
      </w:r>
    </w:p>
    <w:p w14:paraId="5A1B79AD">
      <w:pPr>
        <w:ind w:firstLine="420"/>
        <w:jc w:val="both"/>
        <w:rPr>
          <w:sz w:val="21"/>
          <w:szCs w:val="21"/>
        </w:rPr>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然而在通用框架中，安全与生态两项屏障功能都未得到与其地位相称的评价，只是缺位的方式不同：安全多被视为发展的背景条件，或被分解并入</w:t>
      </w:r>
      <w:r>
        <w:rPr>
          <w:rFonts w:hint="eastAsia"/>
          <w:sz w:val="21"/>
          <w:szCs w:val="21"/>
        </w:rPr>
        <w:t>“</w:t>
      </w:r>
      <w:r>
        <w:rPr>
          <w:sz w:val="21"/>
          <w:szCs w:val="21"/>
        </w:rPr>
        <w:t>社会民生</w:t>
      </w:r>
      <w:r>
        <w:rPr>
          <w:rFonts w:hint="eastAsia"/>
          <w:sz w:val="21"/>
          <w:szCs w:val="21"/>
        </w:rPr>
        <w:t>”</w:t>
      </w:r>
      <w:r>
        <w:rPr>
          <w:sz w:val="21"/>
          <w:szCs w:val="21"/>
        </w:rPr>
        <w:t>等指标，缺乏独立的评价维度；生态虽常以</w:t>
      </w:r>
      <w:r>
        <w:rPr>
          <w:rFonts w:hint="eastAsia"/>
          <w:sz w:val="21"/>
          <w:szCs w:val="21"/>
        </w:rPr>
        <w:t>“</w:t>
      </w:r>
      <w:r>
        <w:rPr>
          <w:sz w:val="21"/>
          <w:szCs w:val="21"/>
        </w:rPr>
        <w:t>绿色</w:t>
      </w:r>
      <w:r>
        <w:rPr>
          <w:rFonts w:hint="eastAsia"/>
          <w:sz w:val="21"/>
          <w:szCs w:val="21"/>
        </w:rPr>
        <w:t>”</w:t>
      </w:r>
      <w:r>
        <w:rPr>
          <w:sz w:val="21"/>
          <w:szCs w:val="21"/>
        </w:rPr>
        <w:t>维度出现，衡量的却主要是发展方式的资源环境属性，而不是西藏守护国家生态安全屏障这一功能的达成程度。因此，把安全从背景因素提升为高质量发展评价体系里的独立评价维度，同时把生态由发展的附属属性还原为屏障功能的守护程度，一方面是评价维度与区域功能相匹配的要求，另一方面也契合筑牢国家生态安全屏障、铸牢中华民族共同体意识、推进各族群众共同富裕的现实需要。如果不把边疆安全、民族团结、民生保障与生态屏障守护纳入发展质量的评价内核，就容易以单一经济尺度衡量西藏，低估其在国家发展全局中的战略价值。</w:t>
      </w:r>
    </w:p>
    <w:p w14:paraId="6B17CCFE">
      <w:pPr>
        <w:ind w:firstLine="420"/>
        <w:jc w:val="both"/>
        <w:rPr>
          <w:sz w:val="21"/>
          <w:szCs w:val="21"/>
        </w:rPr>
      </w:pPr>
      <w:r>
        <w:rPr>
          <w:sz w:val="21"/>
          <w:szCs w:val="21"/>
        </w:rPr>
        <w:t>新时代党的治藏方略为这一判断提供了政策依据和学理起点。习近平总书记强调，要把维护祖国统一、加强民族团结作为西藏工作的着眼点和着力点，并明确</w:t>
      </w:r>
      <w:r>
        <w:rPr>
          <w:rFonts w:hint="eastAsia"/>
          <w:sz w:val="21"/>
          <w:szCs w:val="21"/>
        </w:rPr>
        <w:t>“</w:t>
      </w:r>
      <w:r>
        <w:rPr>
          <w:sz w:val="21"/>
          <w:szCs w:val="21"/>
        </w:rPr>
        <w:t>稳定、发展、生态、强边</w:t>
      </w:r>
      <w:r>
        <w:rPr>
          <w:rFonts w:hint="eastAsia"/>
          <w:sz w:val="21"/>
          <w:szCs w:val="21"/>
        </w:rPr>
        <w:t>”</w:t>
      </w:r>
      <w:r>
        <w:rPr>
          <w:sz w:val="21"/>
          <w:szCs w:val="21"/>
        </w:rPr>
        <w:t>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三元结构是治藏方略内在逻辑在评价维度上的转化，并不是外加的分析工具。</w:t>
      </w:r>
    </w:p>
    <w:p w14:paraId="0B2022BD">
      <w:pPr>
        <w:ind w:firstLine="420"/>
        <w:jc w:val="both"/>
        <w:rPr>
          <w:sz w:val="21"/>
          <w:szCs w:val="21"/>
        </w:rPr>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以固定基准标准化保证各年度指标的纵向可比，并采用失衡惩罚型协调指数实现对子系统失衡敏感的弱补偿性聚合；在此基础上，借助结构性贡献缺口定位短板所在，并以局部敏感性分析和留一法检验测度结果的稳健性。受指标口径与数据可得性限制，本文的考察期设定为2016</w:t>
      </w:r>
      <w:r>
        <w:rPr>
          <w:rFonts w:hint="eastAsia"/>
          <w:sz w:val="21"/>
          <w:szCs w:val="21"/>
        </w:rPr>
        <w:t>—</w:t>
      </w:r>
      <w:r>
        <w:rPr>
          <w:sz w:val="21"/>
          <w:szCs w:val="21"/>
        </w:rPr>
        <w:t>2025年，聚焦</w:t>
      </w:r>
      <w:r>
        <w:rPr>
          <w:rFonts w:hint="eastAsia"/>
          <w:sz w:val="21"/>
          <w:szCs w:val="21"/>
        </w:rPr>
        <w:t>“</w:t>
      </w:r>
      <w:r>
        <w:rPr>
          <w:sz w:val="21"/>
          <w:szCs w:val="21"/>
        </w:rPr>
        <w:t>十三五</w:t>
      </w:r>
      <w:r>
        <w:rPr>
          <w:rFonts w:hint="eastAsia"/>
          <w:sz w:val="21"/>
          <w:szCs w:val="21"/>
        </w:rPr>
        <w:t>”</w:t>
      </w:r>
      <w:r>
        <w:rPr>
          <w:sz w:val="21"/>
          <w:szCs w:val="21"/>
        </w:rPr>
        <w:t>以来西藏三元协调状态的时序变化。</w:t>
      </w:r>
    </w:p>
    <w:p w14:paraId="6AE166E1">
      <w:pPr>
        <w:ind w:firstLine="420"/>
        <w:jc w:val="both"/>
        <w:rPr>
          <w:sz w:val="21"/>
          <w:szCs w:val="21"/>
        </w:rPr>
      </w:pPr>
      <w:r>
        <w:rPr>
          <w:sz w:val="21"/>
          <w:szCs w:val="21"/>
        </w:rPr>
        <w:t>本文的边际贡献主要体现在三个方面。第一，在研究视角上，以新时代党的治藏方略</w:t>
      </w:r>
      <w:r>
        <w:rPr>
          <w:rFonts w:hint="eastAsia"/>
          <w:sz w:val="21"/>
          <w:szCs w:val="21"/>
        </w:rPr>
        <w:t>“</w:t>
      </w:r>
      <w:r>
        <w:rPr>
          <w:sz w:val="21"/>
          <w:szCs w:val="21"/>
        </w:rPr>
        <w:t>四件大事</w:t>
      </w:r>
      <w:r>
        <w:rPr>
          <w:rFonts w:hint="eastAsia"/>
          <w:sz w:val="21"/>
          <w:szCs w:val="21"/>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rPr>
        <w:t>“</w:t>
      </w:r>
      <w:r>
        <w:rPr>
          <w:sz w:val="21"/>
          <w:szCs w:val="21"/>
        </w:rPr>
        <w:t>稳定</w:t>
      </w:r>
      <w:r>
        <w:rPr>
          <w:rFonts w:hint="eastAsia"/>
          <w:sz w:val="21"/>
          <w:szCs w:val="21"/>
        </w:rPr>
        <w:t>”“</w:t>
      </w:r>
      <w:r>
        <w:rPr>
          <w:sz w:val="21"/>
          <w:szCs w:val="21"/>
        </w:rPr>
        <w:t>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所对应的功能类型化为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三元结构，把安全从背景性因素提升为独立评价子系统，并以生态屏障功能的守护程度而非发展的</w:t>
      </w:r>
      <w:r>
        <w:rPr>
          <w:rFonts w:hint="eastAsia"/>
          <w:sz w:val="21"/>
          <w:szCs w:val="21"/>
        </w:rPr>
        <w:t>“</w:t>
      </w:r>
      <w:r>
        <w:rPr>
          <w:sz w:val="21"/>
          <w:szCs w:val="21"/>
        </w:rPr>
        <w:t>绿色</w:t>
      </w:r>
      <w:r>
        <w:rPr>
          <w:rFonts w:hint="eastAsia"/>
          <w:sz w:val="21"/>
          <w:szCs w:val="21"/>
        </w:rPr>
        <w:t>”</w:t>
      </w:r>
      <w:r>
        <w:rPr>
          <w:sz w:val="21"/>
          <w:szCs w:val="21"/>
        </w:rPr>
        <w:t>属性界定生态子系统，以补充主要围绕经济、社会与生态维度展开的常见评价视角。第三，在经验证据上，利用2016</w:t>
      </w:r>
      <w:r>
        <w:rPr>
          <w:rFonts w:hint="eastAsia"/>
          <w:sz w:val="21"/>
          <w:szCs w:val="21"/>
        </w:rPr>
        <w:t>—</w:t>
      </w:r>
      <w:r>
        <w:rPr>
          <w:sz w:val="21"/>
          <w:szCs w:val="21"/>
        </w:rPr>
        <w:t>2025年时序数据考察三元协调状态及其阶段性变化，识别生态、发展相继成为相对短板的特征，以及样本末期可能出现的短板转移。本文的增量主要在于评价框架的功能适配及其短板诊断，而非提出新的聚合算法。</w:t>
      </w:r>
    </w:p>
    <w:p w14:paraId="6434A4BF">
      <w:pPr>
        <w:spacing w:before="260" w:after="120"/>
      </w:pPr>
      <w:r>
        <w:rPr>
          <w:rFonts w:eastAsia="黑体"/>
          <w:b/>
          <w:bCs/>
          <w:sz w:val="28"/>
          <w:szCs w:val="28"/>
        </w:rPr>
        <w:t>二、文献回顾与理论框架</w:t>
      </w:r>
    </w:p>
    <w:p w14:paraId="52A11983">
      <w:pPr>
        <w:spacing w:before="160" w:after="80"/>
      </w:pPr>
      <w:r>
        <w:rPr>
          <w:rFonts w:eastAsia="黑体"/>
          <w:b/>
          <w:bCs/>
          <w:sz w:val="21"/>
          <w:szCs w:val="21"/>
        </w:rPr>
        <w:t>（一）文献回顾</w:t>
      </w:r>
    </w:p>
    <w:p w14:paraId="095CA689">
      <w:pPr>
        <w:ind w:firstLine="420"/>
        <w:jc w:val="both"/>
        <w:rPr>
          <w:sz w:val="21"/>
          <w:szCs w:val="21"/>
        </w:rPr>
      </w:pPr>
      <w:r>
        <w:rPr>
          <w:sz w:val="21"/>
          <w:szCs w:val="21"/>
        </w:rPr>
        <w:t>高质量发展评价的量化研究已经形成较为成熟的范式。自师博与任保平的省际测度、李金昌等的指标体系探讨确立基本框架以来</w:t>
      </w:r>
      <w:r>
        <w:rPr>
          <w:sz w:val="21"/>
          <w:szCs w:val="21"/>
          <w:vertAlign w:val="superscript"/>
        </w:rPr>
        <w:t>[7-8]</w:t>
      </w:r>
      <w:r>
        <w:rPr>
          <w:sz w:val="21"/>
          <w:szCs w:val="21"/>
        </w:rPr>
        <w:t>，相关研究多以五大发展理念搭建评价体系</w:t>
      </w:r>
      <w:r>
        <w:rPr>
          <w:sz w:val="21"/>
          <w:szCs w:val="21"/>
          <w:vertAlign w:val="superscript"/>
        </w:rPr>
        <w:t>[9]</w:t>
      </w:r>
      <w:r>
        <w:rPr>
          <w:sz w:val="21"/>
          <w:szCs w:val="21"/>
        </w:rPr>
        <w:t>，并逐步由全国和省际尺度下沉至城市群等区域尺度，考察其时空演进与分异机理</w:t>
      </w:r>
      <w:r>
        <w:rPr>
          <w:sz w:val="21"/>
          <w:szCs w:val="21"/>
          <w:vertAlign w:val="superscript"/>
        </w:rPr>
        <w:t>[10-11]</w:t>
      </w:r>
      <w:r>
        <w:rPr>
          <w:sz w:val="21"/>
          <w:szCs w:val="21"/>
        </w:rPr>
        <w:t>。如引言所述，这一范式以发展质量的区域同构性为前提，当评价对象承担特殊国家战略功能时该前提并不成立。</w:t>
      </w:r>
    </w:p>
    <w:p w14:paraId="426D977B">
      <w:pPr>
        <w:ind w:firstLine="420"/>
        <w:jc w:val="both"/>
        <w:rPr>
          <w:sz w:val="21"/>
          <w:szCs w:val="21"/>
        </w:rPr>
      </w:pPr>
      <w:r>
        <w:rPr>
          <w:sz w:val="21"/>
          <w:szCs w:val="21"/>
        </w:rPr>
        <w:t>另一类研究则强调区域功能的差异。区域经济学的功能分工视角认为，不同区域在国家空间格局中承担的角色存在结构性差异，其发展路径需要与战略定位相匹配</w:t>
      </w:r>
      <w:r>
        <w:rPr>
          <w:sz w:val="21"/>
          <w:szCs w:val="21"/>
          <w:vertAlign w:val="superscript"/>
        </w:rPr>
        <w:t>[2]</w:t>
      </w:r>
      <w:r>
        <w:rPr>
          <w:sz w:val="21"/>
          <w:szCs w:val="21"/>
        </w:rPr>
        <w:t>。国外关于</w:t>
      </w:r>
      <w:r>
        <w:rPr>
          <w:rFonts w:hint="eastAsia"/>
          <w:sz w:val="21"/>
          <w:szCs w:val="21"/>
        </w:rPr>
        <w:t>“</w:t>
      </w:r>
      <w:r>
        <w:rPr>
          <w:sz w:val="21"/>
          <w:szCs w:val="21"/>
        </w:rPr>
        <w:t>安全公正空间</w:t>
      </w:r>
      <w:r>
        <w:rPr>
          <w:rFonts w:hint="eastAsia"/>
          <w:sz w:val="21"/>
          <w:szCs w:val="21"/>
        </w:rPr>
        <w:t>”</w:t>
      </w:r>
      <w:r>
        <w:rPr>
          <w:sz w:val="21"/>
          <w:szCs w:val="21"/>
        </w:rPr>
        <w:t>的研究进一步将生态天花板与社会基础共同作为区域社会</w:t>
      </w:r>
      <w:r>
        <w:rPr>
          <w:rFonts w:hint="eastAsia"/>
          <w:sz w:val="21"/>
          <w:szCs w:val="21"/>
        </w:rPr>
        <w:t>—</w:t>
      </w:r>
      <w:r>
        <w:rPr>
          <w:sz w:val="21"/>
          <w:szCs w:val="21"/>
        </w:rPr>
        <w:t>生态系统可行域的判断依据</w:t>
      </w:r>
      <w:r>
        <w:rPr>
          <w:sz w:val="21"/>
          <w:szCs w:val="21"/>
          <w:vertAlign w:val="superscript"/>
        </w:rPr>
        <w:t>[12]</w:t>
      </w:r>
      <w:r>
        <w:rPr>
          <w:sz w:val="21"/>
          <w:szCs w:val="21"/>
        </w:rPr>
        <w:t>，其所依托的分析框架强调，任何发展路径都同时受到生态上限与社会下限的双重约束</w:t>
      </w:r>
      <w:r>
        <w:rPr>
          <w:sz w:val="21"/>
          <w:szCs w:val="21"/>
          <w:vertAlign w:val="superscript"/>
        </w:rPr>
        <w:t>[13]</w:t>
      </w:r>
      <w:r>
        <w:rPr>
          <w:sz w:val="21"/>
          <w:szCs w:val="21"/>
        </w:rPr>
        <w:t>。该框架讨论的虽是生态意义上的安全边界，与本文所指的国家安全、边疆安全并非同一范畴，但其</w:t>
      </w:r>
      <w:r>
        <w:rPr>
          <w:rFonts w:hint="eastAsia"/>
          <w:sz w:val="21"/>
          <w:szCs w:val="21"/>
        </w:rPr>
        <w:t>“</w:t>
      </w:r>
      <w:r>
        <w:rPr>
          <w:sz w:val="21"/>
          <w:szCs w:val="21"/>
        </w:rPr>
        <w:t>下限约束不可被上限表现所补偿</w:t>
      </w:r>
      <w:r>
        <w:rPr>
          <w:rFonts w:hint="eastAsia"/>
          <w:sz w:val="21"/>
          <w:szCs w:val="21"/>
        </w:rPr>
        <w:t>”</w:t>
      </w:r>
      <w:r>
        <w:rPr>
          <w:sz w:val="21"/>
          <w:szCs w:val="21"/>
        </w:rPr>
        <w:t>的逻辑，对本文界定安全功能的约束性质具有直接启发。</w:t>
      </w:r>
    </w:p>
    <w:p w14:paraId="01592EFE">
      <w:pPr>
        <w:ind w:firstLine="420"/>
        <w:jc w:val="both"/>
        <w:rPr>
          <w:sz w:val="21"/>
          <w:szCs w:val="21"/>
        </w:rPr>
      </w:pPr>
      <w:r>
        <w:rPr>
          <w:sz w:val="21"/>
          <w:szCs w:val="21"/>
        </w:rPr>
        <w:t>就西藏而言，已有研究关注其在国家区域格局中兼具安全稳定、生态保护与发展追赶的多重使命</w:t>
      </w:r>
      <w:r>
        <w:rPr>
          <w:sz w:val="21"/>
          <w:szCs w:val="21"/>
          <w:vertAlign w:val="superscript"/>
        </w:rPr>
        <w:t>[2]</w:t>
      </w:r>
      <w:r>
        <w:rPr>
          <w:sz w:val="21"/>
          <w:szCs w:val="21"/>
        </w:rPr>
        <w:t>：一方面强调统筹发展和安全是其扩大开放与内生发展的前提</w:t>
      </w:r>
      <w:r>
        <w:rPr>
          <w:sz w:val="21"/>
          <w:szCs w:val="21"/>
          <w:vertAlign w:val="superscript"/>
        </w:rPr>
        <w:t>[14]</w:t>
      </w:r>
      <w:r>
        <w:rPr>
          <w:sz w:val="21"/>
          <w:szCs w:val="21"/>
        </w:rPr>
        <w:t>，另一方面关注高原经济高质量发展作为其追赶路径的现实选择</w:t>
      </w:r>
      <w:r>
        <w:rPr>
          <w:sz w:val="21"/>
          <w:szCs w:val="21"/>
          <w:vertAlign w:val="superscript"/>
        </w:rPr>
        <w:t>[15]</w:t>
      </w:r>
      <w:r>
        <w:rPr>
          <w:sz w:val="21"/>
          <w:szCs w:val="21"/>
        </w:rPr>
        <w:t>。相关实证研究沿两条线索推进：一是发展水平测度，既有纳入边疆民族地区比较框架的测度与障碍因子诊断</w:t>
      </w:r>
      <w:r>
        <w:rPr>
          <w:sz w:val="21"/>
          <w:szCs w:val="21"/>
          <w:vertAlign w:val="superscript"/>
        </w:rPr>
        <w:t>[16]</w:t>
      </w:r>
      <w:r>
        <w:rPr>
          <w:sz w:val="21"/>
          <w:szCs w:val="21"/>
        </w:rPr>
        <w:t>，也有面向全区的指标体系构建</w:t>
      </w:r>
      <w:r>
        <w:rPr>
          <w:sz w:val="21"/>
          <w:szCs w:val="21"/>
          <w:vertAlign w:val="superscript"/>
        </w:rPr>
        <w:t>[17-18]</w:t>
      </w:r>
      <w:r>
        <w:rPr>
          <w:sz w:val="21"/>
          <w:szCs w:val="21"/>
        </w:rPr>
        <w:t>、指标间耦合效应分析</w:t>
      </w:r>
      <w:r>
        <w:rPr>
          <w:sz w:val="21"/>
          <w:szCs w:val="21"/>
          <w:vertAlign w:val="superscript"/>
        </w:rPr>
        <w:t>[19]</w:t>
      </w:r>
      <w:r>
        <w:rPr>
          <w:sz w:val="21"/>
          <w:szCs w:val="21"/>
        </w:rPr>
        <w:t>，以及先行区评价指标体系设计</w:t>
      </w:r>
      <w:r>
        <w:rPr>
          <w:sz w:val="21"/>
          <w:szCs w:val="21"/>
          <w:vertAlign w:val="superscript"/>
        </w:rPr>
        <w:t>[20]</w:t>
      </w:r>
      <w:r>
        <w:rPr>
          <w:sz w:val="21"/>
          <w:szCs w:val="21"/>
        </w:rPr>
        <w:t>；二是生态维度，涵盖生态经济系</w:t>
      </w:r>
      <w:r>
        <w:rPr>
          <w:rFonts w:hint="eastAsia"/>
          <w:sz w:val="21"/>
          <w:szCs w:val="21"/>
        </w:rPr>
        <w:t>统能值</w:t>
      </w:r>
      <w:r>
        <w:rPr>
          <w:sz w:val="21"/>
          <w:szCs w:val="21"/>
        </w:rPr>
        <w:t>核算</w:t>
      </w:r>
      <w:r>
        <w:rPr>
          <w:sz w:val="21"/>
          <w:szCs w:val="21"/>
          <w:vertAlign w:val="superscript"/>
        </w:rPr>
        <w:t>[21]</w:t>
      </w:r>
      <w:r>
        <w:rPr>
          <w:sz w:val="21"/>
          <w:szCs w:val="21"/>
        </w:rPr>
        <w:t>、经济发展与生态安全的冲突调适</w:t>
      </w:r>
      <w:r>
        <w:rPr>
          <w:sz w:val="21"/>
          <w:szCs w:val="21"/>
          <w:vertAlign w:val="superscript"/>
        </w:rPr>
        <w:t>[22]</w:t>
      </w:r>
      <w:r>
        <w:rPr>
          <w:sz w:val="21"/>
          <w:szCs w:val="21"/>
        </w:rPr>
        <w:t>，以及该领域的文献计量梳理</w:t>
      </w:r>
      <w:r>
        <w:rPr>
          <w:sz w:val="21"/>
          <w:szCs w:val="21"/>
          <w:vertAlign w:val="superscript"/>
        </w:rPr>
        <w:t>[23]</w:t>
      </w:r>
      <w:r>
        <w:rPr>
          <w:sz w:val="21"/>
          <w:szCs w:val="21"/>
        </w:rPr>
        <w:t>。生态维度的研究虽较为丰富，但多从生态</w:t>
      </w:r>
      <w:r>
        <w:rPr>
          <w:rFonts w:hint="eastAsia"/>
          <w:sz w:val="21"/>
          <w:szCs w:val="21"/>
        </w:rPr>
        <w:t>—</w:t>
      </w:r>
      <w:r>
        <w:rPr>
          <w:sz w:val="21"/>
          <w:szCs w:val="21"/>
        </w:rPr>
        <w:t>经济系统关系、发展与生态安全的冲突等角度展开，较少把生态作为西藏为国家承担的屏障功能、以该功能的守护程度为评价尺度；对安全功能的处理则更不充分，尚未形成与其战略地位相匹配的独立评价维度：或将安全作为外部背景加以定性讨论，或将其分解并入</w:t>
      </w:r>
      <w:r>
        <w:rPr>
          <w:rFonts w:hint="eastAsia"/>
          <w:sz w:val="21"/>
          <w:szCs w:val="21"/>
        </w:rPr>
        <w:t>“</w:t>
      </w:r>
      <w:r>
        <w:rPr>
          <w:sz w:val="21"/>
          <w:szCs w:val="21"/>
        </w:rPr>
        <w:t>社会民生</w:t>
      </w:r>
      <w:r>
        <w:rPr>
          <w:rFonts w:hint="eastAsia"/>
          <w:sz w:val="21"/>
          <w:szCs w:val="21"/>
        </w:rPr>
        <w:t>”</w:t>
      </w:r>
      <w:r>
        <w:rPr>
          <w:sz w:val="21"/>
          <w:szCs w:val="21"/>
        </w:rPr>
        <w:t>等二级指标。</w:t>
      </w:r>
    </w:p>
    <w:p w14:paraId="556C6990">
      <w:pPr>
        <w:ind w:firstLine="420"/>
        <w:jc w:val="both"/>
        <w:rPr>
          <w:sz w:val="21"/>
          <w:szCs w:val="21"/>
        </w:rPr>
      </w:pPr>
      <w:r>
        <w:rPr>
          <w:sz w:val="21"/>
          <w:szCs w:val="21"/>
        </w:rPr>
        <w:t>与本文最接近的是两项面向青藏高原的评价研究。焦乐佳等将耦合协调模型应用于西藏县域，测度生态、经济与社会三个系统的协调状态</w:t>
      </w:r>
      <w:r>
        <w:rPr>
          <w:sz w:val="21"/>
          <w:szCs w:val="21"/>
          <w:vertAlign w:val="superscript"/>
        </w:rPr>
        <w:t>[24]</w:t>
      </w:r>
      <w:r>
        <w:rPr>
          <w:sz w:val="21"/>
          <w:szCs w:val="21"/>
        </w:rPr>
        <w:t>，未将安全纳入评价体系。王翔宇等则将</w:t>
      </w:r>
      <w:r>
        <w:rPr>
          <w:rFonts w:hint="eastAsia"/>
          <w:sz w:val="21"/>
          <w:szCs w:val="21"/>
        </w:rPr>
        <w:t>“</w:t>
      </w:r>
      <w:r>
        <w:rPr>
          <w:sz w:val="21"/>
          <w:szCs w:val="21"/>
        </w:rPr>
        <w:t>安全保障</w:t>
      </w:r>
      <w:r>
        <w:rPr>
          <w:rFonts w:hint="eastAsia"/>
          <w:sz w:val="21"/>
          <w:szCs w:val="21"/>
        </w:rPr>
        <w:t>”</w:t>
      </w:r>
      <w:r>
        <w:rPr>
          <w:sz w:val="21"/>
          <w:szCs w:val="21"/>
        </w:rPr>
        <w:t>与经济质量、生态文明等并列为区域高质量发展的七个内涵维度，并对青藏高原212个县域（含西藏74个）进行综合评价</w:t>
      </w:r>
      <w:r>
        <w:rPr>
          <w:sz w:val="21"/>
          <w:szCs w:val="21"/>
          <w:vertAlign w:val="superscript"/>
        </w:rPr>
        <w:t>[25]</w:t>
      </w:r>
      <w:r>
        <w:rPr>
          <w:sz w:val="21"/>
          <w:szCs w:val="21"/>
        </w:rPr>
        <w:t>。但受县域数据可得性限制，其指标体系最终将</w:t>
      </w:r>
      <w:r>
        <w:rPr>
          <w:rFonts w:hint="eastAsia"/>
          <w:sz w:val="21"/>
          <w:szCs w:val="21"/>
        </w:rPr>
        <w:t>“</w:t>
      </w:r>
      <w:r>
        <w:rPr>
          <w:sz w:val="21"/>
          <w:szCs w:val="21"/>
        </w:rPr>
        <w:t>安全保障</w:t>
      </w:r>
      <w:r>
        <w:rPr>
          <w:rFonts w:hint="eastAsia"/>
          <w:sz w:val="21"/>
          <w:szCs w:val="21"/>
        </w:rPr>
        <w:t>”</w:t>
      </w:r>
      <w:r>
        <w:rPr>
          <w:sz w:val="21"/>
          <w:szCs w:val="21"/>
        </w:rPr>
        <w:t>具体化为</w:t>
      </w:r>
      <w:r>
        <w:rPr>
          <w:rFonts w:hint="eastAsia"/>
          <w:sz w:val="21"/>
          <w:szCs w:val="21"/>
        </w:rPr>
        <w:t>“</w:t>
      </w:r>
      <w:r>
        <w:rPr>
          <w:sz w:val="21"/>
          <w:szCs w:val="21"/>
        </w:rPr>
        <w:t>粮食安全</w:t>
      </w:r>
      <w:r>
        <w:rPr>
          <w:rFonts w:hint="eastAsia"/>
          <w:sz w:val="21"/>
          <w:szCs w:val="21"/>
        </w:rPr>
        <w:t>”</w:t>
      </w:r>
      <w:r>
        <w:rPr>
          <w:sz w:val="21"/>
          <w:szCs w:val="21"/>
        </w:rPr>
        <w:t>，仅保留人均粮食产量与人均肉类产量两项</w:t>
      </w:r>
      <w:r>
        <w:rPr>
          <w:rFonts w:hint="eastAsia"/>
          <w:sz w:val="21"/>
          <w:szCs w:val="21"/>
        </w:rPr>
        <w:t>。</w:t>
      </w:r>
      <w:r>
        <w:rPr>
          <w:sz w:val="21"/>
          <w:szCs w:val="21"/>
        </w:rPr>
        <w:t>作者亦指出，这两项指标</w:t>
      </w:r>
      <w:r>
        <w:rPr>
          <w:rFonts w:hint="eastAsia"/>
          <w:sz w:val="21"/>
          <w:szCs w:val="21"/>
        </w:rPr>
        <w:t>“</w:t>
      </w:r>
      <w:r>
        <w:rPr>
          <w:sz w:val="21"/>
          <w:szCs w:val="21"/>
        </w:rPr>
        <w:t>仅能表达国家粮食安全，未能体现社会安全等国家安全的其他方面</w:t>
      </w:r>
      <w:r>
        <w:rPr>
          <w:rFonts w:hint="eastAsia"/>
          <w:sz w:val="21"/>
          <w:szCs w:val="21"/>
        </w:rPr>
        <w:t>”</w:t>
      </w:r>
      <w:r>
        <w:rPr>
          <w:sz w:val="21"/>
          <w:szCs w:val="21"/>
        </w:rPr>
        <w:t>。与此同时，其综合指数仍采用熵权法加权求和。由此可见，安全即便在概念层面获得独立地位，也可能因指标代理范围有限而被压缩为粮食供给，并在加权求和中受到其他维度的补偿。本文针对这一问题，在评价维度与聚合方式两方面作出推进。</w:t>
      </w:r>
    </w:p>
    <w:p w14:paraId="3B1AA85C">
      <w:pPr>
        <w:ind w:firstLine="420"/>
        <w:jc w:val="both"/>
        <w:rPr>
          <w:sz w:val="21"/>
          <w:szCs w:val="21"/>
        </w:rPr>
      </w:pPr>
      <w:r>
        <w:rPr>
          <w:sz w:val="21"/>
          <w:szCs w:val="21"/>
        </w:rPr>
        <w:t>方法层面，国内研究多沿耦合协调模型展开，既有面向复合系统的协调度测算与空间异质性分析</w:t>
      </w:r>
      <w:r>
        <w:rPr>
          <w:sz w:val="21"/>
          <w:szCs w:val="21"/>
          <w:vertAlign w:val="superscript"/>
        </w:rPr>
        <w:t>[26]</w:t>
      </w:r>
      <w:r>
        <w:rPr>
          <w:sz w:val="21"/>
          <w:szCs w:val="21"/>
        </w:rPr>
        <w:t>，也有对耦合度模型形式、性质及其在地理学研究中若干误用的辨析</w:t>
      </w:r>
      <w:r>
        <w:rPr>
          <w:sz w:val="21"/>
          <w:szCs w:val="21"/>
          <w:vertAlign w:val="superscript"/>
        </w:rPr>
        <w:t>[27]</w:t>
      </w:r>
      <w:r>
        <w:rPr>
          <w:sz w:val="21"/>
          <w:szCs w:val="21"/>
        </w:rPr>
        <w:t>；在赋权与诊断环节，客观赋权方法</w:t>
      </w:r>
      <w:r>
        <w:rPr>
          <w:sz w:val="21"/>
          <w:szCs w:val="21"/>
          <w:vertAlign w:val="superscript"/>
        </w:rPr>
        <w:t>[28]</w:t>
      </w:r>
      <w:r>
        <w:rPr>
          <w:sz w:val="21"/>
          <w:szCs w:val="21"/>
        </w:rPr>
        <w:t>与熵权</w:t>
      </w:r>
      <w:r>
        <w:rPr>
          <w:rFonts w:hint="eastAsia"/>
          <w:sz w:val="21"/>
          <w:szCs w:val="21"/>
        </w:rPr>
        <w:t>—</w:t>
      </w:r>
      <w:r>
        <w:rPr>
          <w:sz w:val="21"/>
          <w:szCs w:val="21"/>
        </w:rPr>
        <w:t>TOPSIS结合障碍度诊断的做法</w:t>
      </w:r>
      <w:r>
        <w:rPr>
          <w:sz w:val="21"/>
          <w:szCs w:val="21"/>
          <w:vertAlign w:val="superscript"/>
        </w:rPr>
        <w:t>[29]</w:t>
      </w:r>
      <w:r>
        <w:rPr>
          <w:sz w:val="21"/>
          <w:szCs w:val="21"/>
        </w:rPr>
        <w:t>被广泛用于确定指标权重、识别制约因素。国际复合指标方法学则系统讨论了权重设定、聚合方式与稳健性问题</w:t>
      </w:r>
      <w:r>
        <w:rPr>
          <w:sz w:val="21"/>
          <w:szCs w:val="21"/>
          <w:vertAlign w:val="superscript"/>
        </w:rPr>
        <w:t>[30-31]</w:t>
      </w:r>
      <w:r>
        <w:rPr>
          <w:sz w:val="21"/>
          <w:szCs w:val="21"/>
        </w:rPr>
        <w:t>，并针对维度间的完全补偿，发展出非补偿性聚合</w:t>
      </w:r>
      <w:r>
        <w:rPr>
          <w:sz w:val="21"/>
          <w:szCs w:val="21"/>
          <w:vertAlign w:val="superscript"/>
        </w:rPr>
        <w:t>[32]</w:t>
      </w:r>
      <w:r>
        <w:rPr>
          <w:sz w:val="21"/>
          <w:szCs w:val="21"/>
        </w:rPr>
        <w:t>与失衡调整</w:t>
      </w:r>
      <w:r>
        <w:rPr>
          <w:sz w:val="21"/>
          <w:szCs w:val="21"/>
          <w:vertAlign w:val="superscript"/>
        </w:rPr>
        <w:t>[33]</w:t>
      </w:r>
      <w:r>
        <w:rPr>
          <w:sz w:val="21"/>
          <w:szCs w:val="21"/>
        </w:rPr>
        <w:t>等技术。然而，现有区域评价研究较少将非补偿性测度与区域功能理论相衔接，尚未充分解释不同功能维度为何具有不同的约束性质，以及这种差异应如何体现于综合评价之中。</w:t>
      </w:r>
    </w:p>
    <w:p w14:paraId="08B997B5">
      <w:pPr>
        <w:ind w:firstLine="420"/>
        <w:jc w:val="both"/>
        <w:rPr>
          <w:sz w:val="21"/>
          <w:szCs w:val="21"/>
        </w:rPr>
      </w:pPr>
      <w:r>
        <w:rPr>
          <w:sz w:val="21"/>
          <w:szCs w:val="21"/>
        </w:rPr>
        <w:t>综上，现有研究在概念与方法两个层面仍存在衔接空间：发展主导的评价框架容易弱化安全与生态屏障等战略功能的独立地位，允许维度间完全补偿的聚合方式则可能掩盖不同功能之间的结构性失衡。鉴于此，本文从国家战略功能约束出发重新界定西藏高质量发展评价基准，构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三元评价框架，以弱补偿性测度替代完全补偿式加总，并利用2016</w:t>
      </w:r>
      <w:r>
        <w:rPr>
          <w:rFonts w:hint="eastAsia"/>
          <w:sz w:val="21"/>
          <w:szCs w:val="21"/>
        </w:rPr>
        <w:t>—</w:t>
      </w:r>
      <w:r>
        <w:rPr>
          <w:sz w:val="21"/>
          <w:szCs w:val="21"/>
        </w:rPr>
        <w:t>2025年西藏时序数据考察其演变与阶段性短板。</w:t>
      </w:r>
    </w:p>
    <w:p w14:paraId="52FDBCC4">
      <w:pPr>
        <w:spacing w:before="160" w:after="80"/>
        <w:rPr>
          <w:rFonts w:eastAsia="黑体"/>
        </w:rPr>
      </w:pPr>
      <w:r>
        <w:rPr>
          <w:rFonts w:eastAsia="黑体"/>
          <w:b/>
          <w:bCs/>
          <w:sz w:val="21"/>
          <w:szCs w:val="21"/>
        </w:rPr>
        <w:t>（二）三元结构的提出</w:t>
      </w:r>
    </w:p>
    <w:p w14:paraId="6B3F8604">
      <w:pPr>
        <w:ind w:firstLine="420"/>
        <w:jc w:val="both"/>
        <w:rPr>
          <w:sz w:val="21"/>
          <w:szCs w:val="21"/>
        </w:rPr>
      </w:pPr>
      <w:r>
        <w:rPr>
          <w:sz w:val="21"/>
          <w:szCs w:val="21"/>
        </w:rPr>
        <w:t>三元结构的起点是重新界定区域高质量发展的评价基准：它衡量的是区域相对于其在国家空间分工中所承担功能的达成度，即功能相对于国家要求的实现程度，而不是一套跨区域通用的统一标准。就西藏而言，国家的要求是稳定、发展、生态、强边统筹推进，评价维度应当据此设定。</w:t>
      </w:r>
    </w:p>
    <w:p w14:paraId="7F0526FC">
      <w:pPr>
        <w:ind w:firstLine="420"/>
        <w:jc w:val="both"/>
        <w:rPr>
          <w:sz w:val="21"/>
          <w:szCs w:val="21"/>
        </w:rPr>
      </w:pPr>
      <w:r>
        <w:rPr>
          <w:sz w:val="21"/>
          <w:szCs w:val="21"/>
        </w:rPr>
        <w:t>依照主体功能区与国家空间分工的逻辑</w:t>
      </w:r>
      <w:r>
        <w:rPr>
          <w:sz w:val="21"/>
          <w:szCs w:val="21"/>
          <w:vertAlign w:val="superscript"/>
        </w:rPr>
        <w:t>[2]</w:t>
      </w:r>
      <w:r>
        <w:rPr>
          <w:sz w:val="21"/>
          <w:szCs w:val="21"/>
        </w:rPr>
        <w:t>，一个区域相对于国家的贡献可以归为三类：守住底线，包括边疆安全、社会稳定、民族团结与民生兜底，对应安全功能；不超越资源环境承载力与生态红线所界定的开发强度上界，对应生态功能，评价中所测的是对这一上界的守护程度，而非生态产出的绝对水平；在上述两类约束之间创造价值，对应发展功能。这三类功能与治藏方略</w:t>
      </w:r>
      <w:r>
        <w:rPr>
          <w:rFonts w:hint="eastAsia"/>
          <w:sz w:val="21"/>
          <w:szCs w:val="21"/>
        </w:rPr>
        <w:t>“</w:t>
      </w:r>
      <w:r>
        <w:rPr>
          <w:sz w:val="21"/>
          <w:szCs w:val="21"/>
        </w:rPr>
        <w:t>稳定</w:t>
      </w:r>
      <w:r>
        <w:rPr>
          <w:rFonts w:hint="eastAsia"/>
          <w:sz w:val="21"/>
          <w:szCs w:val="21"/>
        </w:rPr>
        <w:t>”“</w:t>
      </w:r>
      <w:r>
        <w:rPr>
          <w:sz w:val="21"/>
          <w:szCs w:val="21"/>
        </w:rPr>
        <w:t>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的任务结构一一对应。因此，三元并不是三项指标的拼接，而是治藏方略的任务结构在评价维度上的类型化梳理。这一划分并不追求穷尽西藏发展的所有维度，文化传承、社会治理、科技创新等同样重要；它提取的只是回答上述问题所需的核心功能维度。这一划分能否成立，还需回答四个追问：它与国土空间规划的</w:t>
      </w:r>
      <w:r>
        <w:rPr>
          <w:rFonts w:hint="eastAsia"/>
          <w:sz w:val="21"/>
          <w:szCs w:val="21"/>
        </w:rPr>
        <w:t>“</w:t>
      </w:r>
      <w:r>
        <w:rPr>
          <w:sz w:val="21"/>
          <w:szCs w:val="21"/>
        </w:rPr>
        <w:t>三生</w:t>
      </w:r>
      <w:r>
        <w:rPr>
          <w:rFonts w:hint="eastAsia"/>
          <w:sz w:val="21"/>
          <w:szCs w:val="21"/>
        </w:rPr>
        <w:t>”</w:t>
      </w:r>
      <w:r>
        <w:rPr>
          <w:sz w:val="21"/>
          <w:szCs w:val="21"/>
        </w:rPr>
        <w:t>划分有何不同；为何恰为三类，而不把五大发展理念的若干维度单列；三者为何不能加权求和；它与国外</w:t>
      </w:r>
      <w:r>
        <w:rPr>
          <w:rFonts w:hint="eastAsia"/>
          <w:sz w:val="21"/>
          <w:szCs w:val="21"/>
        </w:rPr>
        <w:t>“</w:t>
      </w:r>
      <w:r>
        <w:rPr>
          <w:sz w:val="21"/>
          <w:szCs w:val="21"/>
        </w:rPr>
        <w:t>安全公正空间</w:t>
      </w:r>
      <w:r>
        <w:rPr>
          <w:rFonts w:hint="eastAsia"/>
          <w:sz w:val="21"/>
          <w:szCs w:val="21"/>
        </w:rPr>
        <w:t>”</w:t>
      </w:r>
      <w:r>
        <w:rPr>
          <w:sz w:val="21"/>
          <w:szCs w:val="21"/>
        </w:rPr>
        <w:t>研究有何异同</w:t>
      </w:r>
      <w:r>
        <w:rPr>
          <w:rFonts w:hint="eastAsia"/>
          <w:sz w:val="21"/>
          <w:szCs w:val="21"/>
          <w:lang w:eastAsia="zh-CN"/>
        </w:rPr>
        <w:t>，</w:t>
      </w:r>
      <w:r>
        <w:rPr>
          <w:sz w:val="21"/>
          <w:szCs w:val="21"/>
        </w:rPr>
        <w:t>以下依次说明。</w:t>
      </w:r>
    </w:p>
    <w:p w14:paraId="03B5822B">
      <w:pPr>
        <w:ind w:firstLine="420"/>
        <w:jc w:val="both"/>
        <w:rPr>
          <w:sz w:val="21"/>
          <w:szCs w:val="21"/>
        </w:rPr>
      </w:pPr>
      <w:r>
        <w:rPr>
          <w:sz w:val="21"/>
          <w:szCs w:val="21"/>
        </w:rPr>
        <w:t>第一，三元结构需与国土空间规划的</w:t>
      </w:r>
      <w:r>
        <w:rPr>
          <w:rFonts w:hint="eastAsia"/>
          <w:sz w:val="21"/>
          <w:szCs w:val="21"/>
        </w:rPr>
        <w:t>“</w:t>
      </w:r>
      <w:r>
        <w:rPr>
          <w:sz w:val="21"/>
          <w:szCs w:val="21"/>
        </w:rPr>
        <w:t>生产</w:t>
      </w:r>
      <w:r>
        <w:rPr>
          <w:rFonts w:hint="eastAsia"/>
          <w:sz w:val="21"/>
          <w:szCs w:val="21"/>
        </w:rPr>
        <w:t>—</w:t>
      </w:r>
      <w:r>
        <w:rPr>
          <w:sz w:val="21"/>
          <w:szCs w:val="21"/>
        </w:rPr>
        <w:t>生活</w:t>
      </w:r>
      <w:r>
        <w:rPr>
          <w:rFonts w:hint="eastAsia"/>
          <w:sz w:val="21"/>
          <w:szCs w:val="21"/>
        </w:rPr>
        <w:t>—</w:t>
      </w:r>
      <w:r>
        <w:rPr>
          <w:sz w:val="21"/>
          <w:szCs w:val="21"/>
        </w:rPr>
        <w:t>生态</w:t>
      </w:r>
      <w:r>
        <w:rPr>
          <w:rFonts w:hint="eastAsia"/>
          <w:sz w:val="21"/>
          <w:szCs w:val="21"/>
        </w:rPr>
        <w:t>”</w:t>
      </w:r>
      <w:r>
        <w:rPr>
          <w:sz w:val="21"/>
          <w:szCs w:val="21"/>
        </w:rPr>
        <w:t>划分相区分</w:t>
      </w:r>
      <w:r>
        <w:rPr>
          <w:sz w:val="21"/>
          <w:szCs w:val="21"/>
          <w:vertAlign w:val="superscript"/>
        </w:rPr>
        <w:t>[34]</w:t>
      </w:r>
      <w:r>
        <w:rPr>
          <w:sz w:val="21"/>
          <w:szCs w:val="21"/>
        </w:rPr>
        <w:t>。两者都包含“生态”，容易被看作同一分类的改写，但出发点不同：三生功能从人地关系出发，其落点是区域内部人地系统的持续运行；三元结构则从国家空间分工出发，划分的是区域相对于国家所承担的战略功能。具体而言，三生中的</w:t>
      </w:r>
      <w:r>
        <w:rPr>
          <w:rFonts w:hint="eastAsia"/>
          <w:sz w:val="21"/>
          <w:szCs w:val="21"/>
        </w:rPr>
        <w:t>“</w:t>
      </w:r>
      <w:r>
        <w:rPr>
          <w:sz w:val="21"/>
          <w:szCs w:val="21"/>
        </w:rPr>
        <w:t>生产</w:t>
      </w:r>
      <w:r>
        <w:rPr>
          <w:rFonts w:hint="eastAsia"/>
          <w:sz w:val="21"/>
          <w:szCs w:val="21"/>
        </w:rPr>
        <w:t>”</w:t>
      </w:r>
      <w:r>
        <w:rPr>
          <w:sz w:val="21"/>
          <w:szCs w:val="21"/>
        </w:rPr>
        <w:t>在三元结构中落入发展子系统，</w:t>
      </w:r>
      <w:r>
        <w:rPr>
          <w:rFonts w:hint="eastAsia"/>
          <w:sz w:val="21"/>
          <w:szCs w:val="21"/>
        </w:rPr>
        <w:t>“</w:t>
      </w:r>
      <w:r>
        <w:rPr>
          <w:sz w:val="21"/>
          <w:szCs w:val="21"/>
        </w:rPr>
        <w:t>生活</w:t>
      </w:r>
      <w:r>
        <w:rPr>
          <w:rFonts w:hint="eastAsia"/>
          <w:sz w:val="21"/>
          <w:szCs w:val="21"/>
        </w:rPr>
        <w:t>”</w:t>
      </w:r>
      <w:r>
        <w:rPr>
          <w:sz w:val="21"/>
          <w:szCs w:val="21"/>
        </w:rPr>
        <w:t>落入安全子系统的民生兜底部分；三生中的</w:t>
      </w:r>
      <w:r>
        <w:rPr>
          <w:rFonts w:hint="eastAsia"/>
          <w:sz w:val="21"/>
          <w:szCs w:val="21"/>
        </w:rPr>
        <w:t>“</w:t>
      </w:r>
      <w:r>
        <w:rPr>
          <w:sz w:val="21"/>
          <w:szCs w:val="21"/>
        </w:rPr>
        <w:t>生态</w:t>
      </w:r>
      <w:r>
        <w:rPr>
          <w:rFonts w:hint="eastAsia"/>
          <w:sz w:val="21"/>
          <w:szCs w:val="21"/>
        </w:rPr>
        <w:t>”</w:t>
      </w:r>
      <w:r>
        <w:rPr>
          <w:sz w:val="21"/>
          <w:szCs w:val="21"/>
        </w:rPr>
        <w:t>侧重区域内部生态空间的保护与生态产品供给，三元结构中的生态则指西藏为国家守护的生态安全屏障，以国家规划目标等外部要求为尺度，服务范围超出区域自身；边疆安全不属于人地关系范畴，在三生分类中没有对应位置。岳文泽等</w:t>
      </w:r>
      <w:r>
        <w:rPr>
          <w:sz w:val="21"/>
          <w:szCs w:val="21"/>
          <w:vertAlign w:val="superscript"/>
        </w:rPr>
        <w:t>[34]</w:t>
      </w:r>
      <w:r>
        <w:rPr>
          <w:sz w:val="21"/>
          <w:szCs w:val="21"/>
        </w:rPr>
        <w:t>也指出，国土空间往往存在超出</w:t>
      </w:r>
      <w:r>
        <w:rPr>
          <w:rFonts w:hint="eastAsia"/>
          <w:sz w:val="21"/>
          <w:szCs w:val="21"/>
        </w:rPr>
        <w:t>“</w:t>
      </w:r>
      <w:r>
        <w:rPr>
          <w:sz w:val="21"/>
          <w:szCs w:val="21"/>
        </w:rPr>
        <w:t>三生</w:t>
      </w:r>
      <w:r>
        <w:rPr>
          <w:rFonts w:hint="eastAsia"/>
          <w:sz w:val="21"/>
          <w:szCs w:val="21"/>
        </w:rPr>
        <w:t>”</w:t>
      </w:r>
      <w:r>
        <w:rPr>
          <w:sz w:val="21"/>
          <w:szCs w:val="21"/>
        </w:rPr>
        <w:t>范畴的其他功能类别。因此，三元结构不能由三生划分替代，它正是针对承担特殊国家战略功能的区域所作的这类补充。</w:t>
      </w:r>
    </w:p>
    <w:p w14:paraId="654F5F65">
      <w:pPr>
        <w:ind w:firstLine="420"/>
        <w:jc w:val="both"/>
        <w:rPr>
          <w:sz w:val="21"/>
          <w:szCs w:val="21"/>
        </w:rPr>
      </w:pPr>
      <w:r>
        <w:rPr>
          <w:sz w:val="21"/>
          <w:szCs w:val="21"/>
        </w:rPr>
        <w:t>第二，三元结构既不增设第四类功能，也不合并现有三类。创新、协调、绿色、开放、共享是</w:t>
      </w:r>
      <w:r>
        <w:rPr>
          <w:rFonts w:hint="eastAsia"/>
          <w:sz w:val="21"/>
          <w:szCs w:val="21"/>
        </w:rPr>
        <w:t>“</w:t>
      </w:r>
      <w:r>
        <w:rPr>
          <w:sz w:val="21"/>
          <w:szCs w:val="21"/>
        </w:rPr>
        <w:t>发展</w:t>
      </w:r>
      <w:r>
        <w:rPr>
          <w:rFonts w:hint="eastAsia"/>
          <w:sz w:val="21"/>
          <w:szCs w:val="21"/>
        </w:rPr>
        <w:t>”</w:t>
      </w:r>
      <w:r>
        <w:rPr>
          <w:sz w:val="21"/>
          <w:szCs w:val="21"/>
        </w:rPr>
        <w:t>在约束之内的实现通道，归入发展子系统内部，并没有在区域与国家之间构成新的功能关系。它们与三元结构不在同一层次：绿色是发展方式的环境属性，生态屏障是国家赋予该区域的功能约束；共享是发展成果的分配方式，民生兜底是安全底线的构成部分，因而并不构成评价维度上的重复。</w:t>
      </w:r>
    </w:p>
    <w:p w14:paraId="310B933D">
      <w:pPr>
        <w:ind w:firstLine="420"/>
        <w:jc w:val="both"/>
        <w:rPr>
          <w:sz w:val="21"/>
          <w:szCs w:val="21"/>
        </w:rPr>
      </w:pPr>
      <w:r>
        <w:rPr>
          <w:sz w:val="21"/>
          <w:szCs w:val="21"/>
        </w:rPr>
        <w:t>第三，安全与生态也不能并入发展作加权求和，因为三者的结构性质不同：安全是不可突破的下界，生态是不可逾越的上界且其损害往往不可逆，发展则是可以连续调节的极大化对象。三者加权相加，隐含各维度之间存在恒定的边际替代率，即安全与生态的不足可由发展的超额表现等量抵偿，底线与上界的约束含义随之消失。因此，安全与生态在评价逻辑中是发展的下界与上界，不应被其他维度完全补偿抵消。这一约束性质在本文中以弱补偿性聚合近似刻画：下文构造的失衡惩罚型指数使子系统之间的短板难以被其他维度补偿；对底线失守的判别则需另设专项阈值。</w:t>
      </w:r>
    </w:p>
    <w:p w14:paraId="241C5411">
      <w:pPr>
        <w:ind w:firstLine="420"/>
        <w:jc w:val="both"/>
        <w:rPr>
          <w:sz w:val="21"/>
          <w:szCs w:val="21"/>
        </w:rPr>
      </w:pPr>
      <w:r>
        <w:rPr>
          <w:sz w:val="21"/>
          <w:szCs w:val="21"/>
        </w:rPr>
        <w:t>第四，这一结构与</w:t>
      </w:r>
      <w:r>
        <w:rPr>
          <w:rFonts w:hint="eastAsia"/>
          <w:sz w:val="21"/>
          <w:szCs w:val="21"/>
        </w:rPr>
        <w:t>“</w:t>
      </w:r>
      <w:r>
        <w:rPr>
          <w:sz w:val="21"/>
          <w:szCs w:val="21"/>
        </w:rPr>
        <w:t>安全公正空间</w:t>
      </w:r>
      <w:r>
        <w:rPr>
          <w:rFonts w:hint="eastAsia"/>
          <w:sz w:val="21"/>
          <w:szCs w:val="21"/>
        </w:rPr>
        <w:t>”</w:t>
      </w:r>
      <w:r>
        <w:rPr>
          <w:sz w:val="21"/>
          <w:szCs w:val="21"/>
        </w:rPr>
        <w:t>研究在形式上相通，但边界的来源不同</w:t>
      </w:r>
      <w:r>
        <w:rPr>
          <w:sz w:val="21"/>
          <w:szCs w:val="21"/>
          <w:vertAlign w:val="superscript"/>
        </w:rPr>
        <w:t>[12-13]</w:t>
      </w:r>
      <w:r>
        <w:rPr>
          <w:sz w:val="21"/>
          <w:szCs w:val="21"/>
        </w:rPr>
        <w:t>。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p>
    <w:p w14:paraId="6DD1DFE6">
      <w:pPr>
        <w:spacing w:before="160" w:after="80"/>
      </w:pPr>
      <w:r>
        <w:rPr>
          <w:rFonts w:eastAsia="黑体"/>
          <w:b/>
          <w:bCs/>
          <w:sz w:val="21"/>
          <w:szCs w:val="21"/>
        </w:rPr>
        <w:t>（三）三元结构发展模型</w:t>
      </w:r>
    </w:p>
    <w:p w14:paraId="27875E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0F4466DA">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w:t>
      </w:r>
    </w:p>
    <w:p w14:paraId="4E2A822D">
      <w:pPr>
        <w:ind w:firstLine="420"/>
        <w:jc w:val="both"/>
        <w:rPr>
          <w:sz w:val="21"/>
          <w:szCs w:val="21"/>
        </w:rPr>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的兜底作用与生态的边界作用也最容易被传统框架忽略，或被简化为发展的附属指标，因此西藏是这一模型最具解释价值的现实原型。图1标示了安全（S）、发展（D）、生态（E）三者的约束关系，以及下文H1</w:t>
      </w:r>
      <w:r>
        <w:rPr>
          <w:rFonts w:hint="eastAsia"/>
          <w:sz w:val="21"/>
          <w:szCs w:val="21"/>
        </w:rPr>
        <w:t>—</w:t>
      </w:r>
      <w:r>
        <w:rPr>
          <w:sz w:val="21"/>
          <w:szCs w:val="21"/>
        </w:rPr>
        <w:t>H3三项分析命题在框架中的位置。</w:t>
      </w:r>
    </w:p>
    <w:p w14:paraId="4FD0CF0A">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18A3928B">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5639A527">
      <w:pPr>
        <w:spacing w:after="140"/>
        <w:jc w:val="both"/>
      </w:pPr>
      <w:r>
        <w:rPr>
          <w:sz w:val="18"/>
          <w:szCs w:val="18"/>
        </w:rPr>
        <w:t>注：S表示安全，D表示发展，E表示生态；H1、H2、H3为本文提出的三项分析命题。</w:t>
      </w:r>
    </w:p>
    <w:p w14:paraId="47E2D172">
      <w:pPr>
        <w:spacing w:before="160" w:after="80"/>
      </w:pPr>
      <w:r>
        <w:rPr>
          <w:rFonts w:eastAsia="黑体"/>
          <w:b/>
          <w:bCs/>
          <w:sz w:val="21"/>
          <w:szCs w:val="21"/>
        </w:rPr>
        <w:t>（四）作用机制与分析命题</w:t>
      </w:r>
    </w:p>
    <w:p w14:paraId="6389E851">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条分析命题。需要说明的是，本文的数据结构为单一地区十个年度观测且无对照组，不具备因果识别条件，因此这三条命题的作用是界定测度所要回答的内容，而不是接受统计检验：H1与H2用于交代三个子系统之间的结构关联，其经验含义有待后续以中介变量或面板数据识别；H3对应下文测度结果所要刻画的短板动态，测度可以显示短板是否发生转移，但这属于描述性判断。</w:t>
      </w:r>
    </w:p>
    <w:p w14:paraId="3CA24677">
      <w:pPr>
        <w:ind w:firstLine="420"/>
        <w:jc w:val="both"/>
      </w:pPr>
      <w:r>
        <w:rPr>
          <w:sz w:val="21"/>
          <w:szCs w:val="21"/>
        </w:rPr>
        <w:t>命题H1（安全的降成本机制）：安全子系统通过稳定社会预期、夯实民生兜底与公共服务均等化，有助于降低制度风险、交易成本与发展的社会摩擦成本，从而在既定要素投入下取得更高的发展效率。</w:t>
      </w:r>
    </w:p>
    <w:p w14:paraId="3876114E">
      <w:pPr>
        <w:ind w:firstLine="420"/>
        <w:jc w:val="both"/>
      </w:pPr>
      <w:r>
        <w:rPr>
          <w:sz w:val="21"/>
          <w:szCs w:val="21"/>
        </w:rPr>
        <w:t>命题H2（生态的价值转化机制）：生态对发展的作用，取决于地理势能向经济动能转化的通道是否畅通。西藏的生态优势根植于高海拔和垂直地理格局，由此形成水利势能、光伏效率与温差储能等</w:t>
      </w:r>
      <w:r>
        <w:rPr>
          <w:rFonts w:hint="eastAsia"/>
          <w:sz w:val="21"/>
          <w:szCs w:val="21"/>
        </w:rPr>
        <w:t>“</w:t>
      </w:r>
      <w:r>
        <w:rPr>
          <w:sz w:val="21"/>
          <w:szCs w:val="21"/>
        </w:rPr>
        <w:t>地理势能</w:t>
      </w:r>
      <w:r>
        <w:rPr>
          <w:rFonts w:hint="eastAsia"/>
          <w:sz w:val="21"/>
          <w:szCs w:val="21"/>
        </w:rPr>
        <w:t>”</w:t>
      </w:r>
      <w:r>
        <w:rPr>
          <w:sz w:val="21"/>
          <w:szCs w:val="21"/>
        </w:rPr>
        <w:t>禀赋</w:t>
      </w:r>
      <w:r>
        <w:rPr>
          <w:sz w:val="21"/>
          <w:szCs w:val="21"/>
          <w:vertAlign w:val="superscript"/>
        </w:rPr>
        <w:t>[36]</w:t>
      </w:r>
      <w:r>
        <w:rPr>
          <w:sz w:val="21"/>
          <w:szCs w:val="21"/>
        </w:rPr>
        <w:t>。随着清洁能源战略深化和特高压输电等技术进步，高海拔与垂直地理格局这一度被视为</w:t>
      </w:r>
      <w:r>
        <w:rPr>
          <w:rFonts w:hint="eastAsia"/>
          <w:sz w:val="21"/>
          <w:szCs w:val="21"/>
        </w:rPr>
        <w:t>“</w:t>
      </w:r>
      <w:r>
        <w:rPr>
          <w:sz w:val="21"/>
          <w:szCs w:val="21"/>
        </w:rPr>
        <w:t>地理劣势</w:t>
      </w:r>
      <w:r>
        <w:rPr>
          <w:rFonts w:hint="eastAsia"/>
          <w:sz w:val="21"/>
          <w:szCs w:val="21"/>
        </w:rPr>
        <w:t>”</w:t>
      </w:r>
      <w:r>
        <w:rPr>
          <w:sz w:val="21"/>
          <w:szCs w:val="21"/>
        </w:rPr>
        <w:t>的条件，正在转化为可开发的经济动能。据此可以预期：当藏电外送、生态文旅、碳汇交易等通道畅通时，生态与发展的关系可能由</w:t>
      </w:r>
      <w:r>
        <w:rPr>
          <w:rFonts w:hint="eastAsia"/>
          <w:sz w:val="21"/>
          <w:szCs w:val="21"/>
        </w:rPr>
        <w:t>“</w:t>
      </w:r>
      <w:r>
        <w:rPr>
          <w:sz w:val="21"/>
          <w:szCs w:val="21"/>
        </w:rPr>
        <w:t>约束关系</w:t>
      </w:r>
      <w:r>
        <w:rPr>
          <w:rFonts w:hint="eastAsia"/>
          <w:sz w:val="21"/>
          <w:szCs w:val="21"/>
        </w:rPr>
        <w:t>”</w:t>
      </w:r>
      <w:r>
        <w:rPr>
          <w:sz w:val="21"/>
          <w:szCs w:val="21"/>
        </w:rPr>
        <w:t>转为</w:t>
      </w:r>
      <w:r>
        <w:rPr>
          <w:rFonts w:hint="eastAsia"/>
          <w:sz w:val="21"/>
          <w:szCs w:val="21"/>
        </w:rPr>
        <w:t>“</w:t>
      </w:r>
      <w:r>
        <w:rPr>
          <w:sz w:val="21"/>
          <w:szCs w:val="21"/>
        </w:rPr>
        <w:t>协同关系</w:t>
      </w:r>
      <w:r>
        <w:rPr>
          <w:rFonts w:hint="eastAsia"/>
          <w:sz w:val="21"/>
          <w:szCs w:val="21"/>
        </w:rPr>
        <w:t>”</w:t>
      </w:r>
      <w:r>
        <w:rPr>
          <w:sz w:val="21"/>
          <w:szCs w:val="21"/>
        </w:rPr>
        <w:t>；通道不畅时，生态优势则可能长期停留在资源形态而难以进入经济循环，已有研究对生态屏障建设与农牧民生计资本积累之间互促关系的考察，也指向转化通道本身的重要性</w:t>
      </w:r>
      <w:r>
        <w:rPr>
          <w:sz w:val="21"/>
          <w:szCs w:val="21"/>
          <w:vertAlign w:val="superscript"/>
        </w:rPr>
        <w:t>[37]</w:t>
      </w:r>
      <w:r>
        <w:rPr>
          <w:sz w:val="21"/>
          <w:szCs w:val="21"/>
        </w:rPr>
        <w:t>。</w:t>
      </w:r>
    </w:p>
    <w:p w14:paraId="2482C184">
      <w:pPr>
        <w:ind w:firstLine="420"/>
        <w:jc w:val="both"/>
        <w:rPr>
          <w:sz w:val="21"/>
          <w:szCs w:val="21"/>
        </w:rPr>
      </w:pPr>
      <w:r>
        <w:rPr>
          <w:sz w:val="21"/>
          <w:szCs w:val="21"/>
        </w:rPr>
        <w:t>命题H3（短板的动态转移）：三元协调的相对短板并不固定于某一子系统，而是随三者改善速度的差异在安全、发展、生态之间发生转移，因此需要逐年识别，不能依赖单一年份的静态判断</w:t>
      </w:r>
      <w:r>
        <w:rPr>
          <w:rFonts w:hint="eastAsia"/>
          <w:sz w:val="21"/>
          <w:szCs w:val="21"/>
        </w:rPr>
        <w:t>。</w:t>
      </w:r>
    </w:p>
    <w:p w14:paraId="4746B92C">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7F3AAD1D">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作用机制链条与分析命题</w:t>
      </w:r>
    </w:p>
    <w:p w14:paraId="09103377">
      <w:pPr>
        <w:spacing w:after="140"/>
        <w:jc w:val="both"/>
      </w:pPr>
      <w:r>
        <w:rPr>
          <w:sz w:val="18"/>
          <w:szCs w:val="18"/>
        </w:rPr>
        <w:t>注：图中箭头表示结构性关联。</w:t>
      </w:r>
    </w:p>
    <w:p w14:paraId="4D930E82">
      <w:pPr>
        <w:spacing w:before="260" w:after="120"/>
      </w:pPr>
      <w:r>
        <w:rPr>
          <w:rFonts w:eastAsia="黑体"/>
          <w:b/>
          <w:bCs/>
          <w:sz w:val="28"/>
          <w:szCs w:val="28"/>
        </w:rPr>
        <w:t>三、指标体系、数据与方法</w:t>
      </w:r>
    </w:p>
    <w:p w14:paraId="1DA0667F">
      <w:pPr>
        <w:spacing w:before="160" w:after="80"/>
      </w:pPr>
      <w:r>
        <w:rPr>
          <w:rFonts w:eastAsia="黑体"/>
          <w:b/>
          <w:bCs/>
          <w:sz w:val="21"/>
          <w:szCs w:val="21"/>
        </w:rPr>
        <w:t>（一）指标体系构建</w:t>
      </w:r>
    </w:p>
    <w:p w14:paraId="2D88E4BD">
      <w:pPr>
        <w:ind w:firstLine="420"/>
        <w:jc w:val="both"/>
        <w:rPr>
          <w:sz w:val="21"/>
          <w:szCs w:val="21"/>
        </w:rPr>
      </w:pPr>
      <w:r>
        <w:rPr>
          <w:sz w:val="21"/>
          <w:szCs w:val="21"/>
        </w:rPr>
        <w:t>指标体系按</w:t>
      </w:r>
      <w:r>
        <w:rPr>
          <w:rFonts w:hint="eastAsia"/>
          <w:sz w:val="21"/>
          <w:szCs w:val="21"/>
        </w:rPr>
        <w:t>“</w:t>
      </w:r>
      <w:r>
        <w:rPr>
          <w:sz w:val="21"/>
          <w:szCs w:val="21"/>
        </w:rPr>
        <w:t>战略功能</w:t>
      </w:r>
      <w:r>
        <w:rPr>
          <w:rFonts w:hint="eastAsia"/>
          <w:sz w:val="21"/>
          <w:szCs w:val="21"/>
        </w:rPr>
        <w:t>—</w:t>
      </w:r>
      <w:r>
        <w:rPr>
          <w:sz w:val="21"/>
          <w:szCs w:val="21"/>
        </w:rPr>
        <w:t>理论构念</w:t>
      </w:r>
      <w:r>
        <w:rPr>
          <w:rFonts w:hint="eastAsia"/>
          <w:sz w:val="21"/>
          <w:szCs w:val="21"/>
        </w:rPr>
        <w:t>—</w:t>
      </w:r>
      <w:r>
        <w:rPr>
          <w:sz w:val="21"/>
          <w:szCs w:val="21"/>
        </w:rPr>
        <w:t>统计指标</w:t>
      </w:r>
      <w:r>
        <w:rPr>
          <w:rFonts w:hint="eastAsia"/>
          <w:sz w:val="21"/>
          <w:szCs w:val="21"/>
        </w:rPr>
        <w:t>”</w:t>
      </w:r>
      <w:r>
        <w:rPr>
          <w:sz w:val="21"/>
          <w:szCs w:val="21"/>
        </w:rPr>
        <w:t>的逐级映射构建：先由第二部分界定的三类功能确定各子系统所要刻画的内容，再为每个构念选取具有连续、公开、可比年度序列的统计指标。指标筛选时剔除了规模与质量信息重复的变量、方向存在结构性歧义的变量，以及公开数据缺失或统计口径不连续的变量。据此作如下处理：地区生产总值不再作为独立评价指标，仅用于计算外向度；第三产业增加值比重对高质量发展的作用方向难以单向判定，故不纳入综合测度；接待游客总人数用于表征文旅发展动能，纳入发展子系统；货物进出口总额以其占地区生产总值的比重衡量区域外向度。D5采用发电量总量而非人均值，原因在于清洁能源动能的经济意义主要体现为可外送的总体规模，人均化会削弱这一含义。经上述筛选，最终形成包含3个子系统、13项指标的评价体系。三个子系统的构念与指标对应分述如下。</w:t>
      </w:r>
    </w:p>
    <w:p w14:paraId="3B14E6E6">
      <w:pPr>
        <w:ind w:firstLine="420"/>
        <w:jc w:val="both"/>
        <w:rPr>
          <w:sz w:val="21"/>
          <w:szCs w:val="21"/>
        </w:rPr>
      </w:pPr>
      <w:r>
        <w:rPr>
          <w:sz w:val="21"/>
          <w:szCs w:val="21"/>
        </w:rPr>
        <w:t>需要说明的是，S2（城乡居民收入比与全国差距）与D2（农村居民人均收入相对全国水平）均由西藏与全国的城乡居民收入数据派生，两者在原始数据上存在交集。保留二者是因为其</w:t>
      </w:r>
      <w:r>
        <w:rPr>
          <w:rFonts w:hint="eastAsia"/>
          <w:sz w:val="21"/>
          <w:szCs w:val="21"/>
        </w:rPr>
        <w:t>测度内涵</w:t>
      </w:r>
      <w:r>
        <w:rPr>
          <w:sz w:val="21"/>
          <w:szCs w:val="21"/>
        </w:rPr>
        <w:t>指向不同：D2对应发展追赶的成果水平，S2对应城乡之间的分配均衡；但跨子系统的这一信息交集会拉近安全与发展两个子系统的取值，从而在一定程度上压低测得的失衡幅度。这是下文失衡惩罚项普遍偏小的可能来源之一，也是本文指标设计的一项已知约束。</w:t>
      </w:r>
    </w:p>
    <w:p w14:paraId="77BBEEE3">
      <w:pPr>
        <w:ind w:firstLine="420"/>
        <w:jc w:val="both"/>
        <w:rPr>
          <w:sz w:val="21"/>
          <w:szCs w:val="21"/>
        </w:rPr>
      </w:pPr>
      <w:r>
        <w:rPr>
          <w:sz w:val="21"/>
          <w:szCs w:val="21"/>
        </w:rPr>
        <w:t>安全子系统刻画边疆安全屏障功能的维系条件。本文所称</w:t>
      </w:r>
      <w:r>
        <w:rPr>
          <w:rFonts w:hint="eastAsia"/>
          <w:sz w:val="21"/>
          <w:szCs w:val="21"/>
        </w:rPr>
        <w:t>“</w:t>
      </w:r>
      <w:r>
        <w:rPr>
          <w:sz w:val="21"/>
          <w:szCs w:val="21"/>
        </w:rPr>
        <w:t>安全</w:t>
      </w:r>
      <w:r>
        <w:rPr>
          <w:rFonts w:hint="eastAsia"/>
          <w:sz w:val="21"/>
          <w:szCs w:val="21"/>
        </w:rPr>
        <w:t>”</w:t>
      </w:r>
      <w:r>
        <w:rPr>
          <w:sz w:val="21"/>
          <w:szCs w:val="21"/>
        </w:rPr>
        <w:t>，指稳定与强边所要求的边疆安全屏障功能及其持续维系能力。边防投入、基层治理、社会治安等更直接的变量缺乏连续、公开、可比的省级年度序列，因此本文转而观测能够反映该功能维系状况的制度性条件</w:t>
      </w:r>
      <w:r>
        <w:rPr>
          <w:rFonts w:hint="eastAsia"/>
          <w:sz w:val="21"/>
          <w:szCs w:val="21"/>
        </w:rPr>
        <w:t>，选取四项指标，</w:t>
      </w:r>
      <w:r>
        <w:rPr>
          <w:sz w:val="21"/>
          <w:szCs w:val="21"/>
        </w:rPr>
        <w:t>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w:t>
      </w:r>
      <w:r>
        <w:rPr>
          <w:sz w:val="21"/>
          <w:szCs w:val="21"/>
          <w:vertAlign w:val="superscript"/>
        </w:rPr>
        <w:t>[35]</w:t>
      </w:r>
      <w:r>
        <w:rPr>
          <w:sz w:val="21"/>
          <w:szCs w:val="21"/>
        </w:rPr>
        <w:t>。这四项指标与治藏方略</w:t>
      </w:r>
      <w:r>
        <w:rPr>
          <w:rFonts w:hint="eastAsia"/>
          <w:sz w:val="21"/>
          <w:szCs w:val="21"/>
        </w:rPr>
        <w:t>“</w:t>
      </w:r>
      <w:r>
        <w:rPr>
          <w:sz w:val="21"/>
          <w:szCs w:val="21"/>
        </w:rPr>
        <w:t>稳定</w:t>
      </w:r>
      <w:r>
        <w:rPr>
          <w:rFonts w:hint="eastAsia"/>
          <w:sz w:val="21"/>
          <w:szCs w:val="21"/>
        </w:rPr>
        <w:t>”“</w:t>
      </w:r>
      <w:r>
        <w:rPr>
          <w:sz w:val="21"/>
          <w:szCs w:val="21"/>
        </w:rPr>
        <w:t>强边</w:t>
      </w:r>
      <w:r>
        <w:rPr>
          <w:rFonts w:hint="eastAsia"/>
          <w:sz w:val="21"/>
          <w:szCs w:val="21"/>
        </w:rPr>
        <w:t>”</w:t>
      </w:r>
      <w:r>
        <w:rPr>
          <w:sz w:val="21"/>
          <w:szCs w:val="21"/>
        </w:rPr>
        <w:t>的任务内在相关；受统计口径限制，它们是该功能的间接代理而非直接度量。</w:t>
      </w:r>
    </w:p>
    <w:p w14:paraId="7E3F933B">
      <w:pPr>
        <w:ind w:firstLine="420"/>
        <w:jc w:val="both"/>
        <w:rPr>
          <w:sz w:val="21"/>
          <w:szCs w:val="21"/>
        </w:rPr>
      </w:pPr>
      <w:r>
        <w:rPr>
          <w:sz w:val="21"/>
          <w:szCs w:val="21"/>
        </w:rPr>
        <w:t>发展子系统刻画在安全底线与生态边界之间创造价值的成效，对应治藏方略的</w:t>
      </w:r>
      <w:r>
        <w:rPr>
          <w:rFonts w:hint="eastAsia"/>
          <w:sz w:val="21"/>
          <w:szCs w:val="21"/>
        </w:rPr>
        <w:t>“</w:t>
      </w:r>
      <w:r>
        <w:rPr>
          <w:sz w:val="21"/>
          <w:szCs w:val="21"/>
        </w:rPr>
        <w:t>发展</w:t>
      </w:r>
      <w:r>
        <w:rPr>
          <w:rFonts w:hint="eastAsia"/>
          <w:sz w:val="21"/>
          <w:szCs w:val="21"/>
        </w:rPr>
        <w:t>”</w:t>
      </w:r>
      <w:r>
        <w:rPr>
          <w:sz w:val="21"/>
          <w:szCs w:val="21"/>
        </w:rPr>
        <w:t>任务与高原经济高质量发展先行区建设要求，从追赶水平与发展动能两个层面选取五项指标。人均GDP相对全国水平（D1）衡量西藏相对全国的发展追赶程度，取相对值是为了让评价尺度对标国家整体水平；农村居民人均可支配收入相对全国水平（D2）衡量发展成果向农牧民的传导，农牧区是西藏收入追赶的关键环节。其余三项对应西藏发展动能的三个主要来源：外向度（D3）衡量依托边境口岸与对外通道的开放发展；人均接待游客（D4）衡量依托高原生态与民族文化资源的文旅动能；发电量（D5）衡量以水电、光伏为主体的清洁能源动能，即H2所说</w:t>
      </w:r>
      <w:r>
        <w:rPr>
          <w:rFonts w:hint="eastAsia"/>
          <w:sz w:val="21"/>
          <w:szCs w:val="21"/>
        </w:rPr>
        <w:t>“</w:t>
      </w:r>
      <w:r>
        <w:rPr>
          <w:sz w:val="21"/>
          <w:szCs w:val="21"/>
        </w:rPr>
        <w:t>地理势能</w:t>
      </w:r>
      <w:r>
        <w:rPr>
          <w:rFonts w:hint="eastAsia"/>
          <w:sz w:val="21"/>
          <w:szCs w:val="21"/>
        </w:rPr>
        <w:t>”</w:t>
      </w:r>
      <w:r>
        <w:rPr>
          <w:sz w:val="21"/>
          <w:szCs w:val="21"/>
        </w:rPr>
        <w:t>向经济动能转化的规模。D5与清洁能源相关，但衡量的是经济产出规模，因而计入发展子系统而非生态子系统，这一归类对结果的影响见第六部分。</w:t>
      </w:r>
    </w:p>
    <w:p w14:paraId="0995A28C">
      <w:pPr>
        <w:ind w:firstLine="420"/>
        <w:jc w:val="both"/>
        <w:rPr>
          <w:sz w:val="21"/>
          <w:szCs w:val="21"/>
        </w:rPr>
      </w:pPr>
      <w:r>
        <w:rPr>
          <w:sz w:val="21"/>
          <w:szCs w:val="21"/>
        </w:rPr>
        <w:t>生态子系统刻画生态安全屏障功能的守护程度。如第二部分所述，生态在三元结构中是发展不可逾越的上界，评价所测的是对这一边界的守护状况，而非生态产出的绝对水平，因此沿</w:t>
      </w:r>
      <w:r>
        <w:rPr>
          <w:rFonts w:hint="eastAsia"/>
          <w:sz w:val="21"/>
          <w:szCs w:val="21"/>
        </w:rPr>
        <w:t>“</w:t>
      </w:r>
      <w:r>
        <w:rPr>
          <w:sz w:val="21"/>
          <w:szCs w:val="21"/>
        </w:rPr>
        <w:t>生态本底</w:t>
      </w:r>
      <w:r>
        <w:rPr>
          <w:rFonts w:hint="eastAsia"/>
          <w:sz w:val="21"/>
          <w:szCs w:val="21"/>
        </w:rPr>
        <w:t>—</w:t>
      </w:r>
      <w:r>
        <w:rPr>
          <w:sz w:val="21"/>
          <w:szCs w:val="21"/>
        </w:rPr>
        <w:t>环境质量</w:t>
      </w:r>
      <w:r>
        <w:rPr>
          <w:rFonts w:hint="eastAsia"/>
          <w:sz w:val="21"/>
          <w:szCs w:val="21"/>
        </w:rPr>
        <w:t>—</w:t>
      </w:r>
      <w:r>
        <w:rPr>
          <w:sz w:val="21"/>
          <w:szCs w:val="21"/>
        </w:rPr>
        <w:t>开发压力</w:t>
      </w:r>
      <w:r>
        <w:rPr>
          <w:rFonts w:hint="eastAsia"/>
          <w:sz w:val="21"/>
          <w:szCs w:val="21"/>
        </w:rPr>
        <w:t>”</w:t>
      </w:r>
      <w:r>
        <w:rPr>
          <w:sz w:val="21"/>
          <w:szCs w:val="21"/>
        </w:rPr>
        <w:t>三个层面选取四项指标。森林覆盖率（E2）与草原综合植被盖度（E4）刻画高原生态系统的本底状况：草原是西藏面积最大的生态系统，森林集中分布于藏东南，二者是水源涵养、水土保持与生物多样性维护等屏障服务的主要载体，也是《西藏自治区</w:t>
      </w:r>
      <w:r>
        <w:rPr>
          <w:rFonts w:hint="eastAsia"/>
          <w:sz w:val="21"/>
          <w:szCs w:val="21"/>
        </w:rPr>
        <w:t>“</w:t>
      </w:r>
      <w:r>
        <w:rPr>
          <w:sz w:val="21"/>
          <w:szCs w:val="21"/>
        </w:rPr>
        <w:t>十四五</w:t>
      </w:r>
      <w:r>
        <w:rPr>
          <w:rFonts w:hint="eastAsia"/>
          <w:sz w:val="21"/>
          <w:szCs w:val="21"/>
        </w:rPr>
        <w:t>”</w:t>
      </w:r>
      <w:r>
        <w:rPr>
          <w:sz w:val="21"/>
          <w:szCs w:val="21"/>
        </w:rPr>
        <w:t>时期生态环境保护规划》设定了明确目标值的指标，因此以规划目标为标准化上限，使指数直接表达对国家要求的达成程度。空气质量优良天数比例（E3）刻画环境质量，反映大气环境能否保持优良水平。单位GDP能耗指数（E1）刻画发展活动对生态边界的资源消耗压力，能耗强度下降意味着以更小的资源环境代价实现同样的发展。湿地、水源涵养、冰川冻土与生物多样性等更直接反映屏障功能的变量，目前缺乏连续、公开、可比的年度序列，暂未纳入；与安全子系统相同，现有四项指标是生态屏障功能的主要代理而非完整度量。</w:t>
      </w:r>
    </w:p>
    <w:p w14:paraId="7FC87E8F">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135ADB2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AC3D25">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B27E65">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DA7CD3F">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79BABD">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FD97C2">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4B3E909">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FFC5F9">
            <w:pPr>
              <w:spacing w:line="240" w:lineRule="auto"/>
              <w:jc w:val="center"/>
            </w:pPr>
            <w:r>
              <w:rPr>
                <w:b/>
                <w:bCs/>
                <w:sz w:val="18"/>
                <w:szCs w:val="18"/>
              </w:rPr>
              <w:t>标准化基准（下限，上限）</w:t>
            </w:r>
          </w:p>
        </w:tc>
      </w:tr>
      <w:tr w14:paraId="2A392B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F95CD52">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50F28314">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029B6A4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1F485792">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35543D9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CC2B50">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62A68B41">
            <w:pPr>
              <w:spacing w:line="240" w:lineRule="auto"/>
              <w:jc w:val="center"/>
            </w:pPr>
            <w:r>
              <w:rPr>
                <w:sz w:val="18"/>
                <w:szCs w:val="18"/>
              </w:rPr>
              <w:t>(0, 12000)，见说明①</w:t>
            </w:r>
          </w:p>
        </w:tc>
      </w:tr>
      <w:tr w14:paraId="574DCC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E4F8D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7CE44AE6">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5D1A4586">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53EA1C2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57467196">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44805F88">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0BDDCEA8">
            <w:pPr>
              <w:spacing w:line="240" w:lineRule="auto"/>
              <w:jc w:val="center"/>
            </w:pPr>
            <w:r>
              <w:rPr>
                <w:sz w:val="18"/>
                <w:szCs w:val="18"/>
              </w:rPr>
              <w:t>(</w:t>
            </w:r>
            <w:r>
              <w:rPr>
                <w:rFonts w:hint="eastAsia"/>
                <w:sz w:val="18"/>
                <w:szCs w:val="18"/>
              </w:rPr>
              <w:t>-</w:t>
            </w:r>
            <w:r>
              <w:rPr>
                <w:sz w:val="18"/>
                <w:szCs w:val="18"/>
              </w:rPr>
              <w:t>1, 2)</w:t>
            </w:r>
          </w:p>
        </w:tc>
      </w:tr>
      <w:tr w14:paraId="5F0DF3E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EA10564">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258C73C">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02E036F2">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6EA895D6">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4892E3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DBF3ED0">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1CD97FF1">
            <w:pPr>
              <w:spacing w:line="240" w:lineRule="auto"/>
              <w:jc w:val="center"/>
            </w:pPr>
            <w:r>
              <w:rPr>
                <w:sz w:val="18"/>
                <w:szCs w:val="18"/>
              </w:rPr>
              <w:t>(0, 1200)</w:t>
            </w:r>
          </w:p>
        </w:tc>
      </w:tr>
      <w:tr w14:paraId="7A6C593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551C27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1C9E7D97">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0744D756">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7705AAAC">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F717D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FEF0C9F">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00C40123">
            <w:pPr>
              <w:spacing w:line="240" w:lineRule="auto"/>
              <w:jc w:val="center"/>
            </w:pPr>
            <w:r>
              <w:rPr>
                <w:sz w:val="18"/>
                <w:szCs w:val="18"/>
              </w:rPr>
              <w:t>(0, 100)</w:t>
            </w:r>
          </w:p>
        </w:tc>
      </w:tr>
      <w:tr w14:paraId="111ECAF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9A80B2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2EC0603C">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2538B6D0">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0BCA1B50">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6386860E">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AD1B78E">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1A7B8EB7">
            <w:pPr>
              <w:spacing w:line="240" w:lineRule="auto"/>
              <w:jc w:val="center"/>
            </w:pPr>
            <w:r>
              <w:rPr>
                <w:sz w:val="18"/>
                <w:szCs w:val="18"/>
              </w:rPr>
              <w:t>(0, 100)</w:t>
            </w:r>
          </w:p>
        </w:tc>
      </w:tr>
      <w:tr w14:paraId="2EAA42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55C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B161CA0">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3A54EA29">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66A7FE09">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55C982A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EA5086C">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0C40D7FA">
            <w:pPr>
              <w:spacing w:line="240" w:lineRule="auto"/>
              <w:jc w:val="center"/>
            </w:pPr>
            <w:r>
              <w:rPr>
                <w:sz w:val="18"/>
                <w:szCs w:val="18"/>
              </w:rPr>
              <w:t>(0, 100)</w:t>
            </w:r>
          </w:p>
        </w:tc>
      </w:tr>
      <w:tr w14:paraId="316A9F9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4D54A6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594D50C">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09BDEF9A">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569D89F0">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74C18F5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0A587BA">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2954B32D">
            <w:pPr>
              <w:spacing w:line="240" w:lineRule="auto"/>
              <w:jc w:val="center"/>
            </w:pPr>
            <w:r>
              <w:rPr>
                <w:sz w:val="18"/>
                <w:szCs w:val="18"/>
              </w:rPr>
              <w:t>(0, 10)</w:t>
            </w:r>
          </w:p>
        </w:tc>
      </w:tr>
      <w:tr w14:paraId="083048A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278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6420B04">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1EAD688E">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7D90C9BA">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3697E2F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EB54C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0E204CD5">
            <w:pPr>
              <w:spacing w:line="240" w:lineRule="auto"/>
              <w:jc w:val="center"/>
            </w:pPr>
            <w:r>
              <w:rPr>
                <w:sz w:val="18"/>
                <w:szCs w:val="18"/>
              </w:rPr>
              <w:t>(0, 25)</w:t>
            </w:r>
          </w:p>
        </w:tc>
      </w:tr>
      <w:tr w14:paraId="43F0D1F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F5F9D6F">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2278DB4">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52741F30">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4BDD4463">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02955C8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70BD40E">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5BD2E039">
            <w:pPr>
              <w:spacing w:line="240" w:lineRule="auto"/>
              <w:jc w:val="center"/>
            </w:pPr>
            <w:r>
              <w:rPr>
                <w:sz w:val="18"/>
                <w:szCs w:val="18"/>
              </w:rPr>
              <w:t>(0, 200)</w:t>
            </w:r>
          </w:p>
        </w:tc>
      </w:tr>
      <w:tr w14:paraId="1FED2E4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8B3896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6AAA4539">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212E86A2">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10EFB00C">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64182DE">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2A465591">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674D6A20">
            <w:pPr>
              <w:spacing w:line="240" w:lineRule="auto"/>
              <w:jc w:val="center"/>
            </w:pPr>
            <w:r>
              <w:rPr>
                <w:sz w:val="18"/>
                <w:szCs w:val="18"/>
              </w:rPr>
              <w:t>(60, 100)</w:t>
            </w:r>
          </w:p>
        </w:tc>
      </w:tr>
      <w:tr w14:paraId="6C828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915662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4FC085B">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3D97B61">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95EF681">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5B238A8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D864ACF">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23F0EB60">
            <w:pPr>
              <w:spacing w:line="240" w:lineRule="auto"/>
              <w:jc w:val="center"/>
            </w:pPr>
            <w:r>
              <w:rPr>
                <w:sz w:val="18"/>
                <w:szCs w:val="18"/>
              </w:rPr>
              <w:t>(11.98, 12.51)，见说明②</w:t>
            </w:r>
          </w:p>
        </w:tc>
      </w:tr>
      <w:tr w14:paraId="21BDFE3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63E33F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B5BD381">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CCE0117">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560C8155">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38CA79A3">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AA9414C">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5A3AEDB4">
            <w:pPr>
              <w:spacing w:line="240" w:lineRule="auto"/>
              <w:jc w:val="center"/>
            </w:pPr>
            <w:r>
              <w:rPr>
                <w:sz w:val="18"/>
                <w:szCs w:val="18"/>
              </w:rPr>
              <w:t>(0, 100)</w:t>
            </w:r>
          </w:p>
        </w:tc>
      </w:tr>
      <w:tr w14:paraId="73FE26F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10CE4612">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5462DBF5">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6F9D216A">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7A17D06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7EA3B53E">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96D0F05">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17E62AA1">
            <w:pPr>
              <w:spacing w:line="240" w:lineRule="auto"/>
              <w:jc w:val="center"/>
            </w:pPr>
            <w:r>
              <w:rPr>
                <w:sz w:val="18"/>
                <w:szCs w:val="18"/>
              </w:rPr>
              <w:t>(42.3, 50)，见说明②</w:t>
            </w:r>
          </w:p>
        </w:tc>
      </w:tr>
    </w:tbl>
    <w:p w14:paraId="7829F90B">
      <w:pPr>
        <w:spacing w:before="30" w:after="140"/>
        <w:rPr>
          <w:sz w:val="18"/>
          <w:szCs w:val="18"/>
        </w:rPr>
      </w:pPr>
      <w:r>
        <w:rPr>
          <w:sz w:val="18"/>
          <w:szCs w:val="18"/>
        </w:rPr>
        <w:t>注：</w:t>
      </w:r>
      <w:r>
        <w:rPr>
          <w:rFonts w:ascii="Cambria Math" w:hAnsi="Cambria Math" w:cs="Cambria Math"/>
          <w:sz w:val="18"/>
          <w:szCs w:val="18"/>
        </w:rPr>
        <w:t>①</w:t>
      </w:r>
      <w:r>
        <w:rPr>
          <w:sz w:val="18"/>
          <w:szCs w:val="18"/>
        </w:rPr>
        <w:t>S1、S3、D3、D4、D5五项缺乏可对标的外部政策或统计目标值，上限改用</w:t>
      </w:r>
      <w:r>
        <w:rPr>
          <w:rFonts w:hint="eastAsia"/>
          <w:sz w:val="18"/>
          <w:szCs w:val="18"/>
        </w:rPr>
        <w:t>“</w:t>
      </w:r>
      <w:r>
        <w:rPr>
          <w:sz w:val="18"/>
          <w:szCs w:val="18"/>
        </w:rPr>
        <w:t>0为下限、样本期观测最大值预留余量并取整</w:t>
      </w:r>
      <w:r>
        <w:rPr>
          <w:rFonts w:hint="eastAsia"/>
          <w:sz w:val="18"/>
          <w:szCs w:val="18"/>
        </w:rPr>
        <w:t>”</w:t>
      </w:r>
      <w:r>
        <w:rPr>
          <w:sz w:val="18"/>
          <w:szCs w:val="18"/>
        </w:rPr>
        <w:t>的惯例设定，相对各自观测最大值的倍数在1.23</w:t>
      </w:r>
      <w:r>
        <w:rPr>
          <w:rFonts w:hint="eastAsia"/>
          <w:sz w:val="18"/>
          <w:szCs w:val="18"/>
        </w:rPr>
        <w:t>—</w:t>
      </w:r>
      <w:r>
        <w:rPr>
          <w:sz w:val="18"/>
          <w:szCs w:val="18"/>
        </w:rPr>
        <w:t>2.20倍之间，非外部实证基准。</w:t>
      </w:r>
      <w:r>
        <w:rPr>
          <w:rFonts w:ascii="Cambria Math" w:hAnsi="Cambria Math" w:cs="Cambria Math"/>
          <w:sz w:val="18"/>
          <w:szCs w:val="18"/>
        </w:rPr>
        <w:t>②</w:t>
      </w:r>
      <w:r>
        <w:rPr>
          <w:sz w:val="18"/>
          <w:szCs w:val="18"/>
        </w:rPr>
        <w:t>E2、E4的基准取自《西藏自治区</w:t>
      </w:r>
      <w:r>
        <w:rPr>
          <w:rFonts w:hint="eastAsia"/>
          <w:sz w:val="18"/>
          <w:szCs w:val="18"/>
        </w:rPr>
        <w:t>“</w:t>
      </w:r>
      <w:r>
        <w:rPr>
          <w:sz w:val="18"/>
          <w:szCs w:val="18"/>
        </w:rPr>
        <w:t>十四五</w:t>
      </w:r>
      <w:r>
        <w:rPr>
          <w:rFonts w:hint="eastAsia"/>
          <w:sz w:val="18"/>
          <w:szCs w:val="18"/>
        </w:rPr>
        <w:t>”</w:t>
      </w:r>
      <w:r>
        <w:rPr>
          <w:sz w:val="18"/>
          <w:szCs w:val="18"/>
        </w:rPr>
        <w:t>时期生态环境保护规划》指标表：森林覆盖率2020年基线12.31%、2025年目标12.51%，草原综合植被盖度2020年基线47.14%、2025年目标50%。下限取样本首年（2016年）实测值而非规划基线年，以保留2016</w:t>
      </w:r>
      <w:r>
        <w:rPr>
          <w:rFonts w:hint="eastAsia"/>
          <w:sz w:val="18"/>
          <w:szCs w:val="18"/>
        </w:rPr>
        <w:t>—</w:t>
      </w:r>
      <w:r>
        <w:rPr>
          <w:sz w:val="18"/>
          <w:szCs w:val="18"/>
        </w:rPr>
        <w:t>2019年的区分度；上限取规划目标值。</w:t>
      </w:r>
      <w:r>
        <w:rPr>
          <w:rFonts w:ascii="Cambria Math" w:hAnsi="Cambria Math" w:cs="Cambria Math"/>
          <w:sz w:val="18"/>
          <w:szCs w:val="18"/>
        </w:rPr>
        <w:t>③</w:t>
      </w:r>
      <w:r>
        <w:rPr>
          <w:sz w:val="18"/>
          <w:szCs w:val="18"/>
        </w:rPr>
        <w:t>D5为统计公报</w:t>
      </w:r>
      <w:r>
        <w:rPr>
          <w:rFonts w:hint="eastAsia"/>
          <w:sz w:val="18"/>
          <w:szCs w:val="18"/>
        </w:rPr>
        <w:t>“</w:t>
      </w:r>
      <w:r>
        <w:rPr>
          <w:sz w:val="18"/>
          <w:szCs w:val="18"/>
        </w:rPr>
        <w:t>规上工业主要产品产量</w:t>
      </w:r>
      <w:r>
        <w:rPr>
          <w:rFonts w:hint="eastAsia"/>
          <w:sz w:val="18"/>
          <w:szCs w:val="18"/>
        </w:rPr>
        <w:t>”</w:t>
      </w:r>
      <w:r>
        <w:rPr>
          <w:sz w:val="18"/>
          <w:szCs w:val="18"/>
        </w:rPr>
        <w:t>所载发电量，属规上工业口径，与第四部分讨论的清洁能源发电量口径不同，因清洁能源占比超过99%，二者接近但不等同。</w:t>
      </w:r>
      <w:r>
        <w:rPr>
          <w:rFonts w:ascii="Cambria Math" w:hAnsi="Cambria Math" w:cs="Cambria Math"/>
          <w:sz w:val="18"/>
          <w:szCs w:val="18"/>
        </w:rPr>
        <w:t>④</w:t>
      </w:r>
      <w:r>
        <w:rPr>
          <w:sz w:val="18"/>
          <w:szCs w:val="18"/>
        </w:rPr>
        <w:t>上限设定的扰动检验与E2的封顶效应见下文稳健性检验。</w:t>
      </w:r>
    </w:p>
    <w:p w14:paraId="7D440C0F">
      <w:pPr>
        <w:spacing w:before="160" w:after="80"/>
      </w:pPr>
      <w:r>
        <w:rPr>
          <w:rFonts w:eastAsia="黑体"/>
          <w:b/>
          <w:bCs/>
          <w:sz w:val="21"/>
          <w:szCs w:val="21"/>
        </w:rPr>
        <w:t>（二）数据来源与处理</w:t>
      </w:r>
    </w:p>
    <w:p w14:paraId="368F9F66">
      <w:pPr>
        <w:ind w:firstLine="420"/>
        <w:jc w:val="both"/>
        <w:rPr>
          <w:sz w:val="21"/>
          <w:szCs w:val="21"/>
        </w:rPr>
      </w:pPr>
      <w:r>
        <w:rPr>
          <w:sz w:val="21"/>
          <w:szCs w:val="21"/>
        </w:rPr>
        <w:t>本文以2016</w:t>
      </w:r>
      <w:r>
        <w:rPr>
          <w:rFonts w:hint="eastAsia"/>
          <w:sz w:val="21"/>
          <w:szCs w:val="21"/>
        </w:rPr>
        <w:t>—</w:t>
      </w:r>
      <w:r>
        <w:rPr>
          <w:sz w:val="21"/>
          <w:szCs w:val="21"/>
        </w:rPr>
        <w:t>2025年为研究期，覆盖</w:t>
      </w:r>
      <w:r>
        <w:rPr>
          <w:rFonts w:hint="eastAsia"/>
          <w:sz w:val="21"/>
          <w:szCs w:val="21"/>
        </w:rPr>
        <w:t>“</w:t>
      </w:r>
      <w:r>
        <w:rPr>
          <w:sz w:val="21"/>
          <w:szCs w:val="21"/>
        </w:rPr>
        <w:t>十三五</w:t>
      </w:r>
      <w:r>
        <w:rPr>
          <w:rFonts w:hint="eastAsia"/>
          <w:sz w:val="21"/>
          <w:szCs w:val="21"/>
        </w:rPr>
        <w:t>”</w:t>
      </w:r>
      <w:r>
        <w:rPr>
          <w:sz w:val="21"/>
          <w:szCs w:val="21"/>
        </w:rPr>
        <w:t>和</w:t>
      </w:r>
      <w:r>
        <w:rPr>
          <w:rFonts w:hint="eastAsia"/>
          <w:sz w:val="21"/>
          <w:szCs w:val="21"/>
        </w:rPr>
        <w:t>“</w:t>
      </w:r>
      <w:r>
        <w:rPr>
          <w:sz w:val="21"/>
          <w:szCs w:val="21"/>
        </w:rPr>
        <w:t>十四五</w:t>
      </w:r>
      <w:r>
        <w:rPr>
          <w:rFonts w:hint="eastAsia"/>
          <w:sz w:val="21"/>
          <w:szCs w:val="21"/>
        </w:rPr>
        <w:t>”</w:t>
      </w:r>
      <w:r>
        <w:rPr>
          <w:sz w:val="21"/>
          <w:szCs w:val="21"/>
        </w:rPr>
        <w:t>两个规划周期。原始数据主要来源于历年《西藏自治区国民经济和社会发展统计公报》</w:t>
      </w:r>
      <w:r>
        <w:rPr>
          <w:sz w:val="21"/>
          <w:szCs w:val="21"/>
          <w:vertAlign w:val="superscript"/>
        </w:rPr>
        <w:t>[38]</w:t>
      </w:r>
      <w:r>
        <w:rPr>
          <w:sz w:val="21"/>
          <w:szCs w:val="21"/>
        </w:rPr>
        <w:t>、《西藏统计年鉴》</w:t>
      </w:r>
      <w:r>
        <w:rPr>
          <w:sz w:val="21"/>
          <w:szCs w:val="21"/>
          <w:vertAlign w:val="superscript"/>
        </w:rPr>
        <w:t>[39]</w:t>
      </w:r>
      <w:r>
        <w:rPr>
          <w:sz w:val="21"/>
          <w:szCs w:val="21"/>
        </w:rPr>
        <w:t>、《中国统计年鉴》</w:t>
      </w:r>
      <w:r>
        <w:rPr>
          <w:sz w:val="21"/>
          <w:szCs w:val="21"/>
          <w:vertAlign w:val="superscript"/>
        </w:rPr>
        <w:t>[40]</w:t>
      </w:r>
      <w:r>
        <w:rPr>
          <w:sz w:val="21"/>
          <w:szCs w:val="21"/>
        </w:rPr>
        <w:t>、《西藏自治区生态环境状况公报》</w:t>
      </w:r>
      <w:r>
        <w:rPr>
          <w:sz w:val="21"/>
          <w:szCs w:val="21"/>
          <w:vertAlign w:val="superscript"/>
        </w:rPr>
        <w:t>[41]</w:t>
      </w:r>
      <w:r>
        <w:rPr>
          <w:sz w:val="21"/>
          <w:szCs w:val="21"/>
        </w:rPr>
        <w:t>，以及财政、能源、文旅等部门公开发布的统计资料。其中，2025年度数据尚未收入相应年鉴，西藏部分取自当年统计公报，全国部分取自《中国统计摘要2026》。为统一指标标准化的参照尺度，本文选取西藏历年常住人口、全国农村与城镇居民人均可支配收入及《西藏自治区</w:t>
      </w:r>
      <w:r>
        <w:rPr>
          <w:rFonts w:hint="eastAsia"/>
          <w:sz w:val="21"/>
          <w:szCs w:val="21"/>
        </w:rPr>
        <w:t>“</w:t>
      </w:r>
      <w:r>
        <w:rPr>
          <w:sz w:val="21"/>
          <w:szCs w:val="21"/>
        </w:rPr>
        <w:t>十四五</w:t>
      </w:r>
      <w:r>
        <w:rPr>
          <w:rFonts w:hint="eastAsia"/>
          <w:sz w:val="21"/>
          <w:szCs w:val="21"/>
        </w:rPr>
        <w:t>”</w:t>
      </w:r>
      <w:r>
        <w:rPr>
          <w:sz w:val="21"/>
          <w:szCs w:val="21"/>
        </w:rPr>
        <w:t>时期生态环境保护规划》等相关数据作为外部参考。13项主体指标及外部参考数据均依据公开资料整理或直接计算，其中，用于人均化与相对全国水平处理的</w:t>
      </w:r>
      <w:r>
        <w:rPr>
          <w:rFonts w:hint="eastAsia"/>
          <w:sz w:val="21"/>
          <w:szCs w:val="21"/>
        </w:rPr>
        <w:t>四</w:t>
      </w:r>
      <w:r>
        <w:rPr>
          <w:sz w:val="21"/>
          <w:szCs w:val="21"/>
        </w:rPr>
        <w:t>项辅助基础序列见</w:t>
      </w:r>
      <w:r>
        <w:rPr>
          <w:rFonts w:hint="eastAsia"/>
          <w:sz w:val="21"/>
          <w:szCs w:val="21"/>
          <w:highlight w:val="yellow"/>
        </w:rPr>
        <w:t>附表</w:t>
      </w:r>
      <w:r>
        <w:rPr>
          <w:sz w:val="21"/>
          <w:szCs w:val="21"/>
          <w:highlight w:val="yellow"/>
        </w:rPr>
        <w:t>A2</w:t>
      </w:r>
      <w:r>
        <w:rPr>
          <w:rFonts w:hint="eastAsia"/>
          <w:sz w:val="21"/>
          <w:szCs w:val="21"/>
          <w:highlight w:val="yellow"/>
        </w:rPr>
        <w:t>。</w:t>
      </w:r>
    </w:p>
    <w:p w14:paraId="3EE2E0F3">
      <w:pPr>
        <w:ind w:firstLine="420"/>
        <w:jc w:val="both"/>
        <w:rPr>
          <w:sz w:val="21"/>
          <w:szCs w:val="21"/>
        </w:rPr>
      </w:pPr>
      <w:r>
        <w:rPr>
          <w:sz w:val="21"/>
          <w:szCs w:val="21"/>
        </w:rPr>
        <w:t>E2、E4的标准化上限取自</w:t>
      </w:r>
      <w:r>
        <w:rPr>
          <w:rFonts w:hint="eastAsia"/>
          <w:sz w:val="21"/>
          <w:szCs w:val="21"/>
        </w:rPr>
        <w:t>“</w:t>
      </w:r>
      <w:r>
        <w:rPr>
          <w:sz w:val="21"/>
          <w:szCs w:val="21"/>
        </w:rPr>
        <w:t>十四五</w:t>
      </w:r>
      <w:r>
        <w:rPr>
          <w:rFonts w:hint="eastAsia"/>
          <w:sz w:val="21"/>
          <w:szCs w:val="21"/>
        </w:rPr>
        <w:t>”</w:t>
      </w:r>
      <w:r>
        <w:rPr>
          <w:sz w:val="21"/>
          <w:szCs w:val="21"/>
        </w:rPr>
        <w:t>生态环境保护规划的目标值，而13项指标2016</w:t>
      </w:r>
      <w:r>
        <w:rPr>
          <w:rFonts w:hint="eastAsia"/>
          <w:sz w:val="21"/>
          <w:szCs w:val="21"/>
        </w:rPr>
        <w:t>—</w:t>
      </w:r>
      <w:r>
        <w:rPr>
          <w:sz w:val="21"/>
          <w:szCs w:val="21"/>
        </w:rPr>
        <w:t>2025年的取值均为官方已发布的实际统计值，未以规划目标替代。地区生产总值采用含第五次全国经济普查修订的最新核算口径，与各年度统计公报的初步核算数不同，例如2023年修订后为2532.86亿元，公报数为2392.67亿元；D1、D3两项指标据此计算，其余指标取官方最新公布值。</w:t>
      </w:r>
    </w:p>
    <w:p w14:paraId="20DC9C67">
      <w:pPr>
        <w:spacing w:before="160" w:after="80"/>
      </w:pPr>
      <w:r>
        <w:rPr>
          <w:rFonts w:eastAsia="黑体"/>
          <w:b/>
          <w:bCs/>
          <w:sz w:val="21"/>
          <w:szCs w:val="21"/>
        </w:rPr>
        <w:t>（三）固定基准标准化</w:t>
      </w:r>
    </w:p>
    <w:p w14:paraId="4A68D1E4">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w:t>
      </w:r>
      <w:r>
        <w:rPr>
          <w:rFonts w:hint="eastAsia"/>
          <w:sz w:val="21"/>
          <w:szCs w:val="21"/>
        </w:rPr>
        <w:t>“</w:t>
      </w:r>
      <w:r>
        <w:rPr>
          <w:sz w:val="21"/>
          <w:szCs w:val="21"/>
        </w:rPr>
        <w:t>好</w:t>
      </w:r>
      <w:r>
        <w:rPr>
          <w:rFonts w:hint="eastAsia"/>
          <w:sz w:val="21"/>
          <w:szCs w:val="21"/>
        </w:rPr>
        <w:t>”</w:t>
      </w:r>
      <w:r>
        <w:rPr>
          <w:sz w:val="21"/>
          <w:szCs w:val="21"/>
        </w:rPr>
        <w:t>或</w:t>
      </w:r>
      <w:r>
        <w:rPr>
          <w:rFonts w:hint="eastAsia"/>
          <w:sz w:val="21"/>
          <w:szCs w:val="21"/>
        </w:rPr>
        <w:t>“</w:t>
      </w:r>
      <w:r>
        <w:rPr>
          <w:sz w:val="21"/>
          <w:szCs w:val="21"/>
        </w:rPr>
        <w:t>差</w:t>
      </w:r>
      <w:r>
        <w:rPr>
          <w:rFonts w:hint="eastAsia"/>
          <w:sz w:val="21"/>
          <w:szCs w:val="21"/>
        </w:rPr>
        <w:t>”</w:t>
      </w:r>
      <w:r>
        <w:rPr>
          <w:sz w:val="21"/>
          <w:szCs w:val="21"/>
        </w:rPr>
        <w:t>。二是未来年份数据加入后，历史年份的标准化值会被重新改写，测度工具不具备逐年监测的可复现性。这两点在下文稳健性检验中以数值对照加以验证。</w:t>
      </w:r>
    </w:p>
    <w:p w14:paraId="3248F3B1">
      <w:pPr>
        <w:ind w:firstLine="420"/>
        <w:jc w:val="both"/>
      </w:pPr>
      <w:r>
        <w:rPr>
          <w:sz w:val="21"/>
          <w:szCs w:val="21"/>
        </w:rPr>
        <w:t>该方法采用外生的、不随样本更新而变化的上下限</w:t>
      </w:r>
      <w:r>
        <w:rPr>
          <w:rFonts w:ascii="Cambria Math" w:hAnsi="Cambria Math"/>
          <w:i/>
        </w:rPr>
        <w:t xml:space="preserve"> </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w:t>
      </w:r>
      <w:r>
        <w:rPr>
          <w:rFonts w:hint="eastAsia"/>
          <w:sz w:val="21"/>
          <w:szCs w:val="21"/>
        </w:rPr>
        <w:t>“</w:t>
      </w:r>
      <w:r>
        <w:rPr>
          <w:sz w:val="21"/>
          <w:szCs w:val="21"/>
        </w:rPr>
        <w:t>西藏/全国</w:t>
      </w:r>
      <w:r>
        <w:rPr>
          <w:rFonts w:hint="eastAsia"/>
          <w:sz w:val="21"/>
          <w:szCs w:val="21"/>
        </w:rPr>
        <w:t>”</w:t>
      </w:r>
      <w:r>
        <w:rPr>
          <w:sz w:val="21"/>
          <w:szCs w:val="21"/>
        </w:rPr>
        <w:t>的相对值，上下限取比例的定义域。第二，具有官方规划目标的指标，以规划基线和目标值为上下限。第三，具有自然定义域的比例型指标，取其数学定义域。第四，其余名义规模指标先作人均化或相对化处理，再按</w:t>
      </w:r>
      <w:r>
        <w:rPr>
          <w:rFonts w:hint="eastAsia"/>
          <w:sz w:val="21"/>
          <w:szCs w:val="21"/>
        </w:rPr>
        <w:t>“</w:t>
      </w:r>
      <w:r>
        <w:rPr>
          <w:sz w:val="21"/>
          <w:szCs w:val="21"/>
        </w:rPr>
        <w:t>0为下限、留有余量的整数为上限</w:t>
      </w:r>
      <w:r>
        <w:rPr>
          <w:rFonts w:hint="eastAsia"/>
          <w:sz w:val="21"/>
          <w:szCs w:val="21"/>
        </w:rPr>
        <w:t>”</w:t>
      </w:r>
      <w:r>
        <w:rPr>
          <w:sz w:val="21"/>
          <w:szCs w:val="21"/>
        </w:rPr>
        <w:t>的惯例标准化。正向、逆向指标分别按式（1）、式（2）处理，再按式（3）平移并压缩至</w:t>
      </w:r>
      <m:oMath>
        <m:r>
          <m:rPr/>
          <w:rPr>
            <w:rFonts w:ascii="Cambria Math" w:hAnsi="Cambria Math"/>
          </w:rPr>
          <m:t>[0.01,0.99]</m:t>
        </m:r>
      </m:oMath>
      <w:r>
        <w:rPr>
          <w:sz w:val="21"/>
          <w:szCs w:val="21"/>
        </w:rPr>
        <w:t>以避免0值出现：</w:t>
      </w:r>
    </w:p>
    <w:p w14:paraId="33B99B4D">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7287B62E">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5B65016A">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4CF41F57">
      <w:pPr>
        <w:ind w:firstLine="420"/>
        <w:jc w:val="both"/>
      </w:pPr>
      <w:r>
        <w:rPr>
          <w:sz w:val="21"/>
          <w:szCs w:val="21"/>
        </w:rPr>
        <w:t>极差标准化仅作稳健性对照，详见下文稳健性检验中与固定基准法的滚动端点稳定性对比。</w:t>
      </w:r>
    </w:p>
    <w:p w14:paraId="4C6332A8">
      <w:pPr>
        <w:spacing w:before="160" w:after="80"/>
      </w:pPr>
      <w:r>
        <w:rPr>
          <w:rFonts w:eastAsia="黑体"/>
          <w:b/>
          <w:bCs/>
          <w:sz w:val="21"/>
          <w:szCs w:val="21"/>
        </w:rPr>
        <w:t>（四）子系统合成与权重设定</w:t>
      </w:r>
    </w:p>
    <w:p w14:paraId="149B4002">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之所以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w:t>
      </w:r>
      <w:r>
        <w:rPr>
          <w:rFonts w:hint="eastAsia"/>
          <w:sz w:val="21"/>
          <w:szCs w:val="21"/>
        </w:rPr>
        <w:t>“</w:t>
      </w:r>
      <w:r>
        <w:rPr>
          <w:sz w:val="21"/>
          <w:szCs w:val="21"/>
        </w:rPr>
        <w:t>正确</w:t>
      </w:r>
      <w:r>
        <w:rPr>
          <w:rFonts w:hint="eastAsia"/>
          <w:sz w:val="21"/>
          <w:szCs w:val="21"/>
        </w:rPr>
        <w:t>”</w:t>
      </w:r>
      <w:r>
        <w:rPr>
          <w:sz w:val="21"/>
          <w:szCs w:val="21"/>
        </w:rPr>
        <w:t>的权重，等权是最透明、最易复现的基准设定；客观赋权则用作数据驱动的稳健性对照。弱补偿性的适用层级也需加以区分：它只适用于安全、发展、生态这三个性质不同的战略功能之间，构念内部的指标允许在合理范围内相互补偿，等权因此只施加于构念内部。</w:t>
      </w:r>
    </w:p>
    <w:p w14:paraId="22F35290">
      <w:pPr>
        <w:ind w:firstLine="420"/>
        <w:jc w:val="both"/>
      </w:pPr>
      <w:r>
        <w:rPr>
          <w:sz w:val="21"/>
          <w:szCs w:val="21"/>
        </w:rPr>
        <w:t>CRITIC</w:t>
      </w:r>
      <w:r>
        <w:rPr>
          <w:rFonts w:hint="eastAsia"/>
          <w:sz w:val="21"/>
          <w:szCs w:val="21"/>
        </w:rPr>
        <w:t>—</w:t>
      </w:r>
      <w:r>
        <w:rPr>
          <w:sz w:val="21"/>
          <w:szCs w:val="21"/>
        </w:rPr>
        <w:t>熵值组合赋权用作稳健性对照与结构性贡献缺口诊断的权重来源，其计算方式为：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6BB31CE0">
      <w:pPr>
        <w:spacing w:before="160" w:after="80"/>
      </w:pPr>
      <w:r>
        <w:rPr>
          <w:rFonts w:eastAsia="黑体"/>
          <w:b/>
          <w:bCs/>
          <w:sz w:val="21"/>
          <w:szCs w:val="21"/>
        </w:rPr>
        <w:t>（五）失衡惩罚型协调指数模型</w:t>
      </w:r>
    </w:p>
    <w:p w14:paraId="5167B0EA">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[42]</w:t>
      </w:r>
      <w:r>
        <w:rPr>
          <w:sz w:val="21"/>
          <w:szCs w:val="21"/>
        </w:rPr>
        <w:t>，其理论基础与非补偿性聚合、失衡调整等方法一致</w:t>
      </w:r>
      <w:r>
        <w:rPr>
          <w:sz w:val="21"/>
          <w:szCs w:val="21"/>
          <w:vertAlign w:val="superscript"/>
        </w:rPr>
        <w:t>[32-33]</w:t>
      </w:r>
      <w:r>
        <w:rPr>
          <w:sz w:val="21"/>
          <w:szCs w:val="21"/>
        </w:rPr>
        <w:t>。经典的多指标MPI先把原始指标标准化为Z分数再行聚合；本文已在子系统层面完成指标聚合，因此直接把均值</w:t>
      </w:r>
      <w:r>
        <w:rPr>
          <w:rFonts w:hint="eastAsia"/>
          <w:sz w:val="21"/>
          <w:szCs w:val="21"/>
        </w:rPr>
        <w:t>—</w:t>
      </w:r>
      <w:r>
        <w:rPr>
          <w:sz w:val="21"/>
          <w:szCs w:val="21"/>
        </w:rPr>
        <w:t>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，保留其以标准差惩罚失衡的核心机制。式（4）中，均值项保留整体水平，标准差罚项随失衡程度连续增大，不存在阈值跳变。设某年三子系统指数的均值为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11FADE72">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6034824B">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第二，当某一子系统明显滞后时，MPI会低于简单均值，但仍保留整体水平信息，避免综合指数机械归零。第三，MPI对不同子系统改善的边际响应存在结构差异：滞后子系统的改善同时提高整体水平并缩小差距，领先子系统的改善则在提高水平的同时扩大差距、加重惩罚项，边际响应因而减弱。这一性质是下文局部敏感性分析的依据。</w:t>
      </w:r>
    </w:p>
    <w:p w14:paraId="59777101">
      <w:pPr>
        <w:ind w:firstLine="420"/>
        <w:jc w:val="both"/>
      </w:pPr>
      <w:r>
        <w:rPr>
          <w:sz w:val="21"/>
          <w:szCs w:val="21"/>
        </w:rPr>
        <w:t>为直观说明MPI的上述数学性质，表2列出若干典型情形下MPI与传统耦合度模型的对照。</w:t>
      </w:r>
    </w:p>
    <w:p w14:paraId="56371392">
      <w:pPr>
        <w:keepNext/>
        <w:spacing w:before="140" w:after="40"/>
        <w:jc w:val="center"/>
      </w:pPr>
      <w:r>
        <w:rPr>
          <w:rFonts w:eastAsia="黑体"/>
          <w:b/>
          <w:bCs/>
          <w:sz w:val="21"/>
          <w:szCs w:val="21"/>
        </w:rPr>
        <w:t>表2　MPI与传统耦合度在典型情形下的数值对照</w:t>
      </w:r>
    </w:p>
    <w:tbl>
      <w:tblPr>
        <w:tblStyle w:val="15"/>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7D7D848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F6AA93">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6FA7769">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1C3BED9">
            <w:pPr>
              <w:spacing w:line="240" w:lineRule="auto"/>
              <w:jc w:val="center"/>
            </w:pPr>
            <w:r>
              <w:rPr>
                <w:b/>
                <w:bCs/>
                <w:sz w:val="18"/>
                <w:szCs w:val="18"/>
              </w:rPr>
              <w:t>传统C（耦合度）</w:t>
            </w:r>
          </w:p>
        </w:tc>
      </w:tr>
      <w:tr w14:paraId="0200A8F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53519531">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7BD55F86">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43BE9902">
            <w:pPr>
              <w:spacing w:line="240" w:lineRule="auto"/>
              <w:jc w:val="center"/>
            </w:pPr>
            <w:r>
              <w:rPr>
                <w:sz w:val="18"/>
                <w:szCs w:val="18"/>
              </w:rPr>
              <w:t>0.818</w:t>
            </w:r>
          </w:p>
        </w:tc>
      </w:tr>
      <w:tr w14:paraId="78A69BD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E5F9B6B">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64DA49D6">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54F9227">
            <w:pPr>
              <w:spacing w:line="240" w:lineRule="auto"/>
              <w:jc w:val="center"/>
            </w:pPr>
            <w:r>
              <w:rPr>
                <w:sz w:val="18"/>
                <w:szCs w:val="18"/>
              </w:rPr>
              <w:t>1.000</w:t>
            </w:r>
          </w:p>
        </w:tc>
      </w:tr>
      <w:tr w14:paraId="3A161AE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AB641E1">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2D0A316D">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B16F085">
            <w:pPr>
              <w:spacing w:line="240" w:lineRule="auto"/>
              <w:jc w:val="center"/>
            </w:pPr>
            <w:r>
              <w:rPr>
                <w:sz w:val="18"/>
                <w:szCs w:val="18"/>
              </w:rPr>
              <w:t>0.000</w:t>
            </w:r>
          </w:p>
        </w:tc>
      </w:tr>
      <w:tr w14:paraId="42F46A9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7D13AC44">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76C4B96A">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740A1C81">
            <w:pPr>
              <w:spacing w:line="240" w:lineRule="auto"/>
              <w:jc w:val="center"/>
            </w:pPr>
            <w:r>
              <w:rPr>
                <w:sz w:val="18"/>
                <w:szCs w:val="18"/>
              </w:rPr>
              <w:t>1.000</w:t>
            </w:r>
          </w:p>
        </w:tc>
      </w:tr>
      <w:tr w14:paraId="2B4F721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5A9E1B9">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14538E4">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7A475FE">
            <w:pPr>
              <w:spacing w:line="240" w:lineRule="auto"/>
              <w:jc w:val="center"/>
            </w:pPr>
            <w:r>
              <w:rPr>
                <w:sz w:val="18"/>
                <w:szCs w:val="18"/>
              </w:rPr>
              <w:t>0.683</w:t>
            </w:r>
          </w:p>
        </w:tc>
      </w:tr>
    </w:tbl>
    <w:p w14:paraId="21D85D2F">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047B877B">
      <w:pPr>
        <w:ind w:firstLine="420"/>
        <w:jc w:val="both"/>
      </w:pPr>
      <w:r>
        <w:rPr>
          <w:sz w:val="21"/>
          <w:szCs w:val="21"/>
        </w:rPr>
        <w:t>表2的对照显示，在</w:t>
      </w:r>
      <w:r>
        <w:rPr>
          <w:rFonts w:hint="eastAsia"/>
          <w:sz w:val="21"/>
          <w:szCs w:val="21"/>
        </w:rPr>
        <w:t>“</w:t>
      </w:r>
      <w:r>
        <w:rPr>
          <w:sz w:val="21"/>
          <w:szCs w:val="21"/>
        </w:rPr>
        <w:t>两高一低</w:t>
      </w:r>
      <w:r>
        <w:rPr>
          <w:rFonts w:hint="eastAsia"/>
          <w:sz w:val="21"/>
          <w:szCs w:val="21"/>
        </w:rPr>
        <w:t>”</w:t>
      </w:r>
      <w:r>
        <w:rPr>
          <w:sz w:val="21"/>
          <w:szCs w:val="21"/>
        </w:rPr>
        <w:t>的失衡情形（如0.9、0.9、0.2）下，传统耦合度C仍达0.818，MPI则只有0.503，说明单纯依赖耦合度容易掩盖子系统之间的明显差距；在极端情形(1.0, 1.0, 0.0)下耦合度降为0，MPI仍为0.333，保留了整体水平信息。</w:t>
      </w:r>
      <w:r>
        <w:rPr>
          <w:rFonts w:hint="eastAsia"/>
          <w:sz w:val="21"/>
          <w:szCs w:val="21"/>
        </w:rPr>
        <w:t>由此可见，</w:t>
      </w:r>
      <w:r>
        <w:rPr>
          <w:sz w:val="21"/>
          <w:szCs w:val="21"/>
        </w:rPr>
        <w:t>MPI实现的是弱补偿而非严格的非补偿：(0.9, 0.9, 0.2)与完全均衡的(0.5, 0.5, 0.5)仅差0.003，(1.0, 1.0, 0.0)与(0.33, 0.33, 0.33)同为0.333。本文所称的非补偿性因而是</w:t>
      </w:r>
      <w:r>
        <w:rPr>
          <w:rFonts w:hint="eastAsia"/>
          <w:sz w:val="21"/>
          <w:szCs w:val="21"/>
        </w:rPr>
        <w:t>“</w:t>
      </w:r>
      <w:r>
        <w:rPr>
          <w:sz w:val="21"/>
          <w:szCs w:val="21"/>
        </w:rPr>
        <w:t>有限替代</w:t>
      </w:r>
      <w:r>
        <w:rPr>
          <w:rFonts w:hint="eastAsia"/>
          <w:sz w:val="21"/>
          <w:szCs w:val="21"/>
        </w:rPr>
        <w:t>”</w:t>
      </w:r>
      <w:r>
        <w:rPr>
          <w:sz w:val="21"/>
          <w:szCs w:val="21"/>
        </w:rPr>
        <w:t>意义上的；严格的阈值型底线约束需在MPI之外另设机制，如对低于特定水平的子系统施加乘性惩罚。</w:t>
      </w:r>
    </w:p>
    <w:p w14:paraId="12091E07">
      <w:pPr>
        <w:spacing w:before="160" w:after="80"/>
      </w:pPr>
      <w:r>
        <w:rPr>
          <w:rFonts w:eastAsia="黑体"/>
          <w:b/>
          <w:bCs/>
          <w:sz w:val="21"/>
          <w:szCs w:val="21"/>
        </w:rPr>
        <w:t>（六）诊断与检验方法</w:t>
      </w:r>
    </w:p>
    <w:p w14:paraId="02D1A9B2">
      <w:pPr>
        <w:ind w:firstLine="420"/>
        <w:jc w:val="both"/>
      </w:pPr>
      <w:r>
        <w:rPr>
          <w:sz w:val="21"/>
          <w:szCs w:val="21"/>
        </w:rPr>
        <w:t>在协调指数之上，本文进一步设置若干诊断，分别识别总体缺口的主要来源、边际改善最敏感的方向，以及结论对设定与指标选择的稳健性。</w:t>
      </w:r>
    </w:p>
    <w:p w14:paraId="4067B927">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6636DC71">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1B3D2A2">
      <w:pPr>
        <w:ind w:firstLine="420"/>
        <w:jc w:val="both"/>
        <w:rPr>
          <w:sz w:val="21"/>
          <w:szCs w:val="21"/>
        </w:rPr>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4AA48D28">
      <w:pPr>
        <w:spacing w:before="260" w:after="120"/>
      </w:pPr>
      <w:r>
        <w:rPr>
          <w:rFonts w:eastAsia="黑体"/>
          <w:b/>
          <w:bCs/>
          <w:sz w:val="28"/>
          <w:szCs w:val="28"/>
        </w:rPr>
        <w:t>四、结果与分析</w:t>
      </w:r>
    </w:p>
    <w:p w14:paraId="25C81E7C">
      <w:pPr>
        <w:spacing w:before="160" w:after="80"/>
      </w:pPr>
      <w:r>
        <w:rPr>
          <w:rFonts w:eastAsia="黑体"/>
          <w:b/>
          <w:bCs/>
          <w:sz w:val="21"/>
          <w:szCs w:val="21"/>
        </w:rPr>
        <w:t>（一）三子系统综合指数的阶段性演进</w:t>
      </w:r>
    </w:p>
    <w:p w14:paraId="0946448E">
      <w:pPr>
        <w:ind w:firstLine="420"/>
        <w:jc w:val="both"/>
      </w:pPr>
      <w:r>
        <w:rPr>
          <w:sz w:val="21"/>
          <w:szCs w:val="21"/>
        </w:rPr>
        <w:t>2016</w:t>
      </w:r>
      <w:r>
        <w:rPr>
          <w:rFonts w:hint="eastAsia"/>
          <w:sz w:val="21"/>
          <w:szCs w:val="21"/>
        </w:rPr>
        <w:t>—</w:t>
      </w:r>
      <w:r>
        <w:rPr>
          <w:sz w:val="21"/>
          <w:szCs w:val="21"/>
        </w:rPr>
        <w:t>2025年西藏三子系统综合指数与MPI协调指数的测算结果见表3，演进轨迹见图3。表3显示，样本期内三子系统的相对位置并不固定，而是呈现出清晰的阶段性特征，可以划分为三个阶段。</w:t>
      </w:r>
    </w:p>
    <w:p w14:paraId="67C0B654">
      <w:pPr>
        <w:ind w:firstLine="420"/>
        <w:jc w:val="both"/>
      </w:pPr>
      <w:r>
        <w:rPr>
          <w:sz w:val="21"/>
          <w:szCs w:val="21"/>
        </w:rPr>
        <w:t>第一阶段是2016</w:t>
      </w:r>
      <w:r>
        <w:rPr>
          <w:rFonts w:hint="eastAsia"/>
          <w:sz w:val="21"/>
          <w:szCs w:val="21"/>
        </w:rPr>
        <w:t>—</w:t>
      </w:r>
      <w:r>
        <w:rPr>
          <w:sz w:val="21"/>
          <w:szCs w:val="21"/>
        </w:rPr>
        <w:t>2017年，生态子系统相对最弱。生态指数由2016年的0.267起步，明显低于同期的安全（0.537）与发展（0.467）。由于生态子系统以2016年实测值为下限、2025年规划目标为上限，此处的</w:t>
      </w:r>
      <w:r>
        <w:rPr>
          <w:rFonts w:hint="eastAsia"/>
          <w:sz w:val="21"/>
          <w:szCs w:val="21"/>
        </w:rPr>
        <w:t>“</w:t>
      </w:r>
      <w:r>
        <w:rPr>
          <w:sz w:val="21"/>
          <w:szCs w:val="21"/>
        </w:rPr>
        <w:t>相对最弱</w:t>
      </w:r>
      <w:r>
        <w:rPr>
          <w:rFonts w:hint="eastAsia"/>
          <w:sz w:val="21"/>
          <w:szCs w:val="21"/>
        </w:rPr>
        <w:t>”</w:t>
      </w:r>
      <w:r>
        <w:rPr>
          <w:sz w:val="21"/>
          <w:szCs w:val="21"/>
        </w:rPr>
        <w:t>是按后续规划目标回溯衡量的结果，并非对当时西藏生态状况的评价。按</w:t>
      </w:r>
      <w:r>
        <w:rPr>
          <w:rFonts w:hint="eastAsia"/>
          <w:sz w:val="21"/>
          <w:szCs w:val="21"/>
        </w:rPr>
        <w:t>此</w:t>
      </w:r>
      <w:r>
        <w:rPr>
          <w:sz w:val="21"/>
          <w:szCs w:val="21"/>
        </w:rPr>
        <w:t>基准，</w:t>
      </w:r>
      <w:r>
        <w:rPr>
          <w:rFonts w:hint="eastAsia"/>
          <w:sz w:val="21"/>
          <w:szCs w:val="21"/>
        </w:rPr>
        <w:t>2016—2017年</w:t>
      </w:r>
      <w:r>
        <w:rPr>
          <w:sz w:val="21"/>
          <w:szCs w:val="21"/>
        </w:rPr>
        <w:t>森林覆盖率、草原综合植被盖度距规划目标尚有较大差距，生态本底建设处于追赶阶段。</w:t>
      </w:r>
    </w:p>
    <w:p w14:paraId="671F9DF0">
      <w:pPr>
        <w:ind w:firstLine="420"/>
        <w:jc w:val="both"/>
      </w:pPr>
      <w:r>
        <w:rPr>
          <w:sz w:val="21"/>
          <w:szCs w:val="21"/>
        </w:rPr>
        <w:t>第二阶段是2018</w:t>
      </w:r>
      <w:r>
        <w:rPr>
          <w:rFonts w:hint="eastAsia"/>
          <w:sz w:val="21"/>
          <w:szCs w:val="21"/>
        </w:rPr>
        <w:t>—</w:t>
      </w:r>
      <w:r>
        <w:rPr>
          <w:sz w:val="21"/>
          <w:szCs w:val="21"/>
        </w:rPr>
        <w:t>2022年，发展转为最弱子系统，并构成协调提升的主要制约。其间生态指数持续快速改善，由2018年的0.499升至2020年的0.634；同期发展子系统则在0.484</w:t>
      </w:r>
      <w:r>
        <w:rPr>
          <w:rFonts w:hint="eastAsia"/>
          <w:sz w:val="21"/>
          <w:szCs w:val="21"/>
        </w:rPr>
        <w:t>—</w:t>
      </w:r>
      <w:r>
        <w:rPr>
          <w:sz w:val="21"/>
          <w:szCs w:val="21"/>
        </w:rPr>
        <w:t>0.539区间波动，2020年一度回落至0.484，成为三者中相对最弱的一环。2020</w:t>
      </w:r>
      <w:r>
        <w:rPr>
          <w:rFonts w:hint="eastAsia"/>
          <w:sz w:val="21"/>
          <w:szCs w:val="21"/>
        </w:rPr>
        <w:t>—</w:t>
      </w:r>
      <w:r>
        <w:rPr>
          <w:sz w:val="21"/>
          <w:szCs w:val="21"/>
        </w:rPr>
        <w:t>2022年与新冠疫情及其防控时期高度重叠，发展子系统中的人均接待游客（D4）与外向度（D3）受到直接冲击，2020年的回落应部分归因于此。但发展子系统在疫情前的2018年与2019年已分别为0.489与0.519，均低于同期安全子系统（0.617、0.615），说明</w:t>
      </w:r>
      <w:r>
        <w:rPr>
          <w:rFonts w:hint="eastAsia"/>
          <w:sz w:val="21"/>
          <w:szCs w:val="21"/>
        </w:rPr>
        <w:t>“</w:t>
      </w:r>
      <w:r>
        <w:rPr>
          <w:sz w:val="21"/>
          <w:szCs w:val="21"/>
        </w:rPr>
        <w:t>发展相对滞后</w:t>
      </w:r>
      <w:r>
        <w:rPr>
          <w:rFonts w:hint="eastAsia"/>
          <w:sz w:val="21"/>
          <w:szCs w:val="21"/>
        </w:rPr>
        <w:t>”</w:t>
      </w:r>
      <w:r>
        <w:rPr>
          <w:sz w:val="21"/>
          <w:szCs w:val="21"/>
        </w:rPr>
        <w:t>并非完全由疫情造成。受样本长度与数据结构限制，本文无法量化疫情对指数变动的具体贡献。</w:t>
      </w:r>
    </w:p>
    <w:p w14:paraId="42FAEFD5">
      <w:pPr>
        <w:ind w:firstLine="420"/>
        <w:jc w:val="both"/>
      </w:pPr>
      <w:r>
        <w:rPr>
          <w:sz w:val="21"/>
          <w:szCs w:val="21"/>
        </w:rPr>
        <w:t>第三阶段是2023</w:t>
      </w:r>
      <w:r>
        <w:rPr>
          <w:rFonts w:hint="eastAsia"/>
          <w:sz w:val="21"/>
          <w:szCs w:val="21"/>
        </w:rPr>
        <w:t>—</w:t>
      </w:r>
      <w:r>
        <w:rPr>
          <w:sz w:val="21"/>
          <w:szCs w:val="21"/>
        </w:rPr>
        <w:t>2025年，安全转为相对最弱，生态实现跨越式改善并跃居首位。这三年发展与生态子系统同步快速提升，生态指数于2025年升至0.843，超过发展（0.718）与安全（0.715），跃居三者之首。安全子系统虽然持续改善，但速度相对趋缓，2023</w:t>
      </w:r>
      <w:r>
        <w:rPr>
          <w:rFonts w:hint="eastAsia"/>
          <w:sz w:val="21"/>
          <w:szCs w:val="21"/>
        </w:rPr>
        <w:t>—</w:t>
      </w:r>
      <w:r>
        <w:rPr>
          <w:sz w:val="21"/>
          <w:szCs w:val="21"/>
        </w:rPr>
        <w:t>2025年数值略低于发展，2025年两者仅相差0.003。</w:t>
      </w:r>
    </w:p>
    <w:p w14:paraId="2FCF8A95">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371DC99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804458D">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ED20BD">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20DEFCB">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B4FF42">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B16FE0">
            <w:pPr>
              <w:spacing w:line="240" w:lineRule="auto"/>
              <w:jc w:val="center"/>
            </w:pPr>
            <w:r>
              <w:rPr>
                <w:b/>
                <w:bCs/>
                <w:sz w:val="18"/>
                <w:szCs w:val="18"/>
              </w:rPr>
              <w:t>MPI协调指数 D</w:t>
            </w:r>
          </w:p>
        </w:tc>
      </w:tr>
      <w:tr w14:paraId="732F42F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0CCC0200">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09756071">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7701897E">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11049AB1">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78AF2BC6">
            <w:pPr>
              <w:spacing w:line="240" w:lineRule="auto"/>
              <w:jc w:val="center"/>
            </w:pPr>
            <w:r>
              <w:rPr>
                <w:sz w:val="18"/>
                <w:szCs w:val="18"/>
              </w:rPr>
              <w:t>0.393</w:t>
            </w:r>
          </w:p>
        </w:tc>
      </w:tr>
      <w:tr w14:paraId="1A515C1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728D744">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74D74E4D">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02E3D0E5">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8D18A79">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19BA4763">
            <w:pPr>
              <w:spacing w:line="240" w:lineRule="auto"/>
              <w:jc w:val="center"/>
            </w:pPr>
            <w:r>
              <w:rPr>
                <w:sz w:val="18"/>
                <w:szCs w:val="18"/>
              </w:rPr>
              <w:t>0.486</w:t>
            </w:r>
          </w:p>
        </w:tc>
      </w:tr>
      <w:tr w14:paraId="4759A7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E467788">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30647772">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19471E7E">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58698597">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336C613">
            <w:pPr>
              <w:spacing w:line="240" w:lineRule="auto"/>
              <w:jc w:val="center"/>
            </w:pPr>
            <w:r>
              <w:rPr>
                <w:sz w:val="18"/>
                <w:szCs w:val="18"/>
              </w:rPr>
              <w:t>0.528</w:t>
            </w:r>
          </w:p>
        </w:tc>
      </w:tr>
      <w:tr w14:paraId="43B327C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569DFD5">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59BCC6DE">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A262058">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63B3A6CF">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E13410A">
            <w:pPr>
              <w:spacing w:line="240" w:lineRule="auto"/>
              <w:jc w:val="center"/>
            </w:pPr>
            <w:r>
              <w:rPr>
                <w:sz w:val="18"/>
                <w:szCs w:val="18"/>
              </w:rPr>
              <w:t>0.556</w:t>
            </w:r>
          </w:p>
        </w:tc>
      </w:tr>
      <w:tr w14:paraId="4D28929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B09BC9B">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4F9572CE">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3362234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56F0177C">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53C1CED5">
            <w:pPr>
              <w:spacing w:line="240" w:lineRule="auto"/>
              <w:jc w:val="center"/>
            </w:pPr>
            <w:r>
              <w:rPr>
                <w:sz w:val="18"/>
                <w:szCs w:val="18"/>
              </w:rPr>
              <w:t>0.571</w:t>
            </w:r>
          </w:p>
        </w:tc>
      </w:tr>
      <w:tr w14:paraId="2CAD5EF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88CF3E4">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4275326B">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251BFC61">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3DADCFFC">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5010B99B">
            <w:pPr>
              <w:spacing w:line="240" w:lineRule="auto"/>
              <w:jc w:val="center"/>
            </w:pPr>
            <w:r>
              <w:rPr>
                <w:sz w:val="18"/>
                <w:szCs w:val="18"/>
              </w:rPr>
              <w:t>0.598</w:t>
            </w:r>
          </w:p>
        </w:tc>
      </w:tr>
      <w:tr w14:paraId="05827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22082D9">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044867E6">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8C68458">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22D0211A">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2592A2F6">
            <w:pPr>
              <w:spacing w:line="240" w:lineRule="auto"/>
              <w:jc w:val="center"/>
            </w:pPr>
            <w:r>
              <w:rPr>
                <w:sz w:val="18"/>
                <w:szCs w:val="18"/>
              </w:rPr>
              <w:t>0.607</w:t>
            </w:r>
          </w:p>
        </w:tc>
      </w:tr>
      <w:tr w14:paraId="66C0E0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98B7825">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768D0C7D">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1C250ABA">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54194A06">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939BAD1">
            <w:pPr>
              <w:spacing w:line="240" w:lineRule="auto"/>
              <w:jc w:val="center"/>
            </w:pPr>
            <w:r>
              <w:rPr>
                <w:sz w:val="18"/>
                <w:szCs w:val="18"/>
              </w:rPr>
              <w:t>0.680</w:t>
            </w:r>
          </w:p>
        </w:tc>
      </w:tr>
      <w:tr w14:paraId="7DFB6C2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0785D9D">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4AC00D0">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05A80EEC">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5121D1">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128B1D9B">
            <w:pPr>
              <w:spacing w:line="240" w:lineRule="auto"/>
              <w:jc w:val="center"/>
            </w:pPr>
            <w:r>
              <w:rPr>
                <w:sz w:val="18"/>
                <w:szCs w:val="18"/>
              </w:rPr>
              <w:t>0.711</w:t>
            </w:r>
          </w:p>
        </w:tc>
      </w:tr>
      <w:tr w14:paraId="66CF5B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3170A10F">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8DF7937">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03A18BC">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FD3B167">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7496C5F">
            <w:pPr>
              <w:spacing w:line="240" w:lineRule="auto"/>
              <w:jc w:val="center"/>
            </w:pPr>
            <w:r>
              <w:rPr>
                <w:sz w:val="18"/>
                <w:szCs w:val="18"/>
              </w:rPr>
              <w:t>0.754</w:t>
            </w:r>
          </w:p>
        </w:tc>
      </w:tr>
    </w:tbl>
    <w:p w14:paraId="3C0707D0">
      <w:pPr>
        <w:spacing w:before="30" w:after="140"/>
      </w:pPr>
      <w:r>
        <w:rPr>
          <w:sz w:val="18"/>
          <w:szCs w:val="18"/>
        </w:rPr>
        <w:t>注：样本期内MPI测算结果均落在0</w:t>
      </w:r>
      <w:r>
        <w:rPr>
          <w:rFonts w:hint="eastAsia"/>
          <w:sz w:val="18"/>
          <w:szCs w:val="18"/>
        </w:rPr>
        <w:t>—</w:t>
      </w:r>
      <w:r>
        <w:rPr>
          <w:sz w:val="18"/>
          <w:szCs w:val="18"/>
        </w:rPr>
        <w:t>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74C3998A">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0EE64151">
      <w:pPr>
        <w:spacing w:before="120" w:after="40"/>
        <w:jc w:val="center"/>
      </w:pPr>
      <w:r>
        <w:drawing>
          <wp:inline distT="0" distB="0" distL="0" distR="0">
            <wp:extent cx="4490085" cy="2004060"/>
            <wp:effectExtent l="0" t="0" r="5715" b="1524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8"/>
                    <a:stretch>
                      <a:fillRect/>
                    </a:stretch>
                  </pic:blipFill>
                  <pic:spPr>
                    <a:xfrm>
                      <a:off x="0" y="0"/>
                      <a:ext cx="4490085" cy="2004060"/>
                    </a:xfrm>
                    <a:prstGeom prst="rect">
                      <a:avLst/>
                    </a:prstGeom>
                  </pic:spPr>
                </pic:pic>
              </a:graphicData>
            </a:graphic>
          </wp:inline>
        </w:drawing>
      </w:r>
    </w:p>
    <w:p w14:paraId="32646F68">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2025年西藏安全、发展、生态三子系统综合指数演进</w:t>
      </w:r>
    </w:p>
    <w:p w14:paraId="5212BE59">
      <w:pPr>
        <w:spacing w:after="140"/>
        <w:jc w:val="both"/>
      </w:pPr>
      <w:r>
        <w:rPr>
          <w:sz w:val="18"/>
          <w:szCs w:val="18"/>
        </w:rPr>
        <w:t>注：数据来源于表3。</w:t>
      </w:r>
    </w:p>
    <w:p w14:paraId="341D46CE">
      <w:pPr>
        <w:spacing w:before="160" w:after="80"/>
      </w:pPr>
      <w:r>
        <w:rPr>
          <w:rFonts w:eastAsia="黑体"/>
          <w:b/>
          <w:bCs/>
          <w:sz w:val="21"/>
          <w:szCs w:val="21"/>
        </w:rPr>
        <w:t>（二）MPI协调指数的变动特征</w:t>
      </w:r>
    </w:p>
    <w:p w14:paraId="62322AF2">
      <w:pPr>
        <w:ind w:firstLine="420"/>
        <w:jc w:val="both"/>
      </w:pPr>
      <w:r>
        <w:rPr>
          <w:sz w:val="21"/>
          <w:szCs w:val="21"/>
        </w:rPr>
        <w:t>MPI协调指数的改善节奏与子系统的阶段性转换相互对应（见表3）。2016</w:t>
      </w:r>
      <w:r>
        <w:rPr>
          <w:rFonts w:hint="eastAsia"/>
          <w:sz w:val="21"/>
          <w:szCs w:val="21"/>
        </w:rPr>
        <w:t>—</w:t>
      </w:r>
      <w:r>
        <w:rPr>
          <w:sz w:val="21"/>
          <w:szCs w:val="21"/>
        </w:rPr>
        <w:t>2019年年均增幅约0.054，为样本期最快，驱动力主要来自生态子系统的追赶；2020</w:t>
      </w:r>
      <w:r>
        <w:rPr>
          <w:rFonts w:hint="eastAsia"/>
          <w:sz w:val="21"/>
          <w:szCs w:val="21"/>
        </w:rPr>
        <w:t>—</w:t>
      </w:r>
      <w:r>
        <w:rPr>
          <w:sz w:val="21"/>
          <w:szCs w:val="21"/>
        </w:rPr>
        <w:t>2022年降至约0.017，发展子系统的相对滞后构成主要制约；2023</w:t>
      </w:r>
      <w:r>
        <w:rPr>
          <w:rFonts w:hint="eastAsia"/>
          <w:sz w:val="21"/>
          <w:szCs w:val="21"/>
        </w:rPr>
        <w:t>—</w:t>
      </w:r>
      <w:r>
        <w:rPr>
          <w:sz w:val="21"/>
          <w:szCs w:val="21"/>
        </w:rPr>
        <w:t>2025年回升至约0.049，三子系统同步改善，彼此差距总体收窄。其中2023年单年增幅0.073为样本期最大，与旅游、清洁能源、外向度以及财力和民生保障等多项指标的同步改善有关，文旅与外向度的回升则带有明显的疫后恢复性质。</w:t>
      </w:r>
    </w:p>
    <w:p w14:paraId="39A66526">
      <w:pPr>
        <w:spacing w:before="160" w:after="80"/>
      </w:pPr>
      <w:r>
        <w:rPr>
          <w:rFonts w:eastAsia="黑体"/>
          <w:b/>
          <w:bCs/>
          <w:sz w:val="21"/>
          <w:szCs w:val="21"/>
        </w:rPr>
        <w:t>（三）结构性贡献缺口与短板识别</w:t>
      </w:r>
    </w:p>
    <w:p w14:paraId="3F833779">
      <w:pPr>
        <w:ind w:firstLine="420"/>
        <w:jc w:val="both"/>
      </w:pPr>
      <w:r>
        <w:rPr>
          <w:sz w:val="21"/>
          <w:szCs w:val="21"/>
        </w:rPr>
        <w:t>以CRITIC</w:t>
      </w:r>
      <w:r>
        <w:rPr>
          <w:rFonts w:hint="eastAsia"/>
          <w:sz w:val="21"/>
          <w:szCs w:val="21"/>
        </w:rPr>
        <w:t>—</w:t>
      </w:r>
      <w:r>
        <w:rPr>
          <w:sz w:val="21"/>
          <w:szCs w:val="21"/>
        </w:rPr>
        <w:t>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27F4008A">
      <w:pPr>
        <w:spacing w:before="140" w:after="40"/>
        <w:jc w:val="center"/>
      </w:pPr>
      <w:r>
        <w:rPr>
          <w:rFonts w:eastAsia="黑体"/>
          <w:b/>
          <w:bCs/>
          <w:sz w:val="21"/>
          <w:szCs w:val="21"/>
        </w:rPr>
        <w:t>表4　结构性贡献缺口分解结果（逐年计算后取样本期均值，前六位）</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5DA527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6C570F8">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8BB4D4">
            <w:pPr>
              <w:spacing w:line="240" w:lineRule="auto"/>
              <w:jc w:val="center"/>
            </w:pPr>
            <w:r>
              <w:rPr>
                <w:b/>
                <w:bCs/>
                <w:sz w:val="18"/>
                <w:szCs w:val="18"/>
              </w:rPr>
              <w:t>结构性贡献缺口</w:t>
            </w:r>
          </w:p>
        </w:tc>
      </w:tr>
      <w:tr w14:paraId="703E4A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3FA3D5E">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210F971">
            <w:pPr>
              <w:spacing w:line="240" w:lineRule="auto"/>
              <w:jc w:val="center"/>
            </w:pPr>
            <w:r>
              <w:rPr>
                <w:sz w:val="18"/>
                <w:szCs w:val="18"/>
              </w:rPr>
              <w:t>31.09%</w:t>
            </w:r>
          </w:p>
        </w:tc>
      </w:tr>
      <w:tr w14:paraId="70F551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0AAD08D">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540F7B2D">
            <w:pPr>
              <w:spacing w:line="240" w:lineRule="auto"/>
              <w:jc w:val="center"/>
            </w:pPr>
            <w:r>
              <w:rPr>
                <w:sz w:val="18"/>
                <w:szCs w:val="18"/>
              </w:rPr>
              <w:t>25.56%</w:t>
            </w:r>
          </w:p>
        </w:tc>
      </w:tr>
      <w:tr w14:paraId="6EC8CC6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E53DB9E">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421D0800">
            <w:pPr>
              <w:spacing w:line="240" w:lineRule="auto"/>
              <w:jc w:val="center"/>
            </w:pPr>
            <w:r>
              <w:rPr>
                <w:sz w:val="18"/>
                <w:szCs w:val="18"/>
              </w:rPr>
              <w:t>15.82%</w:t>
            </w:r>
          </w:p>
        </w:tc>
      </w:tr>
      <w:tr w14:paraId="00C909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856748B">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17C1CC58">
            <w:pPr>
              <w:spacing w:line="240" w:lineRule="auto"/>
              <w:jc w:val="center"/>
            </w:pPr>
            <w:r>
              <w:rPr>
                <w:sz w:val="18"/>
                <w:szCs w:val="18"/>
              </w:rPr>
              <w:t>11.45%</w:t>
            </w:r>
          </w:p>
        </w:tc>
      </w:tr>
      <w:tr w14:paraId="74AE5ED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B751925">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6527710">
            <w:pPr>
              <w:spacing w:line="240" w:lineRule="auto"/>
              <w:jc w:val="center"/>
            </w:pPr>
            <w:r>
              <w:rPr>
                <w:sz w:val="18"/>
                <w:szCs w:val="18"/>
              </w:rPr>
              <w:t>9.22%</w:t>
            </w:r>
          </w:p>
        </w:tc>
      </w:tr>
      <w:tr w14:paraId="1177BD8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79BA5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38EDAFA2">
            <w:pPr>
              <w:spacing w:line="240" w:lineRule="auto"/>
              <w:jc w:val="center"/>
            </w:pPr>
            <w:r>
              <w:rPr>
                <w:sz w:val="18"/>
                <w:szCs w:val="18"/>
              </w:rPr>
              <w:t>5.13%</w:t>
            </w:r>
          </w:p>
        </w:tc>
      </w:tr>
    </w:tbl>
    <w:p w14:paraId="39ADEE08">
      <w:pPr>
        <w:spacing w:before="30" w:after="140"/>
      </w:pPr>
      <w:r>
        <w:rPr>
          <w:sz w:val="18"/>
          <w:szCs w:val="18"/>
        </w:rPr>
        <w:t>注：结构性贡献缺口为各指标的CRITIC</w:t>
      </w:r>
      <w:r>
        <w:rPr>
          <w:rFonts w:hint="eastAsia"/>
          <w:sz w:val="18"/>
          <w:szCs w:val="18"/>
        </w:rPr>
        <w:t>—</w:t>
      </w:r>
      <w:r>
        <w:rPr>
          <w:sz w:val="18"/>
          <w:szCs w:val="18"/>
        </w:rPr>
        <w:t>熵值组合权重与其偏离度之积，占当年全部13项指标该乘积之和的比重，逐年计算后取样本期均值；该权重仅用于指标层面诊断，不参与子系统合成。</w:t>
      </w:r>
    </w:p>
    <w:p w14:paraId="60917F86">
      <w:pPr>
        <w:ind w:firstLine="420"/>
        <w:jc w:val="both"/>
        <w:rPr>
          <w:sz w:val="21"/>
          <w:szCs w:val="21"/>
        </w:rPr>
      </w:pPr>
      <w:r>
        <w:rPr>
          <w:sz w:val="21"/>
          <w:szCs w:val="21"/>
        </w:rPr>
        <w:t>结构性贡献缺口与子系统水平比较回答的是不同问题：前者以组合权重加权，反映哪些指标的缺口对样本期总体差异贡献最大；后者以等权计算，反映哪个子系统当年水平最低。安全类指标年际波动小，客观赋权低估了其权重，但结构性缺口依然存在。因此短板识别以等权的子系统水平比较为主，结构性贡献缺口作为辅助。</w:t>
      </w:r>
    </w:p>
    <w:p w14:paraId="48D6109F">
      <w:pPr>
        <w:ind w:firstLine="420"/>
        <w:jc w:val="both"/>
      </w:pPr>
      <w:r>
        <w:rPr>
          <w:sz w:val="21"/>
          <w:szCs w:val="21"/>
        </w:rPr>
        <w:t>清洁能源的转化状况同样值得注意。西藏清洁能源发电量占比已超过99%，但自2015年首次实现藏电外送至2024年底，十年累计外送量仅158.14亿千瓦时</w:t>
      </w:r>
      <w:r>
        <w:rPr>
          <w:sz w:val="21"/>
          <w:szCs w:val="21"/>
          <w:vertAlign w:val="superscript"/>
        </w:rPr>
        <w:t>[43]</w:t>
      </w:r>
      <w:r>
        <w:rPr>
          <w:sz w:val="21"/>
          <w:szCs w:val="21"/>
        </w:rPr>
        <w:t>，大致相当于2024年一年的发电量。</w:t>
      </w:r>
      <w:r>
        <w:rPr>
          <w:rFonts w:hint="eastAsia"/>
          <w:sz w:val="21"/>
          <w:szCs w:val="21"/>
        </w:rPr>
        <w:t>其</w:t>
      </w:r>
      <w:r>
        <w:rPr>
          <w:sz w:val="21"/>
          <w:szCs w:val="21"/>
        </w:rPr>
        <w:t>说明资源禀赋向经济产出的转化通道尚不充分，与H2所述方向一致。</w:t>
      </w:r>
    </w:p>
    <w:p w14:paraId="57486E8A">
      <w:pPr>
        <w:spacing w:before="160" w:after="80"/>
      </w:pPr>
      <w:r>
        <w:rPr>
          <w:rFonts w:eastAsia="黑体"/>
          <w:b/>
          <w:bCs/>
          <w:sz w:val="21"/>
          <w:szCs w:val="21"/>
        </w:rPr>
        <w:t>（四）局部敏感性分析</w:t>
      </w:r>
    </w:p>
    <w:p w14:paraId="10C5889D">
      <w:pPr>
        <w:ind w:firstLine="420"/>
        <w:jc w:val="both"/>
      </w:pPr>
      <w:r>
        <w:rPr>
          <w:sz w:val="21"/>
          <w:szCs w:val="21"/>
        </w:rPr>
        <w:t>以数值微分测算的局部敏感性见表5。三子系统的敏感性总体接近，其阶段性规律与前文一致。2017</w:t>
      </w:r>
      <w:r>
        <w:rPr>
          <w:rFonts w:hint="eastAsia"/>
          <w:sz w:val="21"/>
          <w:szCs w:val="21"/>
        </w:rPr>
        <w:t>—</w:t>
      </w:r>
      <w:r>
        <w:rPr>
          <w:sz w:val="21"/>
          <w:szCs w:val="21"/>
        </w:rPr>
        <w:t>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w:t>
      </w:r>
      <w:r>
        <w:rPr>
          <w:rFonts w:hint="eastAsia"/>
          <w:sz w:val="21"/>
          <w:szCs w:val="21"/>
        </w:rPr>
        <w:t>—</w:t>
      </w:r>
      <w:r>
        <w:rPr>
          <w:sz w:val="21"/>
          <w:szCs w:val="21"/>
        </w:rPr>
        <w:t>2025年呈现短板转移信号的观察相一致。</w:t>
      </w:r>
    </w:p>
    <w:p w14:paraId="0516B8C5">
      <w:pPr>
        <w:spacing w:before="140" w:after="40"/>
        <w:jc w:val="center"/>
      </w:pPr>
      <w:r>
        <w:rPr>
          <w:rFonts w:eastAsia="黑体"/>
          <w:b/>
          <w:bCs/>
          <w:sz w:val="21"/>
          <w:szCs w:val="21"/>
        </w:rPr>
        <w:t>表5　MPI对三子系统的局部敏感性（2017</w:t>
      </w:r>
      <w:r>
        <w:rPr>
          <w:rFonts w:hint="eastAsia" w:eastAsia="黑体"/>
          <w:b/>
          <w:bCs/>
          <w:sz w:val="21"/>
          <w:szCs w:val="21"/>
        </w:rPr>
        <w:t>—</w:t>
      </w:r>
      <w:r>
        <w:rPr>
          <w:rFonts w:eastAsia="黑体"/>
          <w:b/>
          <w:bCs/>
          <w:sz w:val="21"/>
          <w:szCs w:val="21"/>
        </w:rPr>
        <w:t>2025年）</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69563B7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3BB06DA">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02B642">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816CC62">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AB8D3C">
            <w:pPr>
              <w:spacing w:line="240" w:lineRule="auto"/>
              <w:jc w:val="center"/>
            </w:pPr>
            <w:r>
              <w:rPr>
                <w:b/>
                <w:bCs/>
                <w:sz w:val="18"/>
                <w:szCs w:val="18"/>
              </w:rPr>
              <w:t>ε</w:t>
            </w:r>
            <w:r>
              <w:rPr>
                <w:b/>
                <w:bCs/>
                <w:sz w:val="18"/>
                <w:szCs w:val="18"/>
                <w:vertAlign w:val="subscript"/>
              </w:rPr>
              <w:t>E</w:t>
            </w:r>
            <w:r>
              <w:rPr>
                <w:b/>
                <w:bCs/>
                <w:sz w:val="18"/>
                <w:szCs w:val="18"/>
              </w:rPr>
              <w:t>（对生态）</w:t>
            </w:r>
          </w:p>
        </w:tc>
      </w:tr>
      <w:tr w14:paraId="13296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C3544FD">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12A46D30">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48FD84A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40D7000A">
            <w:pPr>
              <w:spacing w:line="240" w:lineRule="auto"/>
              <w:jc w:val="center"/>
            </w:pPr>
            <w:r>
              <w:rPr>
                <w:sz w:val="18"/>
                <w:szCs w:val="18"/>
              </w:rPr>
              <w:t>0.378</w:t>
            </w:r>
          </w:p>
        </w:tc>
      </w:tr>
      <w:tr w14:paraId="631982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631B36C">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2BBCF7F3">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0B80E438">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6AC001FF">
            <w:pPr>
              <w:spacing w:line="240" w:lineRule="auto"/>
              <w:jc w:val="center"/>
            </w:pPr>
            <w:r>
              <w:rPr>
                <w:sz w:val="18"/>
                <w:szCs w:val="18"/>
              </w:rPr>
              <w:t>0.361</w:t>
            </w:r>
          </w:p>
        </w:tc>
      </w:tr>
      <w:tr w14:paraId="3443DD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4B72E64">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627BA2B8">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3C1E585E">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330DAB9">
            <w:pPr>
              <w:spacing w:line="240" w:lineRule="auto"/>
              <w:jc w:val="center"/>
            </w:pPr>
            <w:r>
              <w:rPr>
                <w:sz w:val="18"/>
                <w:szCs w:val="18"/>
              </w:rPr>
              <w:t>0.346</w:t>
            </w:r>
          </w:p>
        </w:tc>
      </w:tr>
      <w:tr w14:paraId="37D03B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A9444F3">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1525D787">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7CA00D3">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B8E93FD">
            <w:pPr>
              <w:spacing w:line="240" w:lineRule="auto"/>
              <w:jc w:val="center"/>
            </w:pPr>
            <w:r>
              <w:rPr>
                <w:sz w:val="18"/>
                <w:szCs w:val="18"/>
              </w:rPr>
              <w:t>0.305</w:t>
            </w:r>
          </w:p>
        </w:tc>
      </w:tr>
      <w:tr w14:paraId="42D8A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99FBAD">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1059007B">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41741FFD">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1EFBF452">
            <w:pPr>
              <w:spacing w:line="240" w:lineRule="auto"/>
              <w:jc w:val="center"/>
            </w:pPr>
            <w:r>
              <w:rPr>
                <w:sz w:val="18"/>
                <w:szCs w:val="18"/>
              </w:rPr>
              <w:t>0.304</w:t>
            </w:r>
          </w:p>
        </w:tc>
      </w:tr>
      <w:tr w14:paraId="33BB0B0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C47D886">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3B4A4B78">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2C3E1CAD">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5DEE9C5">
            <w:pPr>
              <w:spacing w:line="240" w:lineRule="auto"/>
              <w:jc w:val="center"/>
            </w:pPr>
            <w:r>
              <w:rPr>
                <w:sz w:val="18"/>
                <w:szCs w:val="18"/>
              </w:rPr>
              <w:t>0.291</w:t>
            </w:r>
          </w:p>
        </w:tc>
      </w:tr>
      <w:tr w14:paraId="6292690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9A1D013">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3FB830E9">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839237A">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312C813">
            <w:pPr>
              <w:spacing w:line="240" w:lineRule="auto"/>
              <w:jc w:val="center"/>
            </w:pPr>
            <w:r>
              <w:rPr>
                <w:sz w:val="18"/>
                <w:szCs w:val="18"/>
              </w:rPr>
              <w:t>0.319</w:t>
            </w:r>
          </w:p>
        </w:tc>
      </w:tr>
      <w:tr w14:paraId="08F04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5D503FF">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7807132B">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4277480A">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13855D">
            <w:pPr>
              <w:spacing w:line="240" w:lineRule="auto"/>
              <w:jc w:val="center"/>
            </w:pPr>
            <w:r>
              <w:rPr>
                <w:sz w:val="18"/>
                <w:szCs w:val="18"/>
              </w:rPr>
              <w:t>0.323</w:t>
            </w:r>
          </w:p>
        </w:tc>
      </w:tr>
      <w:tr w14:paraId="314593B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5500C59">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AF6553F">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07314475">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081BE5A5">
            <w:pPr>
              <w:spacing w:line="240" w:lineRule="auto"/>
              <w:jc w:val="center"/>
            </w:pPr>
            <w:r>
              <w:rPr>
                <w:sz w:val="18"/>
                <w:szCs w:val="18"/>
              </w:rPr>
              <w:t>0.292</w:t>
            </w:r>
          </w:p>
        </w:tc>
      </w:tr>
    </w:tbl>
    <w:p w14:paraId="55403309">
      <w:pPr>
        <w:spacing w:before="30" w:after="140"/>
      </w:pPr>
      <w:r>
        <w:rPr>
          <w:sz w:val="18"/>
          <w:szCs w:val="18"/>
        </w:rPr>
        <w:t>注：ε为MPI对子系统综合指数的局部敏感性（偏弹性），以±1%相对扰动双侧平均的数值微分逐年计算。</w:t>
      </w:r>
    </w:p>
    <w:p w14:paraId="1AF2C786">
      <w:pPr>
        <w:ind w:firstLine="420"/>
        <w:jc w:val="both"/>
      </w:pPr>
      <w:r>
        <w:rPr>
          <w:sz w:val="21"/>
          <w:szCs w:val="21"/>
        </w:rPr>
        <w:t>两项诊断都与H3所述的</w:t>
      </w:r>
      <w:r>
        <w:rPr>
          <w:rFonts w:hint="eastAsia"/>
          <w:sz w:val="21"/>
          <w:szCs w:val="21"/>
        </w:rPr>
        <w:t>“</w:t>
      </w:r>
      <w:r>
        <w:rPr>
          <w:sz w:val="21"/>
          <w:szCs w:val="21"/>
        </w:rPr>
        <w:t>短板动态转移</w:t>
      </w:r>
      <w:r>
        <w:rPr>
          <w:rFonts w:hint="eastAsia"/>
          <w:sz w:val="21"/>
          <w:szCs w:val="21"/>
        </w:rPr>
        <w:t>”</w:t>
      </w:r>
      <w:r>
        <w:rPr>
          <w:sz w:val="21"/>
          <w:szCs w:val="21"/>
        </w:rPr>
        <w:t>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由子系统偏离三者均值的程度决定，其排序与水平排序同源，两项诊断反映的是同一结构信息。综合来看，样本期内短板在三者之间发生了转移。其中，2016</w:t>
      </w:r>
      <w:r>
        <w:rPr>
          <w:rFonts w:hint="eastAsia"/>
          <w:sz w:val="21"/>
          <w:szCs w:val="21"/>
        </w:rPr>
        <w:t>—</w:t>
      </w:r>
      <w:r>
        <w:rPr>
          <w:sz w:val="21"/>
          <w:szCs w:val="21"/>
        </w:rPr>
        <w:t>2017年生态最弱、2018</w:t>
      </w:r>
      <w:r>
        <w:rPr>
          <w:rFonts w:hint="eastAsia"/>
          <w:sz w:val="21"/>
          <w:szCs w:val="21"/>
        </w:rPr>
        <w:t>—</w:t>
      </w:r>
      <w:r>
        <w:rPr>
          <w:sz w:val="21"/>
          <w:szCs w:val="21"/>
        </w:rPr>
        <w:t>2022年发展最弱，这两段判断是稳健的；2023</w:t>
      </w:r>
      <w:r>
        <w:rPr>
          <w:rFonts w:hint="eastAsia"/>
          <w:sz w:val="21"/>
          <w:szCs w:val="21"/>
        </w:rPr>
        <w:t>—</w:t>
      </w:r>
      <w:r>
        <w:rPr>
          <w:sz w:val="21"/>
          <w:szCs w:val="21"/>
        </w:rPr>
        <w:t>2025年</w:t>
      </w:r>
      <w:r>
        <w:rPr>
          <w:rFonts w:hint="eastAsia"/>
          <w:sz w:val="21"/>
          <w:szCs w:val="21"/>
        </w:rPr>
        <w:t>则</w:t>
      </w:r>
      <w:r>
        <w:rPr>
          <w:sz w:val="21"/>
          <w:szCs w:val="21"/>
        </w:rPr>
        <w:t>弱于前两段（见下文稳健性检验）。这一结果对应H3所述的短板动态。</w:t>
      </w:r>
    </w:p>
    <w:p w14:paraId="6EDD1EB1">
      <w:pPr>
        <w:spacing w:before="260" w:after="120"/>
      </w:pPr>
      <w:r>
        <w:rPr>
          <w:rFonts w:eastAsia="黑体"/>
          <w:b/>
          <w:bCs/>
          <w:sz w:val="28"/>
          <w:szCs w:val="28"/>
        </w:rPr>
        <w:t>五、稳健性检验与补充分析</w:t>
      </w:r>
    </w:p>
    <w:p w14:paraId="33EF634A">
      <w:pPr>
        <w:spacing w:before="160" w:after="80"/>
      </w:pPr>
      <w:r>
        <w:rPr>
          <w:rFonts w:eastAsia="黑体"/>
          <w:b/>
          <w:bCs/>
          <w:sz w:val="21"/>
          <w:szCs w:val="21"/>
        </w:rPr>
        <w:t>（一）与通用高质量发展指数的对照</w:t>
      </w:r>
    </w:p>
    <w:p w14:paraId="01C0D27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w:t>
      </w:r>
    </w:p>
    <w:p w14:paraId="5D561A9B">
      <w:pPr>
        <w:ind w:firstLine="420"/>
        <w:jc w:val="both"/>
      </w:pPr>
      <w:r>
        <w:rPr>
          <w:sz w:val="21"/>
          <w:szCs w:val="21"/>
        </w:rPr>
        <w:t>两个指数走势的相关系数为0.979，表明两种聚合方式对西藏高质量发展总体趋势的判断基本一致。对照指数的</w:t>
      </w:r>
      <w:r>
        <w:rPr>
          <w:rFonts w:hint="eastAsia"/>
          <w:sz w:val="21"/>
          <w:szCs w:val="21"/>
        </w:rPr>
        <w:t>“</w:t>
      </w:r>
      <w:r>
        <w:rPr>
          <w:sz w:val="21"/>
          <w:szCs w:val="21"/>
        </w:rPr>
        <w:t>绿色</w:t>
      </w:r>
      <w:r>
        <w:rPr>
          <w:rFonts w:hint="eastAsia"/>
          <w:sz w:val="21"/>
          <w:szCs w:val="21"/>
        </w:rPr>
        <w:t>”</w:t>
      </w:r>
      <w:r>
        <w:rPr>
          <w:sz w:val="21"/>
          <w:szCs w:val="21"/>
        </w:rPr>
        <w:t>维度与</w:t>
      </w:r>
      <w:r>
        <w:rPr>
          <w:rFonts w:hint="eastAsia"/>
          <w:sz w:val="21"/>
          <w:szCs w:val="21"/>
        </w:rPr>
        <w:t>“</w:t>
      </w:r>
      <w:r>
        <w:rPr>
          <w:sz w:val="21"/>
          <w:szCs w:val="21"/>
        </w:rPr>
        <w:t>生态</w:t>
      </w:r>
      <w:r>
        <w:rPr>
          <w:rFonts w:hint="eastAsia"/>
          <w:sz w:val="21"/>
          <w:szCs w:val="21"/>
        </w:rPr>
        <w:t>”</w:t>
      </w:r>
      <w:r>
        <w:rPr>
          <w:sz w:val="21"/>
          <w:szCs w:val="21"/>
        </w:rPr>
        <w:t>子系统的走势几乎重合，2016</w:t>
      </w:r>
      <w:r>
        <w:rPr>
          <w:rFonts w:hint="eastAsia"/>
          <w:sz w:val="21"/>
          <w:szCs w:val="21"/>
        </w:rPr>
        <w:t>—</w:t>
      </w:r>
      <w:r>
        <w:rPr>
          <w:sz w:val="21"/>
          <w:szCs w:val="21"/>
        </w:rPr>
        <w:t>2025年分别由0.261升至0.835、由0.267升至0.843。由于二者沿用同一指标集，这一重合是构造性的，表明</w:t>
      </w:r>
      <w:r>
        <w:rPr>
          <w:rFonts w:hint="eastAsia"/>
          <w:sz w:val="21"/>
          <w:szCs w:val="21"/>
        </w:rPr>
        <w:t>“</w:t>
      </w:r>
      <w:r>
        <w:rPr>
          <w:sz w:val="21"/>
          <w:szCs w:val="21"/>
        </w:rPr>
        <w:t>生态跨越式追赶</w:t>
      </w:r>
      <w:r>
        <w:rPr>
          <w:rFonts w:hint="eastAsia"/>
          <w:sz w:val="21"/>
          <w:szCs w:val="21"/>
        </w:rPr>
        <w:t>”</w:t>
      </w:r>
      <w:r>
        <w:rPr>
          <w:sz w:val="21"/>
          <w:szCs w:val="21"/>
        </w:rPr>
        <w:t>源于数据本身而非聚合环节。</w:t>
      </w:r>
    </w:p>
    <w:p w14:paraId="4B47992E">
      <w:pPr>
        <w:ind w:firstLine="420"/>
        <w:jc w:val="both"/>
        <w:rPr>
          <w:sz w:val="21"/>
          <w:szCs w:val="21"/>
        </w:rPr>
      </w:pPr>
      <w:r>
        <w:rPr>
          <w:sz w:val="21"/>
          <w:szCs w:val="21"/>
        </w:rPr>
        <w:t>两者的差异体现在结构层面。对照指数将安全相关指标并入</w:t>
      </w:r>
      <w:r>
        <w:rPr>
          <w:rFonts w:hint="eastAsia"/>
          <w:sz w:val="21"/>
          <w:szCs w:val="21"/>
        </w:rPr>
        <w:t>“</w:t>
      </w:r>
      <w:r>
        <w:rPr>
          <w:sz w:val="21"/>
          <w:szCs w:val="21"/>
        </w:rPr>
        <w:t>共享</w:t>
      </w:r>
      <w:r>
        <w:rPr>
          <w:rFonts w:hint="eastAsia"/>
          <w:sz w:val="21"/>
          <w:szCs w:val="21"/>
        </w:rPr>
        <w:t>”</w:t>
      </w:r>
      <w:r>
        <w:rPr>
          <w:sz w:val="21"/>
          <w:szCs w:val="21"/>
        </w:rPr>
        <w:t>等维度作线性加总，难以单独识别某一阶段是哪个功能维度构成短板；三元结构则以三个具有明确战略功能含义的子系统分别计算，再作弱补偿聚合，因而能够识别生态、发展相继构成相对短板的阶段性转换。</w:t>
      </w:r>
    </w:p>
    <w:p w14:paraId="14CC67A2">
      <w:pPr>
        <w:ind w:firstLine="420"/>
        <w:jc w:val="both"/>
      </w:pPr>
      <w:r>
        <w:rPr>
          <w:sz w:val="21"/>
          <w:szCs w:val="21"/>
        </w:rPr>
        <w:t>两个指数高度相关的原因，可由失衡惩罚项的实际幅度直接说明。由式（4），MPI与三子系统简单均值之差等于标准差与离散系数之积。逐年计算表明，样本期内该惩罚项介于0.000</w:t>
      </w:r>
      <w:r>
        <w:rPr>
          <w:rFonts w:hint="eastAsia"/>
          <w:sz w:val="21"/>
          <w:szCs w:val="21"/>
        </w:rPr>
        <w:t>—</w:t>
      </w:r>
      <w:r>
        <w:rPr>
          <w:sz w:val="21"/>
          <w:szCs w:val="21"/>
        </w:rPr>
        <w:t>0.031之间：2016年三子系统离散系数为0.270，惩罚幅度为0.031；此后子系统间差距收窄，离散系数降至0.026</w:t>
      </w:r>
      <w:r>
        <w:rPr>
          <w:rFonts w:hint="eastAsia"/>
          <w:sz w:val="21"/>
          <w:szCs w:val="21"/>
        </w:rPr>
        <w:t>—</w:t>
      </w:r>
      <w:r>
        <w:rPr>
          <w:sz w:val="21"/>
          <w:szCs w:val="21"/>
        </w:rPr>
        <w:t>0.127，惩罚幅度普遍低于0.008，2024年仅为0.000。这说明在样本中，三子系统的失衡程度本身有限，惩罚机制未对综合指数构成实质修正，两种聚合方式的结果因而高度接近。惩罚项接近于零这一事实本身即构成一项结果：它表明2016</w:t>
      </w:r>
      <w:r>
        <w:rPr>
          <w:rFonts w:hint="eastAsia"/>
          <w:sz w:val="21"/>
          <w:szCs w:val="21"/>
        </w:rPr>
        <w:t>—</w:t>
      </w:r>
      <w:r>
        <w:rPr>
          <w:sz w:val="21"/>
          <w:szCs w:val="21"/>
        </w:rPr>
        <w:t>2025年西藏三元关系总体均衡，尚未出现某一子系统严重掉队的情形。就方法而言，表2的数值对照显示，当子系统差距扩大到(0.9, 0.9, 0.2)一类情形时惩罚幅度可达0.164，弱补偿聚合的区分力在失衡更为明显的区域或更长时段中才会充分体现。</w:t>
      </w:r>
    </w:p>
    <w:p w14:paraId="00B0773D">
      <w:pPr>
        <w:ind w:firstLine="420"/>
        <w:jc w:val="both"/>
      </w:pPr>
      <w:r>
        <w:rPr>
          <w:sz w:val="21"/>
          <w:szCs w:val="21"/>
        </w:rPr>
        <w:t>据此还可以进一步分辨本文增量的来源。对照指数与三元指数之间的差别同时包含两项：一是分组方式，即是否把安全从其他维度中抽出、单列为一个子系统；二是聚合方式，即线性加总还是失衡惩罚。上述惩罚项的实际幅度表明，在本样本中后者几乎不起作用，真正使阶段性短板得以识别的是前者。因此，本文的方法论增量应当归于评价维度的功能性分组；失衡惩罚聚合在此更接近一项与该分组相配套、只在失衡加剧时才会显效的保留机制，其区分力需要在失衡更为明显的区域或更长时段中另行检验。</w:t>
      </w:r>
    </w:p>
    <w:p w14:paraId="0CDB1A48">
      <w:pPr>
        <w:spacing w:before="160" w:after="80"/>
      </w:pPr>
      <w:r>
        <w:rPr>
          <w:rFonts w:eastAsia="黑体"/>
          <w:b/>
          <w:bCs/>
          <w:sz w:val="21"/>
          <w:szCs w:val="21"/>
        </w:rPr>
        <w:t>（二）标准化方法与权重方案的稳健性</w:t>
      </w:r>
    </w:p>
    <w:p w14:paraId="4C8BFBB2">
      <w:pPr>
        <w:ind w:firstLine="420"/>
        <w:jc w:val="both"/>
      </w:pPr>
      <w:r>
        <w:rPr>
          <w:sz w:val="21"/>
          <w:szCs w:val="21"/>
        </w:rPr>
        <w:t>首先是滚动端点稳定性检验。以2016</w:t>
      </w:r>
      <w:r>
        <w:rPr>
          <w:rFonts w:hint="eastAsia"/>
          <w:sz w:val="21"/>
          <w:szCs w:val="21"/>
        </w:rPr>
        <w:t>—</w:t>
      </w:r>
      <w:r>
        <w:rPr>
          <w:sz w:val="21"/>
          <w:szCs w:val="21"/>
        </w:rPr>
        <w:t>2022年的截断样本重算固定基准法的标准化结果，与全样本口径下的同期取值逐年比较，二者完全一致，最大绝对差异为0。同样的截断操作若改用极差标准化，2016</w:t>
      </w:r>
      <w:r>
        <w:rPr>
          <w:rFonts w:hint="eastAsia"/>
          <w:sz w:val="21"/>
          <w:szCs w:val="21"/>
        </w:rPr>
        <w:t>—</w:t>
      </w:r>
      <w:r>
        <w:rPr>
          <w:sz w:val="21"/>
          <w:szCs w:val="21"/>
        </w:rPr>
        <w:t>2022年的取值则出现明显偏移，最大绝对差异达0.229，即协调指数在0</w:t>
      </w:r>
      <w:r>
        <w:rPr>
          <w:rFonts w:hint="eastAsia"/>
          <w:sz w:val="21"/>
          <w:szCs w:val="21"/>
        </w:rPr>
        <w:t>—</w:t>
      </w:r>
      <w:r>
        <w:rPr>
          <w:sz w:val="21"/>
          <w:szCs w:val="21"/>
        </w:rPr>
        <w:t>1量表上偏移约23个百分点，而且历史年份的偏移方向并不一致。</w:t>
      </w:r>
      <w:r>
        <w:rPr>
          <w:rFonts w:hint="eastAsia"/>
          <w:sz w:val="21"/>
          <w:szCs w:val="21"/>
        </w:rPr>
        <w:t>上述</w:t>
      </w:r>
      <w:r>
        <w:rPr>
          <w:sz w:val="21"/>
          <w:szCs w:val="21"/>
        </w:rPr>
        <w:t>差异按MPI协调指数层计算；若按指标层标准化值计算，最大绝对差异达0.615。这表明，在固定基准法下，历史年份不会因未来数据加入而被回溯改写，极差标准化则存在这一问题。</w:t>
      </w:r>
    </w:p>
    <w:p w14:paraId="3143C234">
      <w:pPr>
        <w:ind w:firstLine="420"/>
        <w:jc w:val="both"/>
      </w:pPr>
      <w:r>
        <w:rPr>
          <w:sz w:val="21"/>
          <w:szCs w:val="21"/>
        </w:rPr>
        <w:t>其次是权重集中度检验。以CRITIC</w:t>
      </w:r>
      <w:r>
        <w:rPr>
          <w:rFonts w:hint="eastAsia"/>
          <w:sz w:val="21"/>
          <w:szCs w:val="21"/>
        </w:rPr>
        <w:t>—</w:t>
      </w:r>
      <w:r>
        <w:rPr>
          <w:sz w:val="21"/>
          <w:szCs w:val="21"/>
        </w:rPr>
        <w:t>熵值组合权重重算的结果显示，权重高度集中于森林覆盖率（0.303）、外向度（0.228）、草原综合植被盖度（0.195）和单位GDP能耗指数（0.101）四项，合计约83%，其余9项合计仅17%，安全类指标的权重普遍低于1.2%。</w:t>
      </w:r>
      <w:r>
        <w:rPr>
          <w:rFonts w:hint="eastAsia"/>
          <w:sz w:val="21"/>
          <w:szCs w:val="21"/>
        </w:rPr>
        <w:t>该</w:t>
      </w:r>
      <w:r>
        <w:rPr>
          <w:sz w:val="21"/>
          <w:szCs w:val="21"/>
        </w:rPr>
        <w:t>结果支持子系统合成采用等权而不是客观赋权：纯统计驱动的赋权会被样本期内方差较大的少数指标主导，忽略趋势平稳但同样重要的指标。客观赋权因此只用于结构性贡献缺口诊断与稳健性对照。</w:t>
      </w:r>
    </w:p>
    <w:p w14:paraId="0F7E21A8">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w:t>
      </w:r>
      <w:r>
        <w:rPr>
          <w:rFonts w:hint="eastAsia"/>
          <w:sz w:val="21"/>
          <w:szCs w:val="21"/>
        </w:rPr>
        <w:t>“</w:t>
      </w:r>
      <w:r>
        <w:rPr>
          <w:sz w:val="21"/>
          <w:szCs w:val="21"/>
        </w:rPr>
        <w:t>三子系统总体改善、协调状态稳步提升</w:t>
      </w:r>
      <w:r>
        <w:rPr>
          <w:rFonts w:hint="eastAsia"/>
          <w:sz w:val="21"/>
          <w:szCs w:val="21"/>
        </w:rPr>
        <w:t>”该</w:t>
      </w:r>
      <w:r>
        <w:rPr>
          <w:sz w:val="21"/>
          <w:szCs w:val="21"/>
        </w:rPr>
        <w:t>核心结论不受影响。但</w:t>
      </w:r>
      <w:r>
        <w:rPr>
          <w:rFonts w:hint="eastAsia"/>
          <w:sz w:val="21"/>
          <w:szCs w:val="21"/>
        </w:rPr>
        <w:t>“</w:t>
      </w:r>
      <w:r>
        <w:rPr>
          <w:sz w:val="21"/>
          <w:szCs w:val="21"/>
        </w:rPr>
        <w:t>2023</w:t>
      </w:r>
      <w:r>
        <w:rPr>
          <w:rFonts w:hint="eastAsia"/>
          <w:sz w:val="21"/>
          <w:szCs w:val="21"/>
        </w:rPr>
        <w:t>—</w:t>
      </w:r>
      <w:r>
        <w:rPr>
          <w:sz w:val="21"/>
          <w:szCs w:val="21"/>
        </w:rPr>
        <w:t>2025年安全转为相对短板</w:t>
      </w:r>
      <w:r>
        <w:rPr>
          <w:rFonts w:hint="eastAsia"/>
          <w:sz w:val="21"/>
          <w:szCs w:val="21"/>
        </w:rPr>
        <w:t>”</w:t>
      </w:r>
      <w:r>
        <w:rPr>
          <w:sz w:val="21"/>
          <w:szCs w:val="21"/>
        </w:rPr>
        <w:t>的阶段性排序，对惯例性上限设定较为敏感。</w:t>
      </w:r>
    </w:p>
    <w:p w14:paraId="74DDD88F">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12.54%）已超出12.51%的规划目标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7DC9DE6E">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44672529">
      <w:pPr>
        <w:ind w:firstLine="420"/>
        <w:jc w:val="both"/>
      </w:pPr>
      <w:r>
        <w:rPr>
          <w:sz w:val="21"/>
          <w:szCs w:val="21"/>
        </w:rPr>
        <w:t>上述检验针对的都是单一基准取值的变动，还有一项更基础的限制未能由此覆盖：三个子系统的标准化基准在性质上并不同质。生态的E2、E4以</w:t>
      </w:r>
      <w:r>
        <w:rPr>
          <w:rFonts w:hint="eastAsia"/>
          <w:sz w:val="21"/>
          <w:szCs w:val="21"/>
        </w:rPr>
        <w:t>“</w:t>
      </w:r>
      <w:r>
        <w:rPr>
          <w:sz w:val="21"/>
          <w:szCs w:val="21"/>
        </w:rPr>
        <w:t>十四五</w:t>
      </w:r>
      <w:r>
        <w:rPr>
          <w:rFonts w:hint="eastAsia"/>
          <w:sz w:val="21"/>
          <w:szCs w:val="21"/>
        </w:rPr>
        <w:t>”</w:t>
      </w:r>
      <w:r>
        <w:rPr>
          <w:sz w:val="21"/>
          <w:szCs w:val="21"/>
        </w:rPr>
        <w:t>规划目标的达成度为尺度，发展的D1、D2以相对全国水平为尺度，其余指标则采用</w:t>
      </w:r>
      <w:r>
        <w:rPr>
          <w:rFonts w:hint="eastAsia"/>
          <w:sz w:val="21"/>
          <w:szCs w:val="21"/>
        </w:rPr>
        <w:t>“</w:t>
      </w:r>
      <w:r>
        <w:rPr>
          <w:sz w:val="21"/>
          <w:szCs w:val="21"/>
        </w:rPr>
        <w:t>0为下限、留有余量的整数为上限</w:t>
      </w:r>
      <w:r>
        <w:rPr>
          <w:rFonts w:hint="eastAsia"/>
          <w:sz w:val="21"/>
          <w:szCs w:val="21"/>
        </w:rPr>
        <w:t>”</w:t>
      </w:r>
      <w:r>
        <w:rPr>
          <w:sz w:val="21"/>
          <w:szCs w:val="21"/>
        </w:rPr>
        <w:t>的惯例设定。三个子系统指数因而是三把不同尺子上的读数，而失衡惩罚、短板识别与局部敏感性都建立在跨子系统的水平比较之上。这意味着</w:t>
      </w:r>
      <w:r>
        <w:rPr>
          <w:rFonts w:hint="eastAsia"/>
          <w:sz w:val="21"/>
          <w:szCs w:val="21"/>
        </w:rPr>
        <w:t>“</w:t>
      </w:r>
      <w:r>
        <w:rPr>
          <w:sz w:val="21"/>
          <w:szCs w:val="21"/>
        </w:rPr>
        <w:t>哪个子系统最弱</w:t>
      </w:r>
      <w:r>
        <w:rPr>
          <w:rFonts w:hint="eastAsia"/>
          <w:sz w:val="21"/>
          <w:szCs w:val="21"/>
        </w:rPr>
        <w:t>”</w:t>
      </w:r>
      <w:r>
        <w:rPr>
          <w:sz w:val="21"/>
          <w:szCs w:val="21"/>
        </w:rPr>
        <w:t>在一定程度上取决于基准类型的选择；扰动检验与留一法覆盖的是同一类基准内部的取值变动，基准类型之间的不可通约性不在其范围之内。本文据此把短板识别的结论分为两层：201</w:t>
      </w:r>
      <w:r>
        <w:rPr>
          <w:rFonts w:hint="eastAsia"/>
          <w:sz w:val="21"/>
          <w:szCs w:val="21"/>
        </w:rPr>
        <w:t>6—</w:t>
      </w:r>
      <w:r>
        <w:rPr>
          <w:sz w:val="21"/>
          <w:szCs w:val="21"/>
        </w:rPr>
        <w:t>2017年与2018</w:t>
      </w:r>
      <w:r>
        <w:rPr>
          <w:rFonts w:hint="eastAsia"/>
          <w:sz w:val="21"/>
          <w:szCs w:val="21"/>
        </w:rPr>
        <w:t>—</w:t>
      </w:r>
      <w:r>
        <w:rPr>
          <w:sz w:val="21"/>
          <w:szCs w:val="21"/>
        </w:rPr>
        <w:t>2022年的判断在多种设定下稳健，末段的安全信号属初步观察。</w:t>
      </w:r>
    </w:p>
    <w:p w14:paraId="440971D5">
      <w:pPr>
        <w:spacing w:before="160" w:after="80"/>
      </w:pPr>
      <w:r>
        <w:rPr>
          <w:rFonts w:eastAsia="黑体"/>
          <w:b/>
          <w:bCs/>
          <w:sz w:val="21"/>
          <w:szCs w:val="21"/>
        </w:rPr>
        <w:t>（三）关键指标的留一法检验</w:t>
      </w:r>
    </w:p>
    <w:p w14:paraId="3960CD59">
      <w:pPr>
        <w:ind w:firstLine="420"/>
        <w:jc w:val="both"/>
      </w:pPr>
      <w:r>
        <w:rPr>
          <w:sz w:val="21"/>
          <w:szCs w:val="21"/>
        </w:rPr>
        <w:t>逐一剔除13项指标后重算等权主模型，结果见表6；表6列出分别来自安全、发展、生态三子系统的5项代表性指标，完整13项见附表A1。</w:t>
      </w:r>
      <w:r>
        <w:rPr>
          <w:rFonts w:hint="eastAsia"/>
          <w:sz w:val="21"/>
          <w:szCs w:val="21"/>
        </w:rPr>
        <w:t>“</w:t>
      </w:r>
      <w:r>
        <w:rPr>
          <w:sz w:val="21"/>
          <w:szCs w:val="21"/>
        </w:rPr>
        <w:t>发展在样本中期相对偏弱</w:t>
      </w:r>
      <w:r>
        <w:rPr>
          <w:rFonts w:hint="eastAsia"/>
          <w:sz w:val="21"/>
          <w:szCs w:val="21"/>
        </w:rPr>
        <w:t>”的</w:t>
      </w:r>
      <w:r>
        <w:rPr>
          <w:sz w:val="21"/>
          <w:szCs w:val="21"/>
        </w:rPr>
        <w:t>方向性判断，其具体年数在不同设定下在2</w:t>
      </w:r>
      <w:r>
        <w:rPr>
          <w:rFonts w:hint="eastAsia"/>
          <w:sz w:val="21"/>
          <w:szCs w:val="21"/>
        </w:rPr>
        <w:t>—</w:t>
      </w:r>
      <w:r>
        <w:rPr>
          <w:sz w:val="21"/>
          <w:szCs w:val="21"/>
        </w:rPr>
        <w:t>9年之间波动，其中13项设定有11项不少于3年（完整结果见附表A1）。据此可以区分强、弱两层结论：强结论是2018</w:t>
      </w:r>
      <w:r>
        <w:rPr>
          <w:rFonts w:hint="eastAsia"/>
          <w:sz w:val="21"/>
          <w:szCs w:val="21"/>
        </w:rPr>
        <w:t>—</w:t>
      </w:r>
      <w:r>
        <w:rPr>
          <w:sz w:val="21"/>
          <w:szCs w:val="21"/>
        </w:rPr>
        <w:t>2022年为发展相对滞后的重要阶段，该判断在多数设定下成立，但在剔除S4或D3的设定下发展最弱年数降至2年，其稳健性弱于</w:t>
      </w:r>
      <w:r>
        <w:rPr>
          <w:rFonts w:hint="eastAsia"/>
          <w:sz w:val="21"/>
          <w:szCs w:val="21"/>
        </w:rPr>
        <w:t>“</w:t>
      </w:r>
      <w:r>
        <w:rPr>
          <w:sz w:val="21"/>
          <w:szCs w:val="21"/>
        </w:rPr>
        <w:t>样本期内短板在三者之间发生转移</w:t>
      </w:r>
      <w:r>
        <w:rPr>
          <w:rFonts w:hint="eastAsia"/>
          <w:sz w:val="21"/>
          <w:szCs w:val="21"/>
        </w:rPr>
        <w:t>”</w:t>
      </w:r>
      <w:r>
        <w:rPr>
          <w:rFonts w:hint="eastAsia"/>
        </w:rPr>
        <w:t xml:space="preserve"> </w:t>
      </w:r>
      <w:r>
        <w:rPr>
          <w:sz w:val="21"/>
          <w:szCs w:val="21"/>
        </w:rPr>
        <w:t>这个更一般的判断；弱结论是每一年是否为发展最低、该状态持续几年，并不完全稳健。因此结果部分不给出精确年数。</w:t>
      </w:r>
    </w:p>
    <w:p w14:paraId="51B2A86C">
      <w:pPr>
        <w:ind w:firstLine="420"/>
        <w:jc w:val="both"/>
      </w:pPr>
      <w:r>
        <w:rPr>
          <w:sz w:val="21"/>
          <w:szCs w:val="21"/>
        </w:rPr>
        <w:t>就外向度（D3）而言，其标准化上限最依赖惯例设定，但表6显示，剔除D3后MPI协调指数仍逐年上升，</w:t>
      </w:r>
      <w:r>
        <w:rPr>
          <w:rFonts w:hint="eastAsia"/>
          <w:sz w:val="21"/>
          <w:szCs w:val="21"/>
        </w:rPr>
        <w:t>“</w:t>
      </w:r>
      <w:r>
        <w:rPr>
          <w:sz w:val="21"/>
          <w:szCs w:val="21"/>
        </w:rPr>
        <w:t>2018</w:t>
      </w:r>
      <w:r>
        <w:rPr>
          <w:rFonts w:hint="eastAsia"/>
          <w:sz w:val="21"/>
          <w:szCs w:val="21"/>
        </w:rPr>
        <w:t>—</w:t>
      </w:r>
      <w:r>
        <w:rPr>
          <w:sz w:val="21"/>
          <w:szCs w:val="21"/>
        </w:rPr>
        <w:t>2022年发展相对偏弱</w:t>
      </w:r>
      <w:r>
        <w:rPr>
          <w:rFonts w:hint="eastAsia"/>
          <w:sz w:val="21"/>
          <w:szCs w:val="21"/>
        </w:rPr>
        <w:t>”</w:t>
      </w:r>
      <w:r>
        <w:rPr>
          <w:sz w:val="21"/>
          <w:szCs w:val="21"/>
        </w:rPr>
        <w:t>的方向性判断依然成立，发展最弱年数降至2年。这说明核心趋势结论并不依赖D3上限的具体取值。</w:t>
      </w:r>
    </w:p>
    <w:p w14:paraId="4DF40FF3">
      <w:pPr>
        <w:spacing w:before="140" w:after="40"/>
        <w:jc w:val="center"/>
      </w:pPr>
      <w:r>
        <w:rPr>
          <w:rFonts w:eastAsia="黑体"/>
          <w:b/>
          <w:bCs/>
          <w:sz w:val="21"/>
          <w:szCs w:val="21"/>
        </w:rPr>
        <w:t>表6　关键指标留一法（LOO）结果（节选）</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74C5CBF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14B984">
            <w:pPr>
              <w:spacing w:line="240" w:lineRule="auto"/>
              <w:jc w:val="center"/>
            </w:pPr>
            <w:r>
              <w:rPr>
                <w:b/>
                <w:bCs/>
                <w:sz w:val="18"/>
                <w:szCs w:val="18"/>
              </w:rPr>
              <w:t>剔除指标</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1DC76E">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E78B5EE">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7E845AE">
            <w:pPr>
              <w:spacing w:line="240" w:lineRule="auto"/>
              <w:jc w:val="center"/>
            </w:pPr>
            <w:r>
              <w:rPr>
                <w:b/>
                <w:bCs/>
                <w:sz w:val="18"/>
                <w:szCs w:val="18"/>
              </w:rPr>
              <w:t>发展最弱年数（共10年）</w:t>
            </w:r>
          </w:p>
        </w:tc>
      </w:tr>
      <w:tr w14:paraId="74D1BD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32FE0C8">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3ECF4F45">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3220D226">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302ACB9B">
            <w:pPr>
              <w:spacing w:line="240" w:lineRule="auto"/>
              <w:jc w:val="center"/>
            </w:pPr>
            <w:r>
              <w:rPr>
                <w:sz w:val="18"/>
                <w:szCs w:val="18"/>
              </w:rPr>
              <w:t>7</w:t>
            </w:r>
          </w:p>
        </w:tc>
      </w:tr>
      <w:tr w14:paraId="3EC0B0D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D70AF14">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56F954BA">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63441D5">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0DCE4F31">
            <w:pPr>
              <w:spacing w:line="240" w:lineRule="auto"/>
              <w:jc w:val="center"/>
            </w:pPr>
            <w:r>
              <w:rPr>
                <w:sz w:val="18"/>
                <w:szCs w:val="18"/>
              </w:rPr>
              <w:t>2</w:t>
            </w:r>
          </w:p>
        </w:tc>
      </w:tr>
      <w:tr w14:paraId="3F02B4A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14DF29E">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26615331">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7EC156B0">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5A27AC1D">
            <w:pPr>
              <w:spacing w:line="240" w:lineRule="auto"/>
              <w:jc w:val="center"/>
            </w:pPr>
            <w:r>
              <w:rPr>
                <w:sz w:val="18"/>
                <w:szCs w:val="18"/>
              </w:rPr>
              <w:t>2</w:t>
            </w:r>
          </w:p>
        </w:tc>
      </w:tr>
      <w:tr w14:paraId="51B3D81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5D9DFAE">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72671510">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779FF481">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4E73F611">
            <w:pPr>
              <w:spacing w:line="240" w:lineRule="auto"/>
              <w:jc w:val="center"/>
            </w:pPr>
            <w:r>
              <w:rPr>
                <w:sz w:val="18"/>
                <w:szCs w:val="18"/>
              </w:rPr>
              <w:t>5</w:t>
            </w:r>
          </w:p>
        </w:tc>
      </w:tr>
      <w:tr w14:paraId="7CCAB1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7B75FC76">
            <w:pPr>
              <w:spacing w:line="240" w:lineRule="auto"/>
              <w:jc w:val="center"/>
            </w:pPr>
            <w:r>
              <w:rPr>
                <w:sz w:val="18"/>
                <w:szCs w:val="18"/>
              </w:rPr>
              <w:t>E4 草原综合植被盖度</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86342B6">
            <w:pPr>
              <w:spacing w:line="240" w:lineRule="auto"/>
              <w:jc w:val="center"/>
            </w:pPr>
            <w:r>
              <w:rPr>
                <w:sz w:val="18"/>
                <w:szCs w:val="18"/>
              </w:rPr>
              <w:t>0.439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3032619">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AD948CC">
            <w:pPr>
              <w:spacing w:line="240" w:lineRule="auto"/>
              <w:jc w:val="center"/>
            </w:pPr>
            <w:r>
              <w:rPr>
                <w:sz w:val="18"/>
                <w:szCs w:val="18"/>
              </w:rPr>
              <w:t>5</w:t>
            </w:r>
          </w:p>
        </w:tc>
      </w:tr>
    </w:tbl>
    <w:p w14:paraId="07045021">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指样本期10年中发展子系统指数在三者中最低的年数；全部13项结果见附表A1。</w:t>
      </w:r>
    </w:p>
    <w:p w14:paraId="4B82ACC6">
      <w:pPr>
        <w:spacing w:before="260" w:after="120"/>
      </w:pPr>
      <w:r>
        <w:rPr>
          <w:rFonts w:eastAsia="黑体"/>
          <w:b/>
          <w:bCs/>
          <w:sz w:val="28"/>
          <w:szCs w:val="28"/>
        </w:rPr>
        <w:t>六、进一步讨论</w:t>
      </w:r>
    </w:p>
    <w:p w14:paraId="6F2AF6E7">
      <w:pPr>
        <w:spacing w:before="160" w:after="80"/>
      </w:pPr>
      <w:r>
        <w:rPr>
          <w:rFonts w:eastAsia="黑体"/>
          <w:b/>
          <w:bCs/>
          <w:sz w:val="21"/>
          <w:szCs w:val="21"/>
        </w:rPr>
        <w:t>（一）战略功能与西藏发展结构</w:t>
      </w:r>
    </w:p>
    <w:p w14:paraId="5E4EE6FD">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由于发展子系统在2020</w:t>
      </w:r>
      <w:r>
        <w:rPr>
          <w:rFonts w:hint="eastAsia"/>
          <w:sz w:val="21"/>
          <w:szCs w:val="21"/>
        </w:rPr>
        <w:t>—</w:t>
      </w:r>
      <w:r>
        <w:rPr>
          <w:sz w:val="21"/>
          <w:szCs w:val="21"/>
        </w:rPr>
        <w:t>2022年的低位还叠加了疫情冲击，该解释未能将战略功能因素与疫情因素分离，因此只具有方向性，有待可比参照区与结构分解方法的检验。</w:t>
      </w:r>
    </w:p>
    <w:p w14:paraId="1400677B">
      <w:pPr>
        <w:spacing w:before="160" w:after="80"/>
      </w:pPr>
      <w:r>
        <w:rPr>
          <w:rFonts w:eastAsia="黑体"/>
          <w:b/>
          <w:bCs/>
          <w:sz w:val="21"/>
          <w:szCs w:val="21"/>
        </w:rPr>
        <w:t>（二）生态优势的转化与指标归类</w:t>
      </w:r>
    </w:p>
    <w:p w14:paraId="6E8E9EEA">
      <w:pPr>
        <w:ind w:firstLine="420"/>
        <w:jc w:val="both"/>
      </w:pPr>
      <w:r>
        <w:rPr>
          <w:sz w:val="21"/>
          <w:szCs w:val="21"/>
        </w:rPr>
        <w:t>生态子系统的跨越式改善与</w:t>
      </w:r>
      <w:r>
        <w:rPr>
          <w:rFonts w:hint="eastAsia"/>
          <w:sz w:val="21"/>
          <w:szCs w:val="21"/>
        </w:rPr>
        <w:t>“</w:t>
      </w:r>
      <w:r>
        <w:rPr>
          <w:sz w:val="21"/>
          <w:szCs w:val="21"/>
        </w:rPr>
        <w:t>十四五</w:t>
      </w:r>
      <w:r>
        <w:rPr>
          <w:rFonts w:hint="eastAsia"/>
          <w:sz w:val="21"/>
          <w:szCs w:val="21"/>
        </w:rPr>
        <w:t>”</w:t>
      </w:r>
      <w:r>
        <w:rPr>
          <w:sz w:val="21"/>
          <w:szCs w:val="21"/>
        </w:rPr>
        <w:t>规划目标的逐步达成直接对应，是可观测的政策成效；但如前文所述，其涨幅幅度同时受E2、E4基准构造的影响，政策成效与指数涨幅需要分开理解。生态优势能否进一步转化为发展动能，即H2所设想的由</w:t>
      </w:r>
      <w:r>
        <w:rPr>
          <w:rFonts w:hint="eastAsia"/>
          <w:sz w:val="21"/>
          <w:szCs w:val="21"/>
        </w:rPr>
        <w:t>“</w:t>
      </w:r>
      <w:r>
        <w:rPr>
          <w:sz w:val="21"/>
          <w:szCs w:val="21"/>
        </w:rPr>
        <w:t>约束关系</w:t>
      </w:r>
      <w:r>
        <w:rPr>
          <w:rFonts w:hint="eastAsia"/>
          <w:sz w:val="21"/>
          <w:szCs w:val="21"/>
        </w:rPr>
        <w:t>”</w:t>
      </w:r>
      <w:r>
        <w:rPr>
          <w:sz w:val="21"/>
          <w:szCs w:val="21"/>
        </w:rPr>
        <w:t>向</w:t>
      </w:r>
      <w:r>
        <w:rPr>
          <w:rFonts w:hint="eastAsia"/>
          <w:sz w:val="21"/>
          <w:szCs w:val="21"/>
        </w:rPr>
        <w:t>“</w:t>
      </w:r>
      <w:r>
        <w:rPr>
          <w:sz w:val="21"/>
          <w:szCs w:val="21"/>
        </w:rPr>
        <w:t>协同关系</w:t>
      </w:r>
      <w:r>
        <w:rPr>
          <w:rFonts w:hint="eastAsia"/>
          <w:sz w:val="21"/>
          <w:szCs w:val="21"/>
        </w:rPr>
        <w:t>”</w:t>
      </w:r>
      <w:r>
        <w:rPr>
          <w:sz w:val="21"/>
          <w:szCs w:val="21"/>
        </w:rPr>
        <w:t>的转变，仍是有待回答的问题：清洁能源外送的证据提示了这种可能，但转化通道的畅通程度需要更细致的微观数据才能测度。归类选择本身同样有影响：发电量（D5）计入发展子系统而非生态子系统，清洁能源的规模扩张因而直接抬高发展指数，H2所对应的部分经验线索与这一归类有关；若改置于生态子系统，生态与发展的相对位置会随之变化。</w:t>
      </w:r>
    </w:p>
    <w:p w14:paraId="707370EA">
      <w:pPr>
        <w:spacing w:before="260" w:after="120"/>
      </w:pPr>
      <w:r>
        <w:rPr>
          <w:rFonts w:eastAsia="黑体"/>
          <w:b/>
          <w:bCs/>
          <w:sz w:val="28"/>
          <w:szCs w:val="28"/>
        </w:rPr>
        <w:t>七、结论与政策启示</w:t>
      </w:r>
    </w:p>
    <w:p w14:paraId="17BFAF3B">
      <w:pPr>
        <w:spacing w:before="160" w:after="80"/>
      </w:pPr>
      <w:r>
        <w:rPr>
          <w:rFonts w:eastAsia="黑体"/>
          <w:b/>
          <w:bCs/>
          <w:sz w:val="21"/>
          <w:szCs w:val="21"/>
        </w:rPr>
        <w:t>（一）主要结论</w:t>
      </w:r>
    </w:p>
    <w:p w14:paraId="2FB22567">
      <w:pPr>
        <w:ind w:firstLine="420"/>
        <w:jc w:val="both"/>
        <w:rPr>
          <w:sz w:val="21"/>
          <w:szCs w:val="21"/>
        </w:rPr>
      </w:pPr>
      <w:r>
        <w:rPr>
          <w:rFonts w:hint="eastAsia"/>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研究结果表明：</w:t>
      </w:r>
    </w:p>
    <w:p w14:paraId="6051B862">
      <w:pPr>
        <w:ind w:firstLine="420"/>
        <w:jc w:val="both"/>
        <w:rPr>
          <w:sz w:val="21"/>
          <w:szCs w:val="21"/>
        </w:rPr>
      </w:pPr>
      <w:r>
        <w:rPr>
          <w:rFonts w:hint="eastAsia"/>
          <w:sz w:val="21"/>
          <w:szCs w:val="21"/>
        </w:rPr>
        <w:t>（1）从水平看，样本期内三子系统综合指数总体呈上升趋势，MPI协调指数由2016年的0.393升至2025年的0.754，三元协调水平持续改善。</w:t>
      </w:r>
      <w:r>
        <w:rPr>
          <w:sz w:val="21"/>
          <w:szCs w:val="21"/>
        </w:rPr>
        <w:t>这说明统筹推进稳定、发展、生态、强边的总体方向是有效的，三项功能在样本期内同步改善，未出现以一项功能换取另一项功能的情形。</w:t>
      </w:r>
    </w:p>
    <w:p w14:paraId="3A1B6AE2">
      <w:pPr>
        <w:ind w:firstLine="420"/>
        <w:jc w:val="both"/>
        <w:rPr>
          <w:sz w:val="21"/>
          <w:szCs w:val="21"/>
        </w:rPr>
      </w:pPr>
      <w:r>
        <w:rPr>
          <w:rFonts w:hint="eastAsia"/>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潜在的短板转移信号，但这一末段排序对惯例性固定上限的设定较为敏感，尚属初步观察。</w:t>
      </w:r>
      <w:r>
        <w:rPr>
          <w:sz w:val="21"/>
          <w:szCs w:val="21"/>
        </w:rPr>
        <w:t>由此，政策资源的配置不宜固定投向某一子系统，而应随当期短板所在适时调整，这是下文第一、三、四条建议的依据。</w:t>
      </w:r>
    </w:p>
    <w:p w14:paraId="48E02D6D">
      <w:pPr>
        <w:ind w:firstLine="420"/>
        <w:jc w:val="both"/>
        <w:rPr>
          <w:sz w:val="21"/>
          <w:szCs w:val="21"/>
        </w:rPr>
      </w:pPr>
      <w:r>
        <w:rPr>
          <w:rFonts w:hint="eastAsia"/>
          <w:sz w:val="21"/>
          <w:szCs w:val="21"/>
        </w:rPr>
        <w:t>（3）从评价框架看，本文将安全、发展与生态作为具有不同战略功能含义的三个子系统加以考察，能够呈现通用线性加总框架不易直接揭示的阶段性相对短板。样本期内，生态与发展相继成为相对短板，说明制约三元协调的因素并非固定不变。</w:t>
      </w:r>
      <w:r>
        <w:rPr>
          <w:sz w:val="21"/>
          <w:szCs w:val="21"/>
        </w:rPr>
        <w:t>对考核评价而言，这提示对西藏宜把安全屏障与生态屏障功能单列考察，而不宜仅以经济增长或线性加总指数衡量。</w:t>
      </w:r>
    </w:p>
    <w:p w14:paraId="5B3B99D2">
      <w:pPr>
        <w:ind w:firstLine="420"/>
        <w:jc w:val="both"/>
        <w:rPr>
          <w:sz w:val="21"/>
          <w:szCs w:val="21"/>
        </w:rPr>
      </w:pPr>
      <w:r>
        <w:rPr>
          <w:rFonts w:hint="eastAsia"/>
          <w:sz w:val="21"/>
          <w:szCs w:val="21"/>
        </w:rPr>
        <w:t>（4）从对照检验看，三元协调指数与简化线性加总对照指数的相关系数为0.979，两者在宏观趋势上高度一致。这表明三元结构的增量在于能够更清晰地识别阶段性短板转移，而不在于纠正某种系统性低估。</w:t>
      </w:r>
    </w:p>
    <w:p w14:paraId="1888E45C">
      <w:pPr>
        <w:ind w:firstLine="420"/>
        <w:jc w:val="both"/>
        <w:rPr>
          <w:sz w:val="21"/>
          <w:szCs w:val="21"/>
        </w:rPr>
      </w:pPr>
      <w:r>
        <w:rPr>
          <w:rFonts w:hint="eastAsia"/>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视角；其测度结果应结合指标代理性质、标准化基准及MPI的弱补偿特征加以解释。</w:t>
      </w:r>
    </w:p>
    <w:p w14:paraId="56AD5372">
      <w:pPr>
        <w:spacing w:before="160" w:after="80"/>
      </w:pPr>
      <w:r>
        <w:rPr>
          <w:rFonts w:eastAsia="黑体"/>
          <w:b/>
          <w:bCs/>
          <w:sz w:val="21"/>
          <w:szCs w:val="21"/>
        </w:rPr>
        <w:t>（二）政策建议</w:t>
      </w:r>
      <w:bookmarkStart w:id="0" w:name="_GoBack"/>
      <w:bookmarkEnd w:id="0"/>
    </w:p>
    <w:p w14:paraId="526714D4">
      <w:pPr>
        <w:ind w:firstLine="420"/>
        <w:jc w:val="both"/>
        <w:rPr>
          <w:sz w:val="21"/>
          <w:szCs w:val="21"/>
        </w:rPr>
      </w:pPr>
      <w:r>
        <w:rPr>
          <w:sz w:val="21"/>
          <w:szCs w:val="21"/>
        </w:rPr>
        <w:t>以下四条政策建议服务于西藏自治区第十次党代会提出的</w:t>
      </w:r>
      <w:r>
        <w:rPr>
          <w:rFonts w:hint="eastAsia"/>
          <w:sz w:val="21"/>
          <w:szCs w:val="21"/>
        </w:rPr>
        <w:t>“</w:t>
      </w:r>
      <w:r>
        <w:rPr>
          <w:sz w:val="21"/>
          <w:szCs w:val="21"/>
        </w:rPr>
        <w:t>着力创建高原经济高质量发展先行区</w:t>
      </w:r>
      <w:r>
        <w:rPr>
          <w:rFonts w:hint="eastAsia"/>
          <w:sz w:val="21"/>
          <w:szCs w:val="21"/>
        </w:rPr>
        <w:t>”</w:t>
      </w:r>
      <w:r>
        <w:rPr>
          <w:sz w:val="21"/>
          <w:szCs w:val="21"/>
        </w:rPr>
        <w:t>这一战略任务，徐伍达和久毛措对其现实基础与推进路径已有讨论</w:t>
      </w:r>
      <w:r>
        <w:rPr>
          <w:sz w:val="21"/>
          <w:szCs w:val="21"/>
          <w:vertAlign w:val="superscript"/>
        </w:rPr>
        <w:t>[16]</w:t>
      </w:r>
      <w:r>
        <w:rPr>
          <w:sz w:val="21"/>
          <w:szCs w:val="21"/>
        </w:rPr>
        <w:t>。其中，第一、二、四条依据经多项检验稳健的发现提出；第三条依据样本末期的初步观察</w:t>
      </w:r>
      <w:r>
        <w:rPr>
          <w:rFonts w:hint="eastAsia"/>
          <w:sz w:val="21"/>
          <w:szCs w:val="21"/>
        </w:rPr>
        <w:t>提出</w:t>
      </w:r>
      <w:r>
        <w:rPr>
          <w:sz w:val="21"/>
          <w:szCs w:val="21"/>
        </w:rPr>
        <w:t>。</w:t>
      </w:r>
    </w:p>
    <w:p w14:paraId="5796EFBE">
      <w:pPr>
        <w:ind w:firstLine="420"/>
        <w:jc w:val="both"/>
      </w:pPr>
      <w:r>
        <w:rPr>
          <w:sz w:val="21"/>
          <w:szCs w:val="21"/>
        </w:rPr>
        <w:t>第一，优化服务业结构，增强发展子系统的支撑能力。发展子系统在2018</w:t>
      </w:r>
      <w:r>
        <w:rPr>
          <w:rFonts w:hint="eastAsia"/>
          <w:sz w:val="21"/>
          <w:szCs w:val="21"/>
        </w:rPr>
        <w:t>—</w:t>
      </w:r>
      <w:r>
        <w:rPr>
          <w:sz w:val="21"/>
          <w:szCs w:val="21"/>
        </w:rPr>
        <w:t>2022年相对最弱，</w:t>
      </w:r>
      <w:r>
        <w:rPr>
          <w:rFonts w:hint="eastAsia"/>
          <w:sz w:val="21"/>
          <w:szCs w:val="21"/>
        </w:rPr>
        <w:t>该</w:t>
      </w:r>
      <w:r>
        <w:rPr>
          <w:sz w:val="21"/>
          <w:szCs w:val="21"/>
        </w:rPr>
        <w:t>判断对标准化基准、权重方案与关键指标选择均稳健；2024年第三产业比重为54.3%</w:t>
      </w:r>
      <w:r>
        <w:rPr>
          <w:sz w:val="21"/>
          <w:szCs w:val="21"/>
          <w:vertAlign w:val="superscript"/>
        </w:rPr>
        <w:t>[38]</w:t>
      </w:r>
      <w:r>
        <w:rPr>
          <w:sz w:val="21"/>
          <w:szCs w:val="21"/>
        </w:rPr>
        <w:t>，低于同年全国的56.7%</w:t>
      </w:r>
      <w:r>
        <w:rPr>
          <w:sz w:val="21"/>
          <w:szCs w:val="21"/>
          <w:vertAlign w:val="superscript"/>
        </w:rPr>
        <w:t>[40]</w:t>
      </w:r>
      <w:r>
        <w:rPr>
          <w:sz w:val="21"/>
          <w:szCs w:val="21"/>
        </w:rPr>
        <w:t>，服务业动能不足是发展相对滞后的结构性来源之一。对此，应推动服务业由生活性、行政性服务向高端文旅、康养研学与生产性服务业转型，完善口岸、物流通道与边贸产业链，促进</w:t>
      </w:r>
      <w:r>
        <w:rPr>
          <w:rFonts w:hint="eastAsia"/>
          <w:sz w:val="21"/>
          <w:szCs w:val="21"/>
        </w:rPr>
        <w:t>“</w:t>
      </w:r>
      <w:r>
        <w:rPr>
          <w:sz w:val="21"/>
          <w:szCs w:val="21"/>
        </w:rPr>
        <w:t>通道经济</w:t>
      </w:r>
      <w:r>
        <w:rPr>
          <w:rFonts w:hint="eastAsia"/>
          <w:sz w:val="21"/>
          <w:szCs w:val="21"/>
        </w:rPr>
        <w:t>”</w:t>
      </w:r>
      <w:r>
        <w:rPr>
          <w:sz w:val="21"/>
          <w:szCs w:val="21"/>
        </w:rPr>
        <w:t>向</w:t>
      </w:r>
      <w:r>
        <w:rPr>
          <w:rFonts w:hint="eastAsia"/>
          <w:sz w:val="21"/>
          <w:szCs w:val="21"/>
        </w:rPr>
        <w:t>“</w:t>
      </w:r>
      <w:r>
        <w:rPr>
          <w:sz w:val="21"/>
          <w:szCs w:val="21"/>
        </w:rPr>
        <w:t>口岸经济</w:t>
      </w:r>
      <w:r>
        <w:rPr>
          <w:rFonts w:hint="eastAsia"/>
          <w:sz w:val="21"/>
          <w:szCs w:val="21"/>
        </w:rPr>
        <w:t>”</w:t>
      </w:r>
      <w:r>
        <w:rPr>
          <w:sz w:val="21"/>
          <w:szCs w:val="21"/>
        </w:rPr>
        <w:t>升级，为发展子系统的持续改善提供支撑。</w:t>
      </w:r>
    </w:p>
    <w:p w14:paraId="547826FC">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w:t>
      </w:r>
      <w:r>
        <w:rPr>
          <w:rFonts w:hint="eastAsia"/>
          <w:sz w:val="21"/>
          <w:szCs w:val="21"/>
        </w:rPr>
        <w:t>“</w:t>
      </w:r>
      <w:r>
        <w:rPr>
          <w:sz w:val="21"/>
          <w:szCs w:val="21"/>
        </w:rPr>
        <w:t>西电东送</w:t>
      </w:r>
      <w:r>
        <w:rPr>
          <w:rFonts w:hint="eastAsia"/>
          <w:sz w:val="21"/>
          <w:szCs w:val="21"/>
        </w:rPr>
        <w:t>”</w:t>
      </w:r>
      <w:r>
        <w:rPr>
          <w:sz w:val="21"/>
          <w:szCs w:val="21"/>
        </w:rPr>
        <w:t>、生态文旅、碳汇交易与绿色农牧产品品牌建设，探索面向受端市场的绿电跨省消纳补偿机制，将生态本底的改善进一步转化为发展动能。</w:t>
      </w:r>
    </w:p>
    <w:p w14:paraId="207C7F05">
      <w:pPr>
        <w:ind w:firstLine="420"/>
        <w:jc w:val="both"/>
      </w:pPr>
      <w:r>
        <w:rPr>
          <w:sz w:val="21"/>
          <w:szCs w:val="21"/>
        </w:rPr>
        <w:t>第三，稳固民生保障投入，防止安全子系统相对滞后。安全子系统在2023</w:t>
      </w:r>
      <w:r>
        <w:rPr>
          <w:rFonts w:hint="eastAsia"/>
          <w:sz w:val="21"/>
          <w:szCs w:val="21"/>
        </w:rPr>
        <w:t>—</w:t>
      </w:r>
      <w:r>
        <w:rPr>
          <w:sz w:val="21"/>
          <w:szCs w:val="21"/>
        </w:rPr>
        <w:t>2025年改善速度相对趋缓、局部敏感性上升，2025年其指数与发展仅相差0.003，仍有必要保持地方财力、医保补助与养老参保等民生保障的投入强度，避免安全子系统的改善速度落后于发展与生态，以维持三元协调状态的持续提升。</w:t>
      </w:r>
    </w:p>
    <w:p w14:paraId="6321A4C0">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1CBA53F6">
      <w:pPr>
        <w:spacing w:before="160" w:after="80"/>
      </w:pPr>
      <w:r>
        <w:rPr>
          <w:rFonts w:eastAsia="黑体"/>
          <w:b/>
          <w:bCs/>
          <w:sz w:val="21"/>
          <w:szCs w:val="21"/>
        </w:rPr>
        <w:t>（三）研究局限与展望</w:t>
      </w:r>
    </w:p>
    <w:p w14:paraId="3333C1A9">
      <w:pPr>
        <w:ind w:firstLine="420"/>
        <w:jc w:val="both"/>
      </w:pPr>
      <w:r>
        <w:rPr>
          <w:sz w:val="21"/>
          <w:szCs w:val="21"/>
        </w:rPr>
        <w:t>本文的局限与后续的改进方向相互对应。一是安全子系统以财政、民生、社会保障等制度性条件间接刻画边疆安全屏障功能，理论构念与测量指标之间仍有距离，边境管理、社会治安等更直接的变量受统计口径限制暂未纳入；后续研究可在这些变量具备连续、公开、可比的口径之后予以引入，缩小构念与操作代理之间的落差，并在分项指标口径具备条件时把测度下沉到地市与县域。二是识别能力受数据结构约束：H1与H2均属分析命题而非经过检验的结论</w:t>
      </w:r>
      <w:r>
        <w:rPr>
          <w:rFonts w:hint="eastAsia"/>
          <w:sz w:val="21"/>
          <w:szCs w:val="21"/>
        </w:rPr>
        <w:t>——</w:t>
      </w:r>
      <w:r>
        <w:rPr>
          <w:sz w:val="21"/>
          <w:szCs w:val="21"/>
        </w:rPr>
        <w:t>H2仅有清洁能源外送等事实层面的旁证，H1所涉的制度风险、交易成本等中介变量缺乏连续可比的省级序列；样本期又覆盖新冠疫情及其防控时期，发展子系统2020</w:t>
      </w:r>
      <w:r>
        <w:rPr>
          <w:rFonts w:hint="eastAsia"/>
          <w:sz w:val="21"/>
          <w:szCs w:val="21"/>
        </w:rPr>
        <w:t>—</w:t>
      </w:r>
      <w:r>
        <w:rPr>
          <w:sz w:val="21"/>
          <w:szCs w:val="21"/>
        </w:rPr>
        <w:t>2022年的低位同时受战略功能约束与疫情外生冲击影响，10个年度观测、无对照组的数据结构无法将二者分离。因此，本文的相关判断属描述性与评价性测度，只在方向上成立，不宜作因果解释；后续研究可借助中介变量或面板数据，对H1、H2作直接的机制识别。</w:t>
      </w:r>
    </w:p>
    <w:p w14:paraId="63993A32">
      <w:pPr>
        <w:ind w:firstLine="420"/>
        <w:jc w:val="both"/>
      </w:pPr>
      <w:r>
        <w:rPr>
          <w:sz w:val="21"/>
          <w:szCs w:val="21"/>
        </w:rPr>
        <w:t>三是生态子系统的基准设定对其变动幅度有直接影响：E2、E4两项以2016年实测值为下限、以</w:t>
      </w:r>
      <w:r>
        <w:rPr>
          <w:rFonts w:hint="eastAsia"/>
          <w:sz w:val="21"/>
          <w:szCs w:val="21"/>
        </w:rPr>
        <w:t>“</w:t>
      </w:r>
      <w:r>
        <w:rPr>
          <w:sz w:val="21"/>
          <w:szCs w:val="21"/>
        </w:rPr>
        <w:t>十四五</w:t>
      </w:r>
      <w:r>
        <w:rPr>
          <w:rFonts w:hint="eastAsia"/>
          <w:sz w:val="21"/>
          <w:szCs w:val="21"/>
        </w:rPr>
        <w:t>”</w:t>
      </w:r>
      <w:r>
        <w:rPr>
          <w:sz w:val="21"/>
          <w:szCs w:val="21"/>
        </w:rPr>
        <w:t>规划目标为上限，在构造上使标准化值于样本首年接近0、于目标达成年接近1，生态指数十年涨幅（0.576）因而明显高于安全（0.178）与发展（0.251），</w:t>
      </w:r>
      <w:r>
        <w:rPr>
          <w:rFonts w:hint="eastAsia"/>
          <w:sz w:val="21"/>
          <w:szCs w:val="21"/>
        </w:rPr>
        <w:t>“</w:t>
      </w:r>
      <w:r>
        <w:rPr>
          <w:sz w:val="21"/>
          <w:szCs w:val="21"/>
        </w:rPr>
        <w:t>生态跨越式改善</w:t>
      </w:r>
      <w:r>
        <w:rPr>
          <w:rFonts w:hint="eastAsia"/>
          <w:sz w:val="21"/>
          <w:szCs w:val="21"/>
        </w:rPr>
        <w:t>”</w:t>
      </w:r>
      <w:r>
        <w:rPr>
          <w:sz w:val="21"/>
          <w:szCs w:val="21"/>
        </w:rPr>
        <w:t>应理解为相对于规划目标的达成进度，而非生态状况绝对水平的同比例提升；后续可结合新一轮规划目标重新标定基准，检验这一结论的稳定性。四是本文的测度限于西藏一地，尚无可比参照区，难以分离战略功能因素与其他区域性因素；后续可把三元结构模型拓展至四省涉藏州县及其他承担相近战略功能的地区，在获得可比样本的同时检验战略功能导向型评价框架的适用边界。</w:t>
      </w:r>
    </w:p>
    <w:p w14:paraId="085A8D26">
      <w:pPr>
        <w:spacing w:before="260" w:after="120"/>
      </w:pPr>
      <w:r>
        <w:rPr>
          <w:rFonts w:eastAsia="黑体"/>
          <w:b/>
          <w:bCs/>
          <w:sz w:val="28"/>
          <w:szCs w:val="28"/>
        </w:rPr>
        <w:t>参考文献</w:t>
      </w:r>
    </w:p>
    <w:p w14:paraId="14E59D62">
      <w:pPr>
        <w:spacing w:after="20" w:line="300" w:lineRule="auto"/>
        <w:ind w:left="360" w:hanging="360"/>
      </w:pPr>
      <w:r>
        <w:rPr>
          <w:sz w:val="20"/>
          <w:szCs w:val="20"/>
        </w:rPr>
        <w:t>[1] 中国社会科学院财经战略研究院课题组,尹振涛,谭洪波,等.</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时期经济高质量发展的若干问题研究[J].财贸经济,2025(12).</w:t>
      </w:r>
    </w:p>
    <w:p w14:paraId="47D38361">
      <w:pPr>
        <w:spacing w:after="20" w:line="300" w:lineRule="auto"/>
        <w:ind w:left="360" w:hanging="360"/>
      </w:pPr>
      <w:r>
        <w:rPr>
          <w:sz w:val="20"/>
          <w:szCs w:val="20"/>
        </w:rPr>
        <w:t>[2] 樊杰.</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时期中国区域协调发展的理论探索、战略创新与路径选择[J].中国科学院院刊,2024(4).</w:t>
      </w:r>
    </w:p>
    <w:p w14:paraId="186404B8">
      <w:pPr>
        <w:spacing w:after="20" w:line="300" w:lineRule="auto"/>
        <w:ind w:left="360" w:hanging="360"/>
      </w:pPr>
      <w:r>
        <w:rPr>
          <w:sz w:val="20"/>
          <w:szCs w:val="20"/>
        </w:rPr>
        <w:t>[3] 楼俊超,余郑霁.西藏现代化发展的现实基础、主要挑战与路径选择[J].西藏大学学报(社会科学版),2024(4).</w:t>
      </w:r>
    </w:p>
    <w:p w14:paraId="5015D093">
      <w:pPr>
        <w:spacing w:after="20" w:line="300" w:lineRule="auto"/>
        <w:ind w:left="360" w:hanging="360"/>
      </w:pPr>
      <w:r>
        <w:rPr>
          <w:sz w:val="20"/>
          <w:szCs w:val="20"/>
        </w:rPr>
        <w:t>[4] 陈宗荣.深刻理解新时代党的治藏方略的世界观和方法论意蕴[J].中国藏学,2023(1).</w:t>
      </w:r>
    </w:p>
    <w:p w14:paraId="6FEF670C">
      <w:pPr>
        <w:spacing w:after="20" w:line="300" w:lineRule="auto"/>
        <w:ind w:left="360" w:hanging="360"/>
      </w:pPr>
      <w:r>
        <w:rPr>
          <w:sz w:val="20"/>
          <w:szCs w:val="20"/>
        </w:rPr>
        <w:t>[5] 周亦峰.西藏筑牢国家生态安全屏障的法治逻辑</w:t>
      </w:r>
      <w:r>
        <w:rPr>
          <w:rFonts w:hint="eastAsia"/>
          <w:sz w:val="20"/>
          <w:szCs w:val="20"/>
        </w:rPr>
        <w:t>——</w:t>
      </w:r>
      <w:r>
        <w:rPr>
          <w:sz w:val="20"/>
          <w:szCs w:val="20"/>
        </w:rPr>
        <w:t>以习近平生态文明思想为视域[J].中国藏学,2021(4).</w:t>
      </w:r>
    </w:p>
    <w:p w14:paraId="4E513AC8">
      <w:pPr>
        <w:spacing w:after="20" w:line="300" w:lineRule="auto"/>
        <w:ind w:left="360" w:hanging="360"/>
      </w:pPr>
      <w:r>
        <w:rPr>
          <w:sz w:val="20"/>
          <w:szCs w:val="20"/>
        </w:rPr>
        <w:t>[6] 郑堆.用文化自信凝人心聚合力　以中国式现代化生动实践推动西藏长治久安和高质量发展[J].中国藏学,2023(1).</w:t>
      </w:r>
    </w:p>
    <w:p w14:paraId="1D48FB93">
      <w:pPr>
        <w:spacing w:after="20" w:line="300" w:lineRule="auto"/>
        <w:ind w:left="360" w:hanging="360"/>
      </w:pPr>
      <w:r>
        <w:rPr>
          <w:sz w:val="20"/>
          <w:szCs w:val="20"/>
        </w:rPr>
        <w:t>[7] 师博,任保平.中国省际经济高质量发展的测度与分析[J].经济问题,2018(4).</w:t>
      </w:r>
    </w:p>
    <w:p w14:paraId="13E805FB">
      <w:pPr>
        <w:spacing w:after="20" w:line="300" w:lineRule="auto"/>
        <w:ind w:left="360" w:hanging="360"/>
      </w:pPr>
      <w:r>
        <w:rPr>
          <w:sz w:val="20"/>
          <w:szCs w:val="20"/>
        </w:rPr>
        <w:t>[8] 李金昌,史龙梅,徐蔼婷.高质量发展评价指标体系探讨[J].统计研究,2019(1).</w:t>
      </w:r>
    </w:p>
    <w:p w14:paraId="473A1DEA">
      <w:pPr>
        <w:spacing w:after="20" w:line="300" w:lineRule="auto"/>
        <w:ind w:left="360" w:hanging="360"/>
      </w:pPr>
      <w:r>
        <w:rPr>
          <w:sz w:val="20"/>
          <w:szCs w:val="20"/>
        </w:rPr>
        <w:t>[9] 杨永芳,王秦.新时代中国区域经济高质量发展评价指标体系构建研究[J].中国软科学,2024(S1).</w:t>
      </w:r>
    </w:p>
    <w:p w14:paraId="1B9A6889">
      <w:pPr>
        <w:spacing w:after="20" w:line="300" w:lineRule="auto"/>
        <w:ind w:left="360" w:hanging="360"/>
      </w:pPr>
      <w:r>
        <w:rPr>
          <w:sz w:val="20"/>
          <w:szCs w:val="20"/>
        </w:rPr>
        <w:t>[10] 张伟丽,王伊斌,魏瑞博.城市群内城市高质量发展趋同俱乐部时空演进及机理[J].地理学报,2023(12).</w:t>
      </w:r>
    </w:p>
    <w:p w14:paraId="0DA91109">
      <w:pPr>
        <w:spacing w:after="20" w:line="300" w:lineRule="auto"/>
        <w:ind w:left="360" w:hanging="360"/>
      </w:pPr>
      <w:r>
        <w:rPr>
          <w:sz w:val="20"/>
          <w:szCs w:val="20"/>
        </w:rPr>
        <w:t>[11] 张国俊,王运喆,陈宇,周春山.中国城市群高质量发展的时空特征及分异机理[J].地理研究,2022(8).</w:t>
      </w:r>
    </w:p>
    <w:p w14:paraId="29FF41C4">
      <w:pPr>
        <w:spacing w:after="20" w:line="300" w:lineRule="auto"/>
        <w:ind w:left="360" w:hanging="360"/>
      </w:pPr>
      <w:r>
        <w:rPr>
          <w:sz w:val="20"/>
          <w:szCs w:val="20"/>
        </w:rPr>
        <w:t>[12] DEARING J A, WANG R, ZHANG K, et al. Safe and just operating spaces for regional social-ecological systems[J].Global Environmental Change,2014(28).</w:t>
      </w:r>
    </w:p>
    <w:p w14:paraId="408AB839">
      <w:pPr>
        <w:spacing w:after="20" w:line="300" w:lineRule="auto"/>
        <w:ind w:left="360" w:hanging="360"/>
      </w:pPr>
      <w:r>
        <w:rPr>
          <w:sz w:val="20"/>
          <w:szCs w:val="20"/>
        </w:rPr>
        <w:t>[13] RAWORTH K. Doughnut Economics: Seven Ways to Think Like a 21st-Century Economist[M].London:Random House Business Books,2017.</w:t>
      </w:r>
    </w:p>
    <w:p w14:paraId="24CA2924">
      <w:pPr>
        <w:spacing w:after="20" w:line="300" w:lineRule="auto"/>
        <w:ind w:left="360" w:hanging="360"/>
      </w:pPr>
      <w:r>
        <w:rPr>
          <w:sz w:val="20"/>
          <w:szCs w:val="20"/>
        </w:rPr>
        <w:t>[14] 冯娜娜,韦雄生,龙堂展.边疆民族地区新质生产力发展水平测度及障碍因子分析</w:t>
      </w:r>
      <w:r>
        <w:rPr>
          <w:rFonts w:hint="eastAsia"/>
          <w:sz w:val="20"/>
          <w:szCs w:val="20"/>
        </w:rPr>
        <w:t>——</w:t>
      </w:r>
      <w:r>
        <w:rPr>
          <w:sz w:val="20"/>
          <w:szCs w:val="20"/>
        </w:rPr>
        <w:t>以西藏、广西和云南为例[J].南宁师范大学学报(自然科学版),2025(2).</w:t>
      </w:r>
    </w:p>
    <w:p w14:paraId="7A991A06">
      <w:pPr>
        <w:spacing w:after="20" w:line="300" w:lineRule="auto"/>
        <w:ind w:left="360" w:hanging="360"/>
      </w:pPr>
      <w:r>
        <w:rPr>
          <w:sz w:val="20"/>
          <w:szCs w:val="20"/>
        </w:rPr>
        <w:t>[15] 卜洁文.统筹发展和安全视域下西藏高质量融入</w:t>
      </w:r>
      <w:r>
        <w:rPr>
          <w:rFonts w:hint="eastAsia"/>
          <w:sz w:val="20"/>
          <w:szCs w:val="20"/>
        </w:rPr>
        <w:t>“</w:t>
      </w:r>
      <w:r>
        <w:rPr>
          <w:sz w:val="20"/>
          <w:szCs w:val="20"/>
        </w:rPr>
        <w:t>一带一路</w:t>
      </w:r>
      <w:r>
        <w:rPr>
          <w:rFonts w:hint="eastAsia"/>
          <w:sz w:val="20"/>
          <w:szCs w:val="20"/>
        </w:rPr>
        <w:t>”</w:t>
      </w:r>
      <w:r>
        <w:rPr>
          <w:sz w:val="20"/>
          <w:szCs w:val="20"/>
        </w:rPr>
        <w:t>建设研究[J].西藏大学学报(社会科学版),2024(2).</w:t>
      </w:r>
    </w:p>
    <w:p w14:paraId="5E88511D">
      <w:pPr>
        <w:spacing w:after="20" w:line="300" w:lineRule="auto"/>
        <w:ind w:left="360" w:hanging="360"/>
      </w:pPr>
      <w:r>
        <w:rPr>
          <w:sz w:val="20"/>
          <w:szCs w:val="20"/>
        </w:rPr>
        <w:t>[16] 徐伍达,久毛措.西藏推动高原经济高质量发展研究[J].西藏研究,2023(6).</w:t>
      </w:r>
    </w:p>
    <w:p w14:paraId="2E9CA5F8">
      <w:pPr>
        <w:spacing w:after="20" w:line="300" w:lineRule="auto"/>
        <w:ind w:left="360" w:hanging="360"/>
      </w:pPr>
      <w:r>
        <w:rPr>
          <w:sz w:val="20"/>
          <w:szCs w:val="20"/>
        </w:rPr>
        <w:t>[17] 鲁万波,贾光宁.西藏经济高质量发展指标体系构建与测度[J].西藏大学学报(社会科学版),2022(3).</w:t>
      </w:r>
    </w:p>
    <w:p w14:paraId="4A97EC2A">
      <w:pPr>
        <w:spacing w:after="20" w:line="300" w:lineRule="auto"/>
        <w:ind w:left="360" w:hanging="360"/>
      </w:pPr>
      <w:r>
        <w:rPr>
          <w:sz w:val="20"/>
          <w:szCs w:val="20"/>
        </w:rPr>
        <w:t>[18] 席蒙蒙.西藏经济高质量发展水平测度研究[J].青海民族研究,2023(3).</w:t>
      </w:r>
    </w:p>
    <w:p w14:paraId="414BF5A1">
      <w:pPr>
        <w:spacing w:after="20" w:line="300" w:lineRule="auto"/>
        <w:ind w:left="360" w:hanging="360"/>
      </w:pPr>
      <w:r>
        <w:rPr>
          <w:sz w:val="20"/>
          <w:szCs w:val="20"/>
        </w:rPr>
        <w:t>[19] 冯思童.西藏高质量发展评估指标的耦合效应及灰色关联分析[J].商业经济研究,2025(8).</w:t>
      </w:r>
    </w:p>
    <w:p w14:paraId="1A1AEA52">
      <w:pPr>
        <w:spacing w:after="20" w:line="300" w:lineRule="auto"/>
        <w:ind w:left="360" w:hanging="360"/>
      </w:pPr>
      <w:r>
        <w:rPr>
          <w:sz w:val="20"/>
          <w:szCs w:val="20"/>
        </w:rPr>
        <w:t>[20] 陈朴,杨亚波.西藏创建高原经济高质量发展先行区评价指标体系构建研究[J].西藏研究,2023(1).</w:t>
      </w:r>
    </w:p>
    <w:p w14:paraId="159C148C">
      <w:pPr>
        <w:spacing w:after="20" w:line="300" w:lineRule="auto"/>
        <w:ind w:left="360" w:hanging="360"/>
      </w:pPr>
      <w:r>
        <w:rPr>
          <w:sz w:val="20"/>
          <w:szCs w:val="20"/>
        </w:rPr>
        <w:t>[21] 严茂超,ODUM H T.西藏生态经济系统的能值分析与可持续发展研究[J].自然资源学报,1998(2).</w:t>
      </w:r>
    </w:p>
    <w:p w14:paraId="1FCD00A6">
      <w:pPr>
        <w:spacing w:after="20" w:line="300" w:lineRule="auto"/>
        <w:ind w:left="360" w:hanging="360"/>
      </w:pPr>
      <w:r>
        <w:rPr>
          <w:sz w:val="20"/>
          <w:szCs w:val="20"/>
        </w:rPr>
        <w:t>[22] 赵晓鸿.西藏经济发展与生态安全的冲突及对策[J].西南民族大学学报(人文社科版),2006(10).</w:t>
      </w:r>
    </w:p>
    <w:p w14:paraId="169EA637">
      <w:pPr>
        <w:spacing w:after="20" w:line="300" w:lineRule="auto"/>
        <w:ind w:left="360" w:hanging="360"/>
      </w:pPr>
      <w:r>
        <w:rPr>
          <w:sz w:val="20"/>
          <w:szCs w:val="20"/>
        </w:rPr>
        <w:t>[23] 郑应友,侯霞.基于Bibliometrix的西藏生态经济领域研究现状、热点探析与趋势展望(1984—2022)[J].西藏研究,2024(2).</w:t>
      </w:r>
    </w:p>
    <w:p w14:paraId="5F5B5183">
      <w:pPr>
        <w:spacing w:after="20" w:line="300" w:lineRule="auto"/>
        <w:ind w:left="360" w:hanging="360"/>
      </w:pPr>
      <w:r>
        <w:rPr>
          <w:sz w:val="20"/>
          <w:szCs w:val="20"/>
        </w:rPr>
        <w:t>[24] 焦乐佳,姚柳杨,宋连久,等.西藏县域生态</w:t>
      </w:r>
      <w:r>
        <w:rPr>
          <w:rFonts w:hint="eastAsia"/>
          <w:sz w:val="20"/>
          <w:szCs w:val="20"/>
        </w:rPr>
        <w:t>—</w:t>
      </w:r>
      <w:r>
        <w:rPr>
          <w:sz w:val="20"/>
          <w:szCs w:val="20"/>
        </w:rPr>
        <w:t>经济</w:t>
      </w:r>
      <w:r>
        <w:rPr>
          <w:rFonts w:hint="eastAsia"/>
          <w:sz w:val="20"/>
          <w:szCs w:val="20"/>
        </w:rPr>
        <w:t>—</w:t>
      </w:r>
      <w:r>
        <w:rPr>
          <w:sz w:val="20"/>
          <w:szCs w:val="20"/>
        </w:rPr>
        <w:t>社会耦合协调发展的时空演变及预测[J].水土保持通报,2026(2).</w:t>
      </w:r>
    </w:p>
    <w:p w14:paraId="4D52FE02">
      <w:pPr>
        <w:spacing w:after="20" w:line="300" w:lineRule="auto"/>
        <w:ind w:left="360" w:hanging="360"/>
      </w:pPr>
      <w:r>
        <w:rPr>
          <w:sz w:val="20"/>
          <w:szCs w:val="20"/>
        </w:rPr>
        <w:t>[25] 王翔宇,高培超,宋长青,等.区域高质量发展的内涵与评价体系探索</w:t>
      </w:r>
      <w:r>
        <w:rPr>
          <w:rFonts w:hint="eastAsia"/>
          <w:sz w:val="20"/>
          <w:szCs w:val="20"/>
        </w:rPr>
        <w:t>——</w:t>
      </w:r>
      <w:r>
        <w:rPr>
          <w:sz w:val="20"/>
          <w:szCs w:val="20"/>
        </w:rPr>
        <w:t>以青藏高原县域单元为例[J].北京师范大学学报(自然科学版),2022(2).</w:t>
      </w:r>
    </w:p>
    <w:p w14:paraId="03E77064">
      <w:pPr>
        <w:spacing w:after="20" w:line="300" w:lineRule="auto"/>
        <w:ind w:left="360" w:hanging="360"/>
      </w:pPr>
      <w:r>
        <w:rPr>
          <w:sz w:val="20"/>
          <w:szCs w:val="20"/>
        </w:rPr>
        <w:t>[26] 魏卫,刘娴娴,王晓宇,等.美丽中国系统耦合协调度的空间异质性探索[J].经济地理,2021(6).</w:t>
      </w:r>
    </w:p>
    <w:p w14:paraId="60CF61C0">
      <w:pPr>
        <w:spacing w:after="20" w:line="300" w:lineRule="auto"/>
        <w:ind w:left="360" w:hanging="360"/>
      </w:pPr>
      <w:r>
        <w:rPr>
          <w:sz w:val="20"/>
          <w:szCs w:val="20"/>
        </w:rPr>
        <w:t>[27] 丛晓男.耦合度模型的形式、性质及在地理学研究中的若干误用[J].经济地理,2019(4).</w:t>
      </w:r>
    </w:p>
    <w:p w14:paraId="0EE5F026">
      <w:pPr>
        <w:spacing w:after="20" w:line="300" w:lineRule="auto"/>
        <w:ind w:left="360" w:hanging="360"/>
      </w:pPr>
      <w:r>
        <w:rPr>
          <w:sz w:val="20"/>
          <w:szCs w:val="20"/>
        </w:rPr>
        <w:t>[28] DIAKOULAKI D, MAVROTAS G, PAPAYANNAKIS L. Determining objective weights in multiple criteria problems: The CRITIC method[J].Computers &amp; Operations Research,1995(7).</w:t>
      </w:r>
    </w:p>
    <w:p w14:paraId="263A9CC6">
      <w:pPr>
        <w:spacing w:after="20" w:line="300" w:lineRule="auto"/>
        <w:ind w:left="360" w:hanging="360"/>
      </w:pPr>
      <w:r>
        <w:rPr>
          <w:sz w:val="20"/>
          <w:szCs w:val="20"/>
        </w:rPr>
        <w:t>[29] 于婷,于法稳.基于熵权TOPSIS法的农业高质量发展评价及障碍因子诊断[J].云南社会科学,2021(5).</w:t>
      </w:r>
    </w:p>
    <w:p w14:paraId="319D2FE6">
      <w:pPr>
        <w:spacing w:after="20" w:line="300" w:lineRule="auto"/>
        <w:ind w:left="360" w:hanging="360"/>
      </w:pPr>
      <w:r>
        <w:rPr>
          <w:sz w:val="20"/>
          <w:szCs w:val="20"/>
        </w:rPr>
        <w:t>[30] NARDO M, SAISANA M, SALTELLI A, et al. Handbook on Constructing Composite Indicators: Methodology and User Guide[M].Paris:OECD Publishing,2008.</w:t>
      </w:r>
    </w:p>
    <w:p w14:paraId="76434778">
      <w:pPr>
        <w:spacing w:after="20" w:line="300" w:lineRule="auto"/>
        <w:ind w:left="360" w:hanging="360"/>
      </w:pPr>
      <w:r>
        <w:rPr>
          <w:sz w:val="20"/>
          <w:szCs w:val="20"/>
        </w:rPr>
        <w:t>[31] GRECO S, ISHIZAKA A, TASIOU M, et al. On the methodological framework of composite indices: A review of the issues of weighting, aggregation, and robustness[J].Social Indicators Research,2019(1).</w:t>
      </w:r>
    </w:p>
    <w:p w14:paraId="0E19BA49">
      <w:pPr>
        <w:spacing w:after="20" w:line="300" w:lineRule="auto"/>
        <w:ind w:left="360" w:hanging="360"/>
      </w:pPr>
      <w:r>
        <w:rPr>
          <w:sz w:val="20"/>
          <w:szCs w:val="20"/>
        </w:rPr>
        <w:t>[32] MUNDA G, NARDO M. Noncompensatory/nonlinear composite indicators for ranking countries: A defensible setting[J].Applied Economics,2009(12).</w:t>
      </w:r>
    </w:p>
    <w:p w14:paraId="0C0C4762">
      <w:pPr>
        <w:spacing w:after="20" w:line="300" w:lineRule="auto"/>
        <w:ind w:left="360" w:hanging="360"/>
      </w:pPr>
      <w:r>
        <w:rPr>
          <w:sz w:val="20"/>
          <w:szCs w:val="20"/>
        </w:rPr>
        <w:t>[33] TARABUSI E C, GUARINI G. An unbalance adjustment method for development indicators[J].Social Indicators Research,2013(1).</w:t>
      </w:r>
    </w:p>
    <w:p w14:paraId="4E1B2B4E">
      <w:pPr>
        <w:spacing w:after="20" w:line="300" w:lineRule="auto"/>
        <w:ind w:left="360" w:hanging="360"/>
      </w:pPr>
      <w:r>
        <w:rPr>
          <w:sz w:val="20"/>
          <w:szCs w:val="20"/>
        </w:rPr>
        <w:t>[34] 岳文泽,姜博文,钟鹏宇,等.生产、生活、生态</w:t>
      </w:r>
      <w:r>
        <w:rPr>
          <w:rFonts w:hint="eastAsia"/>
          <w:sz w:val="20"/>
          <w:szCs w:val="20"/>
        </w:rPr>
        <w:t>“</w:t>
      </w:r>
      <w:r>
        <w:rPr>
          <w:sz w:val="20"/>
          <w:szCs w:val="20"/>
        </w:rPr>
        <w:t>三生融合</w:t>
      </w:r>
      <w:r>
        <w:rPr>
          <w:rFonts w:hint="eastAsia"/>
          <w:sz w:val="20"/>
          <w:szCs w:val="20"/>
        </w:rPr>
        <w:t>”</w:t>
      </w:r>
      <w:r>
        <w:rPr>
          <w:sz w:val="20"/>
          <w:szCs w:val="20"/>
        </w:rPr>
        <w:t>的内在逻辑与实践路径[J/OL].生态学报,2026(18)[2026-09-03].https://doi.org/10.20103/j.stxb.202512013208.</w:t>
      </w:r>
    </w:p>
    <w:p w14:paraId="03592BBA">
      <w:pPr>
        <w:spacing w:after="20" w:line="300" w:lineRule="auto"/>
        <w:ind w:left="360" w:hanging="360"/>
      </w:pPr>
      <w:r>
        <w:rPr>
          <w:sz w:val="20"/>
          <w:szCs w:val="20"/>
        </w:rPr>
        <w:t>[35] 孙勇,杨荣涛,刘星君.中国陆地边疆治理现代化指向中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以国家安全体系制度、能力、建设和塑形的叠合为中心[J].西藏大学学报(社会科学版),2024(1).</w:t>
      </w:r>
    </w:p>
    <w:p w14:paraId="0EEF30A0">
      <w:pPr>
        <w:spacing w:after="20" w:line="300" w:lineRule="auto"/>
        <w:ind w:left="360" w:hanging="360"/>
      </w:pPr>
      <w:r>
        <w:rPr>
          <w:sz w:val="20"/>
          <w:szCs w:val="20"/>
        </w:rPr>
        <w:t>[36] 陈爱东,李国平,陈泓宇.西藏地理势能优势转化为开发优势的机制设计及路径选择研究[J].西藏发展论坛,2025(6).</w:t>
      </w:r>
    </w:p>
    <w:p w14:paraId="09292A7E">
      <w:pPr>
        <w:spacing w:after="20" w:line="300" w:lineRule="auto"/>
        <w:ind w:left="360" w:hanging="360"/>
      </w:pPr>
      <w:r>
        <w:rPr>
          <w:sz w:val="20"/>
          <w:szCs w:val="20"/>
        </w:rPr>
        <w:t>[37] 罗绒战堆,艾意欣,胡文政.生态屏障建设与农牧民可持续生计资本积累的互促研究</w:t>
      </w:r>
      <w:r>
        <w:rPr>
          <w:rFonts w:hint="eastAsia"/>
          <w:sz w:val="20"/>
          <w:szCs w:val="20"/>
        </w:rPr>
        <w:t>——</w:t>
      </w:r>
      <w:r>
        <w:rPr>
          <w:sz w:val="20"/>
          <w:szCs w:val="20"/>
        </w:rPr>
        <w:t>以《规划》在西藏农牧社区的实施为例[J].西藏大学学报(社会科学版),2024(1).</w:t>
      </w:r>
    </w:p>
    <w:p w14:paraId="0B4FD860">
      <w:pPr>
        <w:spacing w:after="20" w:line="300" w:lineRule="auto"/>
        <w:ind w:left="360" w:hanging="360"/>
      </w:pPr>
      <w:r>
        <w:rPr>
          <w:sz w:val="20"/>
          <w:szCs w:val="20"/>
        </w:rPr>
        <w:t>[38] 西藏自治区统计局,国家统计局西藏调查总队.西藏自治区国民经济和社会发展统计公报(2016</w:t>
      </w:r>
      <w:r>
        <w:rPr>
          <w:rFonts w:hint="eastAsia"/>
          <w:sz w:val="20"/>
          <w:szCs w:val="20"/>
        </w:rPr>
        <w:t>—</w:t>
      </w:r>
      <w:r>
        <w:rPr>
          <w:sz w:val="20"/>
          <w:szCs w:val="20"/>
        </w:rPr>
        <w:t>2025)[R].2017</w:t>
      </w:r>
      <w:r>
        <w:rPr>
          <w:rFonts w:hint="eastAsia"/>
          <w:sz w:val="20"/>
          <w:szCs w:val="20"/>
        </w:rPr>
        <w:t>—</w:t>
      </w:r>
      <w:r>
        <w:rPr>
          <w:sz w:val="20"/>
          <w:szCs w:val="20"/>
        </w:rPr>
        <w:t>2026.</w:t>
      </w:r>
    </w:p>
    <w:p w14:paraId="112CA1FC">
      <w:pPr>
        <w:spacing w:after="20" w:line="300" w:lineRule="auto"/>
        <w:ind w:left="360" w:hanging="360"/>
      </w:pPr>
      <w:r>
        <w:rPr>
          <w:sz w:val="20"/>
          <w:szCs w:val="20"/>
        </w:rPr>
        <w:t>[39] 西藏自治区统计局.西藏统计年鉴(2017</w:t>
      </w:r>
      <w:r>
        <w:rPr>
          <w:rFonts w:hint="eastAsia"/>
          <w:sz w:val="20"/>
          <w:szCs w:val="20"/>
        </w:rPr>
        <w:t>—</w:t>
      </w:r>
      <w:r>
        <w:rPr>
          <w:sz w:val="20"/>
          <w:szCs w:val="20"/>
        </w:rPr>
        <w:t>2025)[M].北京:中国统计出版社,2017</w:t>
      </w:r>
      <w:r>
        <w:rPr>
          <w:rFonts w:hint="eastAsia"/>
          <w:sz w:val="20"/>
          <w:szCs w:val="20"/>
        </w:rPr>
        <w:t>—</w:t>
      </w:r>
      <w:r>
        <w:rPr>
          <w:sz w:val="20"/>
          <w:szCs w:val="20"/>
        </w:rPr>
        <w:t>2025.</w:t>
      </w:r>
    </w:p>
    <w:p w14:paraId="784F027B">
      <w:pPr>
        <w:spacing w:after="20" w:line="300" w:lineRule="auto"/>
        <w:ind w:left="360" w:hanging="360"/>
      </w:pPr>
      <w:r>
        <w:rPr>
          <w:sz w:val="20"/>
          <w:szCs w:val="20"/>
        </w:rPr>
        <w:t>[40] 国家统计局.中国统计年鉴(2017</w:t>
      </w:r>
      <w:r>
        <w:rPr>
          <w:rFonts w:hint="eastAsia"/>
          <w:sz w:val="20"/>
          <w:szCs w:val="20"/>
        </w:rPr>
        <w:t>—</w:t>
      </w:r>
      <w:r>
        <w:rPr>
          <w:sz w:val="20"/>
          <w:szCs w:val="20"/>
        </w:rPr>
        <w:t>2025)、中国统计摘要2026[M].北京:中国统计出版社,2017</w:t>
      </w:r>
      <w:r>
        <w:rPr>
          <w:rFonts w:hint="eastAsia"/>
          <w:sz w:val="20"/>
          <w:szCs w:val="20"/>
        </w:rPr>
        <w:t>—</w:t>
      </w:r>
      <w:r>
        <w:rPr>
          <w:sz w:val="20"/>
          <w:szCs w:val="20"/>
        </w:rPr>
        <w:t>2026.</w:t>
      </w:r>
    </w:p>
    <w:p w14:paraId="0A1F22E5">
      <w:pPr>
        <w:spacing w:after="20" w:line="300" w:lineRule="auto"/>
        <w:ind w:left="360" w:hanging="360"/>
      </w:pPr>
      <w:r>
        <w:rPr>
          <w:sz w:val="20"/>
          <w:szCs w:val="20"/>
        </w:rPr>
        <w:t>[41] 西藏自治区生态环境厅.西藏自治区生态环境状况公报(2016</w:t>
      </w:r>
      <w:r>
        <w:rPr>
          <w:rFonts w:hint="eastAsia"/>
          <w:sz w:val="20"/>
          <w:szCs w:val="20"/>
        </w:rPr>
        <w:t>—</w:t>
      </w:r>
      <w:r>
        <w:rPr>
          <w:sz w:val="20"/>
          <w:szCs w:val="20"/>
        </w:rPr>
        <w:t>2025)[R].2017</w:t>
      </w:r>
      <w:r>
        <w:rPr>
          <w:rFonts w:hint="eastAsia"/>
          <w:sz w:val="20"/>
          <w:szCs w:val="20"/>
        </w:rPr>
        <w:t>—</w:t>
      </w:r>
      <w:r>
        <w:rPr>
          <w:sz w:val="20"/>
          <w:szCs w:val="20"/>
        </w:rPr>
        <w:t>2026.</w:t>
      </w:r>
    </w:p>
    <w:p w14:paraId="678A688E">
      <w:pPr>
        <w:spacing w:after="20" w:line="300" w:lineRule="auto"/>
        <w:ind w:left="360" w:hanging="360"/>
      </w:pPr>
      <w:r>
        <w:rPr>
          <w:sz w:val="20"/>
          <w:szCs w:val="20"/>
        </w:rPr>
        <w:t>[42] MAZZIOTTA M, PARETO A. On a generalized non-compensatory composite index for measuring socio-economic phenomena[J].Social Indicators Research,2016(3).</w:t>
      </w:r>
    </w:p>
    <w:p w14:paraId="43DA06B9">
      <w:pPr>
        <w:spacing w:after="20" w:line="300" w:lineRule="auto"/>
        <w:ind w:left="360" w:hanging="360"/>
      </w:pPr>
      <w:r>
        <w:rPr>
          <w:sz w:val="20"/>
          <w:szCs w:val="20"/>
        </w:rPr>
        <w:t>[43] 西藏用电量增速领跑全国[EB/OL].西藏自治区人民政府网,(2025-02-20)[2026-09-04].http://www.xizang.gov.cn/xwzx_406/bmkx/202502/t20250220_464008.html.</w:t>
      </w:r>
    </w:p>
    <w:p w14:paraId="1E40B9B5">
      <w:pPr>
        <w:spacing w:before="240" w:after="60"/>
        <w:jc w:val="center"/>
      </w:pPr>
      <w:r>
        <w:rPr>
          <w:b/>
          <w:bCs/>
          <w:sz w:val="22"/>
          <w:szCs w:val="22"/>
        </w:rPr>
        <w:t>A Triadic Coordination Evaluation of Xizang's High-Quality Development under National Strategic-Function Constraints—A Measurement Based on Security, Development and Ecology</w:t>
      </w:r>
    </w:p>
    <w:p w14:paraId="342107B5">
      <w:pPr>
        <w:spacing w:after="120"/>
        <w:jc w:val="center"/>
      </w:pPr>
      <w:r>
        <w:t>GONG Yanhong　WANG Zhanpeng　ZHAO Zihuan</w:t>
      </w:r>
      <w:r>
        <w:br w:type="textWrapping"/>
      </w:r>
      <w:r>
        <w:t>(School of Finance and Economics, Xizang University, Lhasa, Xizang 850000)</w:t>
      </w:r>
    </w:p>
    <w:p w14:paraId="72317202">
      <w:pPr>
        <w:spacing w:after="100" w:line="300" w:lineRule="auto"/>
        <w:jc w:val="both"/>
      </w:pPr>
      <w:r>
        <w:rPr>
          <w:b/>
          <w:bCs/>
        </w:rPr>
        <w:t>Abstract:</w:t>
      </w:r>
      <w:r>
        <w:t xml:space="preserve"> Xizang serves as a national ecological-security barrier, a border-security barrier and a pilot zone for high-quality plateau economic development, functions that frameworks centred on economic performance cannot fully capture. Drawing on the "four major tasks" of the Party's strategy for governing Xizang in the new era, this paper builds a security–development–ecology framework in which 4, 5 and 4 indicators respectively measure the conditions sustaining the border-security barrier, the performance of the plateau economy and the maintenance of the ecological-security barrier. Coordination over 2016–2025 is measured with fixed-benchmark standardisation and an unbalance-penalty coordination index (MPI). Results show that: (1) all three subsystems improve and the MPI rises from 0.393 to 0.754, reflecting the joint pursuit of the four tasks; (2) the lagging subsystem shifts over time, from ecology in 2016–2017 to development in 2018–2022, both robust, while slower improvement in security in 2023–2025 hints at a further shift, so policy resources should follow the lagging subsystem; (3) a linear index built from the same 13 indicators under the coordination, green, openness and sharing dimensions tracks the MPI closely (r = 0.979), so the framework's value lies not in the overall trend but in identifying phase-specific weak links, which helps set policy priorities. The paper recommends upgrading services, turning ecological assets into economic value, sustaining livelihood-security spending and monitoring the lagging subsystem dynamically.</w:t>
      </w:r>
    </w:p>
    <w:p w14:paraId="6DEFACF6">
      <w:pPr>
        <w:spacing w:after="100"/>
        <w:jc w:val="both"/>
      </w:pPr>
      <w:r>
        <w:rPr>
          <w:b/>
          <w:bCs/>
        </w:rPr>
        <w:t>Keywords:</w:t>
      </w:r>
      <w:r>
        <w:t xml:space="preserve"> Xizang; the Party's Strategy for Governing Xizang; High-quality Development; National Strategic Functions;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76" w:lineRule="auto"/>
      </w:pPr>
      <w:r>
        <w:separator/>
      </w:r>
    </w:p>
  </w:footnote>
  <w:footnote w:type="continuationSeparator" w:id="3">
    <w:p>
      <w:pPr>
        <w:spacing w:line="276" w:lineRule="auto"/>
      </w:pPr>
      <w:r>
        <w:continuationSeparator/>
      </w:r>
    </w:p>
  </w:footnote>
  <w:footnote w:id="0">
    <w:p w14:paraId="0B2EF567">
      <w:pPr>
        <w:snapToGrid w:val="0"/>
        <w:jc w:val="both"/>
        <w:rPr>
          <w:sz w:val="18"/>
          <w:szCs w:val="18"/>
        </w:rPr>
      </w:pPr>
      <w:r>
        <w:rPr>
          <w:sz w:val="18"/>
          <w:szCs w:val="18"/>
          <w:vertAlign w:val="superscript"/>
        </w:rPr>
        <w:footnoteRef/>
      </w:r>
      <w:r>
        <w:rPr>
          <w:rFonts w:ascii="仿宋" w:hAnsi="仿宋" w:eastAsia="仿宋"/>
          <w:sz w:val="18"/>
          <w:szCs w:val="18"/>
        </w:rPr>
        <w:t xml:space="preserve"> 基金项目：</w:t>
      </w:r>
      <w:r>
        <w:rPr>
          <w:rFonts w:hint="eastAsia" w:ascii="仿宋" w:hAnsi="仿宋" w:eastAsia="仿宋"/>
          <w:sz w:val="18"/>
          <w:szCs w:val="18"/>
          <w:lang w:val="en-US" w:eastAsia="zh-CN"/>
        </w:rPr>
        <w:t>西藏自治区研究阐释党的二十届四中全会和自治区党委十届九次全会精神专项课题（项目名称：数字化转型赋能西藏生态产业价值实现的机制与路径研究）</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trackRevisions w:val="1"/>
  <w:documentProtection w:enforcement="0"/>
  <w:defaultTabStop w:val="420"/>
  <w:noPunctuationKerning w:val="1"/>
  <w:characterSpacingControl w:val="doNotCompress"/>
  <w:footnotePr>
    <w:footnote w:id="2"/>
    <w:footnote w:id="3"/>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136A5"/>
    <w:rsid w:val="00051B1B"/>
    <w:rsid w:val="000E26D8"/>
    <w:rsid w:val="000F00B1"/>
    <w:rsid w:val="0014029E"/>
    <w:rsid w:val="001431B0"/>
    <w:rsid w:val="0017437F"/>
    <w:rsid w:val="00184074"/>
    <w:rsid w:val="00187F2C"/>
    <w:rsid w:val="00190CB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2F64DE"/>
    <w:rsid w:val="00323315"/>
    <w:rsid w:val="003439F0"/>
    <w:rsid w:val="003632B8"/>
    <w:rsid w:val="003C1078"/>
    <w:rsid w:val="003D35EE"/>
    <w:rsid w:val="003F2199"/>
    <w:rsid w:val="00403BF8"/>
    <w:rsid w:val="00414AF7"/>
    <w:rsid w:val="00425592"/>
    <w:rsid w:val="00445916"/>
    <w:rsid w:val="004474EB"/>
    <w:rsid w:val="00454F62"/>
    <w:rsid w:val="00461ED9"/>
    <w:rsid w:val="00486E30"/>
    <w:rsid w:val="004C3D45"/>
    <w:rsid w:val="004C40AA"/>
    <w:rsid w:val="004D26EB"/>
    <w:rsid w:val="004E7EA7"/>
    <w:rsid w:val="00577084"/>
    <w:rsid w:val="005B2CED"/>
    <w:rsid w:val="00634F2D"/>
    <w:rsid w:val="006509D7"/>
    <w:rsid w:val="00673DCF"/>
    <w:rsid w:val="00681A8E"/>
    <w:rsid w:val="00682C14"/>
    <w:rsid w:val="006B22D1"/>
    <w:rsid w:val="006D1320"/>
    <w:rsid w:val="00706B23"/>
    <w:rsid w:val="00730139"/>
    <w:rsid w:val="007354A8"/>
    <w:rsid w:val="00742420"/>
    <w:rsid w:val="00781B3A"/>
    <w:rsid w:val="00784A9B"/>
    <w:rsid w:val="00794EC7"/>
    <w:rsid w:val="007A58A0"/>
    <w:rsid w:val="007C0ADC"/>
    <w:rsid w:val="007C2E52"/>
    <w:rsid w:val="007C4D1F"/>
    <w:rsid w:val="007C6A22"/>
    <w:rsid w:val="0081554C"/>
    <w:rsid w:val="008233F1"/>
    <w:rsid w:val="00866D28"/>
    <w:rsid w:val="00871D2F"/>
    <w:rsid w:val="008945A1"/>
    <w:rsid w:val="008B511C"/>
    <w:rsid w:val="008C2DF7"/>
    <w:rsid w:val="00905D08"/>
    <w:rsid w:val="009606D0"/>
    <w:rsid w:val="009656D2"/>
    <w:rsid w:val="00977FDA"/>
    <w:rsid w:val="00980188"/>
    <w:rsid w:val="009C1B21"/>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E0F6C"/>
    <w:rsid w:val="00BF2B18"/>
    <w:rsid w:val="00C262BB"/>
    <w:rsid w:val="00C43C1D"/>
    <w:rsid w:val="00C51728"/>
    <w:rsid w:val="00C87655"/>
    <w:rsid w:val="00CA5482"/>
    <w:rsid w:val="00CB4E49"/>
    <w:rsid w:val="00CD44CD"/>
    <w:rsid w:val="00D40F55"/>
    <w:rsid w:val="00D5648E"/>
    <w:rsid w:val="00D5726F"/>
    <w:rsid w:val="00D73E52"/>
    <w:rsid w:val="00D859C2"/>
    <w:rsid w:val="00D96D77"/>
    <w:rsid w:val="00D9775C"/>
    <w:rsid w:val="00DB59BB"/>
    <w:rsid w:val="00E101A9"/>
    <w:rsid w:val="00E24121"/>
    <w:rsid w:val="00E7777E"/>
    <w:rsid w:val="00E779F1"/>
    <w:rsid w:val="00EC2A89"/>
    <w:rsid w:val="00EC5EB0"/>
    <w:rsid w:val="00EF3C3D"/>
    <w:rsid w:val="00F02BBC"/>
    <w:rsid w:val="00F115AD"/>
    <w:rsid w:val="00F30DE0"/>
    <w:rsid w:val="00F536ED"/>
    <w:rsid w:val="00F53A23"/>
    <w:rsid w:val="00F566F6"/>
    <w:rsid w:val="00F56A81"/>
    <w:rsid w:val="00F90971"/>
    <w:rsid w:val="00FA67B8"/>
    <w:rsid w:val="00FA78EE"/>
    <w:rsid w:val="00FD6243"/>
    <w:rsid w:val="00FE65B5"/>
    <w:rsid w:val="00FF033D"/>
    <w:rsid w:val="00FF07A4"/>
    <w:rsid w:val="010B69E8"/>
    <w:rsid w:val="082F6793"/>
    <w:rsid w:val="16B2725A"/>
    <w:rsid w:val="1F617319"/>
    <w:rsid w:val="29976824"/>
    <w:rsid w:val="3E5E574F"/>
    <w:rsid w:val="43187AEE"/>
    <w:rsid w:val="5D752C36"/>
    <w:rsid w:val="6B58657E"/>
    <w:rsid w:val="740B0165"/>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4"/>
    <w:semiHidden/>
    <w:unhideWhenUsed/>
    <w:qFormat/>
    <w:uiPriority w:val="99"/>
    <w:rPr>
      <w:rFonts w:ascii="Times New Roman" w:hAnsi="Times New Roman" w:eastAsia="宋体" w:cs="Times New Roman"/>
      <w:lang w:val="en-US" w:eastAsia="zh-CN" w:bidi="ar-SA"/>
    </w:rPr>
  </w:style>
  <w:style w:type="paragraph" w:styleId="10">
    <w:name w:val="footer"/>
    <w:basedOn w:val="1"/>
    <w:link w:val="26"/>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5"/>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3"/>
    <w:semiHidden/>
    <w:unhideWhenUsed/>
    <w:qFormat/>
    <w:uiPriority w:val="99"/>
    <w:rPr>
      <w:rFonts w:ascii="Times New Roman" w:hAnsi="Times New Roman" w:eastAsia="宋体" w:cs="Times New Roman"/>
      <w:lang w:val="en-US" w:eastAsia="zh-CN" w:bidi="ar-SA"/>
    </w:rPr>
  </w:style>
  <w:style w:type="paragraph" w:styleId="13">
    <w:name w:val="Normal (Web)"/>
    <w:basedOn w:val="1"/>
    <w:semiHidden/>
    <w:unhideWhenUsed/>
    <w:qFormat/>
    <w:uiPriority w:val="99"/>
    <w:rPr>
      <w:sz w:val="24"/>
      <w:szCs w:val="24"/>
    </w:rPr>
  </w:style>
  <w:style w:type="paragraph" w:styleId="14">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annotation reference"/>
    <w:basedOn w:val="16"/>
    <w:semiHidden/>
    <w:unhideWhenUsed/>
    <w:qFormat/>
    <w:uiPriority w:val="99"/>
    <w:rPr>
      <w:sz w:val="21"/>
      <w:szCs w:val="21"/>
    </w:rPr>
  </w:style>
  <w:style w:type="character" w:styleId="20">
    <w:name w:val="footnote reference"/>
    <w:semiHidden/>
    <w:unhideWhenUsed/>
    <w:qFormat/>
    <w:uiPriority w:val="99"/>
    <w:rPr>
      <w:vertAlign w:val="superscript"/>
    </w:rPr>
  </w:style>
  <w:style w:type="paragraph" w:customStyle="1" w:styleId="21">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2">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3">
    <w:name w:val="脚注文本 字符"/>
    <w:link w:val="12"/>
    <w:semiHidden/>
    <w:unhideWhenUsed/>
    <w:qFormat/>
    <w:uiPriority w:val="99"/>
    <w:rPr>
      <w:sz w:val="20"/>
      <w:szCs w:val="20"/>
    </w:rPr>
  </w:style>
  <w:style w:type="character" w:customStyle="1" w:styleId="24">
    <w:name w:val="尾注文本 字符"/>
    <w:link w:val="9"/>
    <w:semiHidden/>
    <w:unhideWhenUsed/>
    <w:qFormat/>
    <w:uiPriority w:val="99"/>
    <w:rPr>
      <w:sz w:val="20"/>
      <w:szCs w:val="20"/>
    </w:rPr>
  </w:style>
  <w:style w:type="character" w:customStyle="1" w:styleId="25">
    <w:name w:val="页眉 字符"/>
    <w:basedOn w:val="16"/>
    <w:link w:val="11"/>
    <w:qFormat/>
    <w:uiPriority w:val="99"/>
    <w:rPr>
      <w:sz w:val="18"/>
      <w:szCs w:val="18"/>
    </w:rPr>
  </w:style>
  <w:style w:type="character" w:customStyle="1" w:styleId="26">
    <w:name w:val="页脚 字符"/>
    <w:basedOn w:val="16"/>
    <w:link w:val="10"/>
    <w:qFormat/>
    <w:uiPriority w:val="99"/>
    <w:rPr>
      <w:sz w:val="18"/>
      <w:szCs w:val="18"/>
    </w:rPr>
  </w:style>
  <w:style w:type="paragraph" w:customStyle="1" w:styleId="27">
    <w:name w:val="修订1"/>
    <w:hidden/>
    <w:unhideWhenUsed/>
    <w:qFormat/>
    <w:uiPriority w:val="99"/>
    <w:rPr>
      <w:rFonts w:ascii="Times New Roman" w:hAnsi="Times New Roman" w:eastAsia="宋体" w:cs="Times New Roman"/>
      <w:sz w:val="19"/>
      <w:szCs w:val="19"/>
      <w:lang w:val="en-US" w:eastAsia="zh-CN" w:bidi="ar-SA"/>
    </w:rPr>
  </w:style>
  <w:style w:type="paragraph" w:customStyle="1" w:styleId="28">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CDD78-3035-4116-A17A-5D6CE0EE56AC}">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7301</Words>
  <Characters>7502</Characters>
  <Lines>544</Lines>
  <Paragraphs>468</Paragraphs>
  <TotalTime>63</TotalTime>
  <ScaleCrop>false</ScaleCrop>
  <LinksUpToDate>false</LinksUpToDate>
  <CharactersWithSpaces>7509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2026-09-24T09:52:00Z</dcterms:created>
  <dc:creator>Un-named</dc:creator>
  <cp:lastModifiedBy>glora</cp:lastModifiedBy>
  <dcterms:modified xsi:type="dcterms:W3CDTF">2026-09-29T13:07:42Z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eyJoZGlkIjoiNWQ4MDNhOTkyNTlmMzlmODQ5NzFjNzg3YzJkNjdhYzQiLCJ1c2VySWQiOiIzODUyODM4NDQifQ==</vt:lpwstr>
  </property>
  <property fmtid="{D5CDD505-2E9C-101B-9397-08002B2CF9AE}" pid="3" name="KSOProductBuildVer">
    <vt:lpwstr>2052-12.1.0.28505</vt:lpwstr>
  </property>
  <property fmtid="{D5CDD505-2E9C-101B-9397-08002B2CF9AE}" pid="4" name="ICV">
    <vt:lpwstr>EE787D102D7E4EA7A8BC8772EDC44548_12</vt:lpwstr>
  </property>
</Properties>
</file>