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参考文献与政策文件核查清单</w:t>
      </w:r>
    </w:p>
    <w:p>
      <w:r>
        <w:rPr>
          <w:rFonts w:ascii="Times New Roman" w:hAnsi="Times New Roman" w:eastAsia="SimSun"/>
          <w:b w:val="0"/>
          <w:sz w:val="21"/>
        </w:rPr>
        <w:t>核查对象：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 xml:space="preserve"> 第六部分「主要参考文献」共 56 条，外加正文中的政策文件与一处已替换的引用。</w:t>
      </w:r>
    </w:p>
    <w:p>
      <w:r>
        <w:rPr>
          <w:rFonts w:ascii="Times New Roman" w:hAnsi="Times New Roman" w:eastAsia="SimSun"/>
          <w:b w:val="0"/>
          <w:sz w:val="21"/>
        </w:rPr>
        <w:t>核查方式：用网络搜索逐条检索题目、作者、期刊、年份、卷期、页码。开题报告正文未做任何改动。</w:t>
      </w:r>
    </w:p>
    <w:p>
      <w:r>
        <w:rPr>
          <w:rFonts w:ascii="Times New Roman" w:hAnsi="Times New Roman" w:eastAsia="SimSun"/>
          <w:b/>
          <w:sz w:val="21"/>
        </w:rPr>
        <w:t>图例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✅ 核实无误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🔹 文献存在，但页码等部分信息未能核实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⚠️ 有出入，需要修改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❓ 两次检索均未找到，可能不存在或信息有误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一、结论汇总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数量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[44]、[48]、[52]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有出入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[27]、[30]、[41]、[51]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[36]、[46]、[53]、[54]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核实无误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其余各条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最需要优先处理的是 3 条 ❓</w:t>
      </w:r>
      <w:r>
        <w:rPr>
          <w:rFonts w:ascii="Times New Roman" w:hAnsi="Times New Roman" w:eastAsia="SimSun"/>
          <w:b w:val="0"/>
          <w:sz w:val="21"/>
        </w:rPr>
        <w:t>。这几条可能是写作工具生成的虚构文献，也可能只是题目或期刊记错了。定稿前务必在知网上逐条确认：找不到原文的就删掉，并改写正文中引用它们的句子。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二、需要处理的条目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参考文献表中的写法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说明与建议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[44]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柯艳蓉，吴晓晖，李玉敏．控股股东股权质押、股权结构与股票流动性．国际金融研究，2020(7)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两次检索均未找到。这组作者 2019 年在《财贸经济》发表过《控股股东股权质押与企业投资行为——基于金融投资和实业投资的视角》，但没有查到这篇。该条本身也</w:t>
            </w:r>
            <w:r>
              <w:rPr>
                <w:rFonts w:ascii="Times New Roman" w:hAnsi="Times New Roman" w:eastAsia="SimSun"/>
                <w:b/>
                <w:sz w:val="19"/>
              </w:rPr>
              <w:t>缺页码</w:t>
            </w:r>
            <w:r>
              <w:rPr>
                <w:rFonts w:ascii="Times New Roman" w:hAnsi="Times New Roman" w:eastAsia="SimSun"/>
                <w:b w:val="0"/>
                <w:sz w:val="19"/>
              </w:rPr>
              <w:t>。正文引用处：文献综述第 3 小节「以及质押对公司股票流动性的影响（柯艳蓉等，2020）」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[48]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余明桂，宋慧恬，张庆．支持型股权质押、融资约束与公司投资．财会月刊，2021(12)：23-33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两次检索均未找到，包括只搜「支持型股权质押 余明桂」。正文把「支持型／非支持型质押」这一划分归于该文，并在三「第四」、表 2 中据此设计了检验，</w:t>
            </w:r>
            <w:r>
              <w:rPr>
                <w:rFonts w:ascii="Times New Roman" w:hAnsi="Times New Roman" w:eastAsia="SimSun"/>
                <w:b/>
                <w:sz w:val="19"/>
              </w:rPr>
              <w:t>影响较大</w:t>
            </w:r>
            <w:r>
              <w:rPr>
                <w:rFonts w:ascii="Times New Roman" w:hAnsi="Times New Roman" w:eastAsia="SimSun"/>
                <w:b w:val="0"/>
                <w:sz w:val="19"/>
              </w:rPr>
              <w:t>，需重点核实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[52]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刘强，董恬媛，韩洪灵．控股股东股权质押与企业劳动收入份额．当代经济科学，2025，47(6)：59-72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两次检索均未找到。检索中出现了一篇主题相近的文章：《消失的就业：控股股东质押股票贷款的劳动力市场后果》（《财经研究》2024 年），可供参考替换。正文引用处：文献综述第 4 小节「纾困基金能够有效缓解股权质押对企业劳动收入份额的抑制作用」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[27]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X, Qian M. Firm financing through insider stock pledges. Review of Finance, 2024, 28(2): 621-659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文献无误，</w:t>
            </w:r>
            <w:r>
              <w:rPr>
                <w:rFonts w:ascii="Times New Roman" w:hAnsi="Times New Roman" w:eastAsia="SimSun"/>
                <w:b/>
                <w:sz w:val="19"/>
              </w:rPr>
              <w:t>正文表述有误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文献信息正确。但该文研究的是</w:t>
            </w:r>
            <w:r>
              <w:rPr>
                <w:rFonts w:ascii="Times New Roman" w:hAnsi="Times New Roman" w:eastAsia="SimSun"/>
                <w:b/>
                <w:sz w:val="19"/>
              </w:rPr>
              <w:t>中国</w:t>
            </w:r>
            <w:r>
              <w:rPr>
                <w:rFonts w:ascii="Times New Roman" w:hAnsi="Times New Roman" w:eastAsia="SimSun"/>
                <w:b w:val="0"/>
                <w:sz w:val="19"/>
              </w:rPr>
              <w:t>上市公司质押资金的去向，正文写成「Pan和Qian（2024）则从企业融资视角提供了</w:t>
            </w:r>
            <w:r>
              <w:rPr>
                <w:rFonts w:ascii="Times New Roman" w:hAnsi="Times New Roman" w:eastAsia="SimSun"/>
                <w:b/>
                <w:sz w:val="19"/>
              </w:rPr>
              <w:t>国际</w:t>
            </w:r>
            <w:r>
              <w:rPr>
                <w:rFonts w:ascii="Times New Roman" w:hAnsi="Times New Roman" w:eastAsia="SimSun"/>
                <w:b w:val="0"/>
                <w:sz w:val="19"/>
              </w:rPr>
              <w:t>经验证据」，应改为「基于中国上市公司交易数据考察了内部人质押资金的去向」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[30]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连玉君，彭方平，苏治．融资约束和流动性管理行为．金融研究，2010(10)：158-171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题目用字有误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检索到的题目为「融资约束</w:t>
            </w:r>
            <w:r>
              <w:rPr>
                <w:rFonts w:ascii="Times New Roman" w:hAnsi="Times New Roman" w:eastAsia="SimSun"/>
                <w:b/>
                <w:sz w:val="19"/>
              </w:rPr>
              <w:t>与</w:t>
            </w:r>
            <w:r>
              <w:rPr>
                <w:rFonts w:ascii="Times New Roman" w:hAnsi="Times New Roman" w:eastAsia="SimSun"/>
                <w:b w:val="0"/>
                <w:sz w:val="19"/>
              </w:rPr>
              <w:t>流动性管理行为」，参考文献表写成了「融资约束</w:t>
            </w:r>
            <w:r>
              <w:rPr>
                <w:rFonts w:ascii="Times New Roman" w:hAnsi="Times New Roman" w:eastAsia="SimSun"/>
                <w:b/>
                <w:sz w:val="19"/>
              </w:rPr>
              <w:t>和</w:t>
            </w:r>
            <w:r>
              <w:rPr>
                <w:rFonts w:ascii="Times New Roman" w:hAnsi="Times New Roman" w:eastAsia="SimSun"/>
                <w:b w:val="0"/>
                <w:sz w:val="19"/>
              </w:rPr>
              <w:t>流动性管理行为」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[41]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唐玮，夏晓雪，姜付秀．控股股东股权质押与公司融资约束．会计研究，2019(6)：51-57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题目用字待核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期刊、年份、期号、页码均与检索结果一致。但各处引用中题目有的写「</w:t>
            </w:r>
            <w:r>
              <w:rPr>
                <w:rFonts w:ascii="Times New Roman" w:hAnsi="Times New Roman" w:eastAsia="SimSun"/>
                <w:b/>
                <w:sz w:val="19"/>
              </w:rPr>
              <w:t>公司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融资约束」，有的写「</w:t>
            </w:r>
            <w:r>
              <w:rPr>
                <w:rFonts w:ascii="Times New Roman" w:hAnsi="Times New Roman" w:eastAsia="SimSun"/>
                <w:b/>
                <w:sz w:val="19"/>
              </w:rPr>
              <w:t>企业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融资约束」，以知网原文为准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[51]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苏治，金昕，张永冀．控股股东股权质押风险溢出效应研究——基于私用型和公用型质押的对比分析．会计研究，2023(6)：62-77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页码与正文概括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两个检索来源的页码不一致（62—77 与 61—76），以知网为准。② 检索摘要显示该文研究的是质押风险</w:t>
            </w:r>
            <w:r>
              <w:rPr>
                <w:rFonts w:ascii="Times New Roman" w:hAnsi="Times New Roman" w:eastAsia="SimSun"/>
                <w:b/>
                <w:sz w:val="19"/>
              </w:rPr>
              <w:t>向供应商等外部利益相关者溢出</w:t>
            </w:r>
            <w:r>
              <w:rPr>
                <w:rFonts w:ascii="Times New Roman" w:hAnsi="Times New Roman" w:eastAsia="SimSun"/>
                <w:b w:val="0"/>
                <w:sz w:val="19"/>
              </w:rPr>
              <w:t>，而正文概括为「私用型质押显著提高股价崩盘风险，而公用型质押则无显著影响」，与该文研究内容可能不符，请对照原文摘要修改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[36]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谢德仁，廖珂．控股股东股权质押与上市公司真实盈余管理．会计研究，2018(8)：21-27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题目、作者、期刊、期号均核实；页码未检索到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[46]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史永东，宋明勇，李凤羽，甄红线．控股股东股权质押与企业债权人利益保护——来自中国债券市场的证据．经济研究，2021，56(8)：109-126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题目、作者、期刊、期号均核实（东北财经大学官网报道）；页码未检索到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[53]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郑登津，闻人泱泱，陈德球．制衡还是合谋：来自股权质押新视角下年报文本特征的证据．会计研究，2026(6)：20-33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核实到该文发表于《会计研究》2026 年第 6 期；合作作者与页码未检索到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杨国超，刘琪，王克敏．「存贷双高」企业的高现金持有之谜——基于现金操纵视角的分析与证据．管理世界，2025(12)：163-178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作者、期刊、期号、研究内容均核实；页码未检索到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三、核实无误的条目（45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核查依据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[1]—[8]、[11]—[19]、[23]、[24]、[55]、[56]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Jensen 和 Meckling（1976）、Myers 和 Majluf（1984）、Fazzari 等（1988）、Opler 等（1999）、Almeida 等（2004）、Faulkender 和 Wang（2006）、Dittmar 和 Mahrt-Smith（2007）、Bates 等（2009）、Kaplan 和 Zingales（1997）、Whited 和 Wu（2006）、Hadlock 和 Pierce（2010）、Rosenbaum 和 Rubin（1983）、Richardson（2006）、Jiang 等（2010）、Goodman-Bacon（2021）、Callaway 和 Sant'Anna（2021）、Sun 和 Abraham（2021）、Dou 等（2019）、Pang 和 Wang（2020）、de Chaisemartin 和 D'Haultfœuille（2020）、Lind 和 Mehlum（2010）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领域内的经典文献，期刊、年份、卷期、页码与通行引用一致（未逐条联网检索）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Ghaly 等（2017），Review of Financial Studies 30(10)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等（2020），Accounting &amp; Finance 60(5): 4567-4592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 和 Hu（2007），Applied Economics 39(8): 1059-1075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检索核实（Taylor &amp; Francis、RePEc）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Chan 等（2018），Journal of Corporate Finance 52: 96-117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检索核实（ScienceDirect、RePEc）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Wang 和 Chou（2018），Journal of Banking &amp; Finance 89: 1-13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Li 等（2020），Emerging Markets Review 42: 100671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检索核实（ScienceDirect、RePEc）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Guo 等（2021），Accounting and Finance 61(5): 5925-5964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郝项超和梁琪（2009），会计研究 2009(7): 57-63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王彦超（2009），金融研究 2009(7): 121-133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鞠晓生等（2013），经济研究 48(1): 4-16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郑国坚等（2014），管理科学学报 17(9): 72-87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 PDF）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李旎和郑国坚（2015），会计研究 2015(5): 42-49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[34]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温忠麟等（2005），心理学报 37(2): 268-274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谢德仁等（2016），管理世界 2016(5): 128-140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李常青、李宇坤和李茂良（2018a），金融研究 2018(7): 143-157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检索核实（原文 PDF 版面信息）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李常青、幸伟和李茂良（2018b），财贸经济 39(4):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已对照原文 PDF 核实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（文章编号 1002-8102(2018)04-0082-17）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王雄元等（2018），经济研究 53(1): 138-152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廖珂等（2018），金融研究 2018(4): 172-189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柯艳蓉和李玉敏（2019），经济管理 41(12): 123-139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胡珺等（2020），中国工业经济 2020(2): 174-198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胡聪慧等（2020），金融研究 2020(9): 190-206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杜勇和眭鑫（2021），会计研究 2021(2): 102-119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毛捷和管星华（2022），经济研究 57(9):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周孝华和王诗意（2022），财经研究 48(3): 48-63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四、正文中的政策文件与其他引用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当前状态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查无此文件（原稿即有）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已删除，改为《股票质押式回购交易及登记结算业务办法（2018 年修订）》：2018 年 1 月 12 日发布，3 月 12 日实施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月股权质押信息披露规则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沪深交易所 2019 年 10 月 25 日分别修订股份质押公告格式指引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已按此改写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2025 年 12 月 5 日公开征求意见，截至 2026 年 1 月 5 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未设立地方政府纾困基金的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已改为原文口径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周少甫和叶宁（2023）（原稿引用，参考文献表中无此条）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检索到可能的出处：《控股股东股权质押、控制权转移与信用利差》，《经济与管理》2023，37(4)：61-71（仅见于他文引用）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正文已改为引用唐玮等（2019）；如需恢复，请先核对原文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五、主要检索来源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股票质押新规：</w:t>
      </w:r>
      <w:hyperlink r:id="rId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深圳证券交易所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2019 年质押公告格式指引：</w:t>
      </w:r>
      <w:hyperlink r:id="rId1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2025 年条例征求意见稿：</w:t>
      </w:r>
      <w:hyperlink r:id="rId1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中国证监会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[10] Su 等：</w:t>
      </w:r>
      <w:hyperlink r:id="rId1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[20] Chen 和 Hu：</w:t>
      </w:r>
      <w:hyperlink r:id="rId1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Taylor &amp; Francis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[21] Chan 等：</w:t>
      </w:r>
      <w:hyperlink r:id="rId1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EconPapers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[22] Wang 和 Chou：</w:t>
      </w:r>
      <w:hyperlink r:id="rId1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[25] Li 等：</w:t>
      </w:r>
      <w:hyperlink r:id="rId2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[26] Guo 等：</w:t>
      </w:r>
      <w:hyperlink r:id="rId2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2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[27] Pan 和 Qian：</w:t>
      </w:r>
      <w:hyperlink r:id="rId2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Oxford Academic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2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[32] 郑国坚等：</w:t>
      </w:r>
      <w:hyperlink r:id="rId2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管理科学学报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[40] 廖珂等：</w:t>
      </w:r>
      <w:hyperlink r:id="rId2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[45] 胡聪慧等：</w:t>
      </w:r>
      <w:hyperlink r:id="rId2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[46] 史永东等：</w:t>
      </w:r>
      <w:hyperlink r:id="rId2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东北财经大学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[49] 毛捷和管星华：</w:t>
      </w:r>
      <w:hyperlink r:id="rId2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对外经济贸易大学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[50] 周孝华和王诗意：</w:t>
      </w:r>
      <w:hyperlink r:id="rId3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财经研究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[54] 杨国超等：</w:t>
      </w:r>
      <w:hyperlink r:id="rId3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马克数据网《管理世界》2025 年第 12 期目录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[52] 的相近替代文献：</w:t>
      </w:r>
      <w:hyperlink r:id="rId3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财经研究</w:t>
        </w:r>
      </w:hyperlink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sse.com.cn/aboutus/mediacenter/hotandd/c/c_20180112_4449644.shtml" TargetMode="External"/><Relationship Id="rId10" Type="http://schemas.openxmlformats.org/officeDocument/2006/relationships/hyperlink" Target="https://www.szse.cn/marketServices/deal/stockrepo/rules/t20250327_612583.html" TargetMode="External"/><Relationship Id="rId11" Type="http://schemas.openxmlformats.org/officeDocument/2006/relationships/hyperlink" Target="http://www.sse.com.cn/aboutus/mediacenter/hotandd/c/c_20191025_4933867.shtml" TargetMode="External"/><Relationship Id="rId12" Type="http://schemas.openxmlformats.org/officeDocument/2006/relationships/hyperlink" Target="https://www.csrc.gov.cn/csrc/c101981/c7599967/content.shtml" TargetMode="External"/><Relationship Id="rId13" Type="http://schemas.openxmlformats.org/officeDocument/2006/relationships/hyperlink" Target="https://onlinelibrary.wiley.com/doi/full/10.1111/acfi.12674" TargetMode="External"/><Relationship Id="rId14" Type="http://schemas.openxmlformats.org/officeDocument/2006/relationships/hyperlink" Target="https://ideas.repec.org/a/bla/acctfi/v60y2020i5p4567-4592.html" TargetMode="External"/><Relationship Id="rId15" Type="http://schemas.openxmlformats.org/officeDocument/2006/relationships/hyperlink" Target="https://www.tandfonline.com/doi/abs/10.1080/00036840500462004" TargetMode="External"/><Relationship Id="rId16" Type="http://schemas.openxmlformats.org/officeDocument/2006/relationships/hyperlink" Target="https://ideas.repec.org/a/taf/applec/v39y2007i8p1059-1075.html" TargetMode="External"/><Relationship Id="rId17" Type="http://schemas.openxmlformats.org/officeDocument/2006/relationships/hyperlink" Target="https://www.sciencedirect.com/science/article/abs/pii/S0929119917306727" TargetMode="External"/><Relationship Id="rId18" Type="http://schemas.openxmlformats.org/officeDocument/2006/relationships/hyperlink" Target="https://econpapers.repec.org/RePEc:eee:corfin:v:52:y:2018:i:c:p:96-117" TargetMode="External"/><Relationship Id="rId19" Type="http://schemas.openxmlformats.org/officeDocument/2006/relationships/hyperlink" Target="https://www.sciencedirect.com/science/article/abs/pii/S0378426618300219" TargetMode="External"/><Relationship Id="rId20" Type="http://schemas.openxmlformats.org/officeDocument/2006/relationships/hyperlink" Target="https://www.sciencedirect.com/science/article/abs/pii/S1566014119305199" TargetMode="External"/><Relationship Id="rId21" Type="http://schemas.openxmlformats.org/officeDocument/2006/relationships/hyperlink" Target="https://onlinelibrary.wiley.com/doi/abs/10.1111/acfi.12854" TargetMode="External"/><Relationship Id="rId22" Type="http://schemas.openxmlformats.org/officeDocument/2006/relationships/hyperlink" Target="https://ideas.repec.org/a/bla/acctfi/v61y2021i5p5925-5964.html" TargetMode="External"/><Relationship Id="rId23" Type="http://schemas.openxmlformats.org/officeDocument/2006/relationships/hyperlink" Target="https://academic.oup.com/rof/article-abstract/28/2/621/7284122" TargetMode="External"/><Relationship Id="rId24" Type="http://schemas.openxmlformats.org/officeDocument/2006/relationships/hyperlink" Target="https://ideas.repec.org/a/oup/revfin/v28y2024i2p621-659..html" TargetMode="External"/><Relationship Id="rId25" Type="http://schemas.openxmlformats.org/officeDocument/2006/relationships/hyperlink" Target="https://jmsc.tju.edu.cn/jmsc/article/pdf/20140906" TargetMode="External"/><Relationship Id="rId26" Type="http://schemas.openxmlformats.org/officeDocument/2006/relationships/hyperlink" Target="http://www.jryj.org.cn/CN/abstract/abstract472.shtml" TargetMode="External"/><Relationship Id="rId27" Type="http://schemas.openxmlformats.org/officeDocument/2006/relationships/hyperlink" Target="http://www.jryj.org.cn/CN/abstract/abstract792.shtml" TargetMode="External"/><Relationship Id="rId28" Type="http://schemas.openxmlformats.org/officeDocument/2006/relationships/hyperlink" Target="https://www.dufe.edu.cn/content_54659.html" TargetMode="External"/><Relationship Id="rId29" Type="http://schemas.openxmlformats.org/officeDocument/2006/relationships/hyperlink" Target="http://site.uibe.edu.cn/aspxNews/ViewNews.aspx?NewsID=14754" TargetMode="External"/><Relationship Id="rId30" Type="http://schemas.openxmlformats.org/officeDocument/2006/relationships/hyperlink" Target="https://qks.shufe.edu.cn/J/CJYJ/Article/Details/5c7ac421-a813-4c14-b5f9-f87021437e61/CN" TargetMode="External"/><Relationship Id="rId31" Type="http://schemas.openxmlformats.org/officeDocument/2006/relationships/hyperlink" Target="https://www.macrodatas.cn/article/1147473788" TargetMode="External"/><Relationship Id="rId32" Type="http://schemas.openxmlformats.org/officeDocument/2006/relationships/hyperlink" Target="https://qks.sufe.edu.cn/mv_html/j00002/202409/xpmVLhA7-dLCW-R9GX-xaFt-cZEUCryEI10E_WEB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