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http://schemas.openxmlformats.org/officeDocument/2006/math"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spacing w:after="600"/>
        <w:jc w:val="center"/>
      </w:pPr>
      <w:r>
        <w:drawing>
          <wp:inline distT="0" distB="0" distL="0" distR="0">
            <wp:extent cx="3619500" cy="10287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3619500" cy="1028700"/>
                    </a:xfrm>
                    <a:prstGeom prst="rect">
                      <a:avLst/>
                    </a:prstGeom>
                  </pic:spPr>
                </pic:pic>
              </a:graphicData>
            </a:graphic>
          </wp:inline>
        </w:drawing>
      </w:r>
    </w:p>
    <w:p>
      <w:pPr>
        <w:spacing w:after="900"/>
      </w:pPr>
    </w:p>
    <w:p>
      <w:pPr>
        <w:jc w:val="center"/>
      </w:pPr>
      <w:r>
        <w:rPr>
          <w:rFonts w:ascii="SimHei" w:cs="SimHei" w:eastAsia="SimHei" w:hAnsi="SimHei"/>
          <w:b/>
          <w:bCs/>
          <w:sz w:val="44"/>
          <w:szCs w:val="44"/>
        </w:rPr>
        <w:t xml:space="preserve">硕士学位论文开题报告</w:t>
      </w:r>
    </w:p>
    <w:p>
      <w:pPr>
        <w:spacing w:after="1200"/>
      </w:pPr>
    </w:p>
    <w:p>
      <w:pPr>
        <w:jc w:val="center"/>
      </w:pPr>
      <w:r>
        <w:rPr>
          <w:rFonts w:ascii="SimSun" w:cs="SimSun" w:eastAsia="SimSun" w:hAnsi="SimSun"/>
          <w:sz w:val="26"/>
          <w:szCs w:val="26"/>
        </w:rPr>
        <w:t xml:space="preserve">题　目：　大股东股权质押与企业现金持有水平</w:t>
      </w:r>
    </w:p>
    <w:p>
      <w:pPr>
        <w:jc w:val="center"/>
      </w:pPr>
      <w:r>
        <w:rPr>
          <w:rFonts w:ascii="SimSun" w:cs="SimSun" w:eastAsia="SimSun" w:hAnsi="SimSun"/>
          <w:sz w:val="26"/>
          <w:szCs w:val="26"/>
        </w:rPr>
        <w:t xml:space="preserve">——掏空与风险规避两种机制的识别与边界条件</w:t>
      </w:r>
    </w:p>
    <w:p>
      <w:pPr>
        <w:spacing w:after="200"/>
      </w:pPr>
    </w:p>
    <w:p>
      <w:pPr>
        <w:jc w:val="center"/>
      </w:pPr>
      <w:r>
        <w:rPr>
          <w:rFonts w:ascii="SimSun" w:cs="SimSun" w:eastAsia="SimSun" w:hAnsi="SimSun"/>
          <w:sz w:val="24"/>
          <w:szCs w:val="24"/>
        </w:rPr>
        <w:t xml:space="preserve">学　号：　＿＿＿＿＿＿＿＿＿＿＿＿</w:t>
      </w:r>
    </w:p>
    <w:p>
      <w:pPr>
        <w:jc w:val="center"/>
      </w:pPr>
      <w:r>
        <w:rPr>
          <w:rFonts w:ascii="SimSun" w:cs="SimSun" w:eastAsia="SimSun" w:hAnsi="SimSun"/>
          <w:sz w:val="24"/>
          <w:szCs w:val="24"/>
        </w:rPr>
        <w:t xml:space="preserve">姓　名：　＿＿＿＿＿＿＿＿＿＿＿＿</w:t>
      </w:r>
    </w:p>
    <w:p>
      <w:pPr>
        <w:jc w:val="center"/>
      </w:pPr>
      <w:r>
        <w:rPr>
          <w:rFonts w:ascii="SimSun" w:cs="SimSun" w:eastAsia="SimSun" w:hAnsi="SimSun"/>
          <w:sz w:val="24"/>
          <w:szCs w:val="24"/>
        </w:rPr>
        <w:t xml:space="preserve">专　业：　金融学</w:t>
      </w:r>
    </w:p>
    <w:p>
      <w:pPr>
        <w:jc w:val="center"/>
      </w:pPr>
      <w:r>
        <w:rPr>
          <w:rFonts w:ascii="SimSun" w:cs="SimSun" w:eastAsia="SimSun" w:hAnsi="SimSun"/>
          <w:sz w:val="24"/>
          <w:szCs w:val="24"/>
        </w:rPr>
        <w:t xml:space="preserve">学　院：　财经学院</w:t>
      </w:r>
    </w:p>
    <w:p>
      <w:pPr>
        <w:jc w:val="center"/>
      </w:pPr>
      <w:r>
        <w:rPr>
          <w:rFonts w:ascii="SimSun" w:cs="SimSun" w:eastAsia="SimSun" w:hAnsi="SimSun"/>
          <w:sz w:val="24"/>
          <w:szCs w:val="24"/>
        </w:rPr>
        <w:t xml:space="preserve">导师姓名：　＿＿＿＿＿＿＿＿＿＿＿＿</w:t>
      </w:r>
    </w:p>
    <w:p>
      <w:pPr>
        <w:jc w:val="center"/>
      </w:pPr>
      <w:r>
        <w:rPr>
          <w:rFonts w:ascii="SimSun" w:cs="SimSun" w:eastAsia="SimSun" w:hAnsi="SimSun"/>
          <w:sz w:val="24"/>
          <w:szCs w:val="24"/>
        </w:rPr>
        <w:t xml:space="preserve">导师职称：　＿＿＿＿＿＿＿＿＿＿＿＿</w:t>
      </w:r>
    </w:p>
    <w:p>
      <w:pPr>
        <w:jc w:val="center"/>
      </w:pPr>
      <w:r>
        <w:rPr>
          <w:rFonts w:ascii="SimSun" w:cs="SimSun" w:eastAsia="SimSun" w:hAnsi="SimSun"/>
          <w:sz w:val="24"/>
          <w:szCs w:val="24"/>
        </w:rPr>
        <w:t xml:space="preserve">入学日期：　＿＿＿＿年＿＿月</w:t>
      </w:r>
    </w:p>
    <w:p>
      <w:pPr>
        <w:jc w:val="center"/>
      </w:pPr>
      <w:r>
        <w:rPr>
          <w:rFonts w:ascii="SimSun" w:cs="SimSun" w:eastAsia="SimSun" w:hAnsi="SimSun"/>
          <w:sz w:val="24"/>
          <w:szCs w:val="24"/>
        </w:rPr>
        <w:t xml:space="preserve">开题日期：　＿＿＿＿年＿＿月</w:t>
      </w:r>
    </w:p>
    <w:p>
      <w:pPr>
        <w:spacing w:after="1400"/>
      </w:pPr>
    </w:p>
    <w:p>
      <w:pPr>
        <w:jc w:val="center"/>
      </w:pPr>
      <w:r>
        <w:rPr>
          <w:rFonts w:ascii="SimSun" w:cs="SimSun" w:eastAsia="SimSun" w:hAnsi="SimSun"/>
          <w:sz w:val="24"/>
          <w:szCs w:val="24"/>
        </w:rPr>
        <w:t xml:space="preserve">西藏大学研究生院制</w:t>
      </w:r>
    </w:p>
    <w:p>
      <w:pPr>
        <w:jc w:val="center"/>
      </w:pPr>
      <w:r>
        <w:rPr>
          <w:rFonts w:ascii="SimSun" w:cs="SimSun" w:eastAsia="SimSun" w:hAnsi="SimSun"/>
          <w:sz w:val="22"/>
          <w:szCs w:val="22"/>
        </w:rPr>
        <w:t xml:space="preserve">填表日期：　＿＿＿＿年＿＿月＿＿日</w:t>
      </w:r>
    </w:p>
    <w:p>
      <w:r>
        <w:br w:type="page"/>
      </w:r>
    </w:p>
    <w:p>
      <w:pPr>
        <w:spacing w:after="160" w:before="260"/>
      </w:pPr>
      <w:r>
        <w:rPr>
          <w:rFonts w:ascii="SimHei" w:cs="SimHei" w:eastAsia="SimHei" w:hAnsi="SimHei"/>
          <w:b/>
          <w:bCs/>
          <w:sz w:val="26"/>
          <w:szCs w:val="26"/>
        </w:rPr>
        <w:t xml:space="preserve">填表说明</w:t>
      </w:r>
    </w:p>
    <w:p>
      <w:pPr>
        <w:spacing w:line="480" w:lineRule="auto"/>
        <w:ind w:firstLine="560"/>
      </w:pPr>
      <w:r>
        <w:rPr>
          <w:rFonts w:ascii="FangSong_GB2312" w:cs="SimSun" w:eastAsia="FangSong_GB2312" w:hAnsi="FangSong_GB2312"/>
          <w:sz w:val="28"/>
          <w:szCs w:val="22"/>
        </w:rPr>
        <w:t xml:space="preserve">1．只有学籍状态为注册的研究生才允许开题，开题报告及其评审结果才能被认可。</w:t>
      </w:r>
    </w:p>
    <w:p>
      <w:pPr>
        <w:spacing w:line="480" w:lineRule="auto"/>
        <w:ind w:firstLine="560"/>
      </w:pPr>
      <w:r>
        <w:rPr>
          <w:rFonts w:ascii="FangSong_GB2312" w:cs="SimSun" w:eastAsia="FangSong_GB2312" w:hAnsi="FangSong_GB2312"/>
          <w:sz w:val="28"/>
          <w:szCs w:val="22"/>
        </w:rPr>
        <w:t xml:space="preserve">2．硕士学位论文开题报告封面及一至六项必须用计算机输入、打印。</w:t>
      </w:r>
    </w:p>
    <w:p>
      <w:pPr>
        <w:spacing w:line="480" w:lineRule="auto"/>
        <w:ind w:firstLine="560"/>
      </w:pPr>
      <w:r>
        <w:rPr>
          <w:rFonts w:ascii="FangSong_GB2312" w:cs="SimSun" w:eastAsia="FangSong_GB2312" w:hAnsi="FangSong_GB2312"/>
          <w:sz w:val="28"/>
          <w:szCs w:val="22"/>
        </w:rPr>
        <w:t xml:space="preserve">3．开题报告为A4大小，双面打印，于左侧装订成册。本报告一式一份。</w:t>
      </w:r>
    </w:p>
    <w:p>
      <w:pPr>
        <w:spacing w:line="480" w:lineRule="auto"/>
        <w:ind w:firstLine="560"/>
      </w:pPr>
      <w:r>
        <w:rPr>
          <w:rFonts w:ascii="FangSong_GB2312" w:cs="SimSun" w:eastAsia="FangSong_GB2312" w:hAnsi="FangSong_GB2312"/>
          <w:sz w:val="28"/>
          <w:szCs w:val="22"/>
        </w:rPr>
        <w:t xml:space="preserve">4．开题报告经指导教师审阅通过后，举行公开的开题报告答辩会。答辩会专家组由3-5名高级职称的专家（包括导师）组成，成员由各学院学位评定分委员会确定。</w:t>
      </w:r>
    </w:p>
    <w:p>
      <w:pPr>
        <w:spacing w:line="480" w:lineRule="auto"/>
        <w:ind w:firstLine="560"/>
      </w:pPr>
      <w:r>
        <w:rPr>
          <w:rFonts w:ascii="FangSong_GB2312" w:cs="SimSun" w:eastAsia="FangSong_GB2312" w:hAnsi="FangSong_GB2312"/>
          <w:sz w:val="28"/>
          <w:szCs w:val="22"/>
        </w:rPr>
        <w:t xml:space="preserve">5．硕士研究生应在选题前阅读相关领域的中外文资料，引用参考文献的篇数不得少于10篇。</w:t>
      </w:r>
    </w:p>
    <w:p>
      <w:pPr>
        <w:spacing w:line="480" w:lineRule="auto"/>
        <w:ind w:firstLine="560"/>
      </w:pPr>
      <w:r>
        <w:rPr>
          <w:rFonts w:ascii="FangSong_GB2312" w:cs="SimSun" w:eastAsia="FangSong_GB2312" w:hAnsi="FangSong_GB2312"/>
          <w:sz w:val="28"/>
          <w:szCs w:val="22"/>
        </w:rPr>
        <w:t xml:space="preserve">6．“参考文献”著录书写顺序为：</w:t>
      </w:r>
    </w:p>
    <w:p>
      <w:pPr>
        <w:spacing w:after="120" w:line="360"/>
        <w:ind w:firstLine="880"/>
      </w:pPr>
      <w:r>
        <w:rPr>
          <w:rFonts w:ascii="SimSun" w:cs="SimSun" w:eastAsia="SimSun" w:hAnsi="SimSun"/>
          <w:sz w:val="22"/>
          <w:szCs w:val="22"/>
        </w:rPr>
        <w:t xml:space="preserve">（1）文献是期刊时，其格式为：[序号]作者.文章题目.期刊名.年份.卷号.期号（若期刊无卷号，则为：年份、期号）页码。</w:t>
      </w:r>
    </w:p>
    <w:p>
      <w:pPr>
        <w:spacing w:after="120" w:line="360"/>
        <w:ind w:firstLine="880"/>
      </w:pPr>
      <w:r>
        <w:rPr>
          <w:rFonts w:ascii="SimSun" w:cs="SimSun" w:eastAsia="SimSun" w:hAnsi="SimSun"/>
          <w:sz w:val="22"/>
          <w:szCs w:val="22"/>
        </w:rPr>
        <w:t xml:space="preserve">（2）文献是图书时，其格式为：[序号]作者.书名.出版地：出版社，出版年。</w:t>
      </w:r>
    </w:p>
    <w:p>
      <w:pPr>
        <w:spacing w:line="480" w:lineRule="auto"/>
        <w:ind w:firstLine="560"/>
      </w:pPr>
      <w:r>
        <w:rPr>
          <w:rFonts w:ascii="FangSong_GB2312" w:cs="SimSun" w:eastAsia="FangSong_GB2312" w:hAnsi="FangSong_GB2312"/>
          <w:sz w:val="28"/>
          <w:szCs w:val="22"/>
        </w:rPr>
        <w:t xml:space="preserve">7．开题报告的评定结果为“优”、“良”，“中”、“合格”或“不合格”，合格者进入学位论文研究、撰写阶段；开题报告不合格者则限期重做，重做仍不合格者须延期毕业。</w:t>
      </w:r>
    </w:p>
    <w:p>
      <w:pPr>
        <w:spacing w:line="480" w:lineRule="auto"/>
        <w:ind w:firstLine="560"/>
      </w:pPr>
      <w:r>
        <w:rPr>
          <w:rFonts w:ascii="FangSong_GB2312" w:cs="SimSun" w:eastAsia="FangSong_GB2312" w:hAnsi="FangSong_GB2312"/>
          <w:sz w:val="28"/>
          <w:szCs w:val="22"/>
        </w:rPr>
        <w:t xml:space="preserve">8．论文开题计划批准后非经同意手续不得随意更改。</w:t>
      </w:r>
    </w:p>
    <w:p>
      <w:r>
        <w:br w:type="page"/>
      </w:r>
    </w:p>
    <w:p>
      <w:pPr>
        <w:spacing w:after="160" w:before="260"/>
      </w:pPr>
      <w:r>
        <w:rPr>
          <w:rFonts w:ascii="SimHei" w:cs="SimHei" w:eastAsia="SimHei" w:hAnsi="SimHei"/>
          <w:b/>
          <w:bCs/>
          <w:sz w:val="26"/>
          <w:szCs w:val="26"/>
        </w:rPr>
        <w:t xml:space="preserve">硕士研究生学位论文开题报告表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姓　名</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院、系（所）</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财经学院</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专业领域</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金融学</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攻读学位</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经济学硕士</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专业方向</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公司金融</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指导教师</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论文题目</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大股东股权质押与企业现金持有水平——掏空与风险规避两种机制的识别与边界条件</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选题来源</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
              <w:rPr>
                <w:rFonts w:ascii="宋体" w:hAnsi="宋体" w:eastAsia="宋体"/>
                <w:sz w:val="21"/>
              </w:rPr>
              <w:t>其他</w:t>
            </w:r>
          </w:p>
          <w:p>
            <w:pPr>
              <w:spacing w:before="40"/>
            </w:pPr>
            <w:r>
              <w:rPr>
                <w:rFonts w:ascii="宋体" w:hAnsi="宋体" w:eastAsia="宋体"/>
                <w:sz w:val="17"/>
              </w:rPr>
              <w:t>02、973、863项目；04、国家社科规划、基金项目；05、教育部人文、社会科学研究项目；06、国家自然科学基金项目；07、中央、国家各部门项目；09、省（自治区、直辖市）项目；</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项目编号
（各类立项项目须填写，没有则填“无”）</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无</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选题类型</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应用研究</w:t>
            </w:r>
          </w:p>
          <w:p>
            <w:pPr>
              <w:spacing w:before="40"/>
            </w:pPr>
            <w:r>
              <w:rPr>
                <w:rFonts w:ascii="宋体" w:hAnsi="宋体" w:eastAsia="宋体"/>
                <w:sz w:val="17"/>
              </w:rPr>
              <w:t>01.基础研究；02.应用研究；03.综合研究；99.其他</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开题报告组成人员</w:t>
            </w:r>
          </w:p>
        </w:tc>
        <w:tc>
          <w:tcPr>
            <w:tcW w:type="dxa" w:w="2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姓名</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职称</w:t>
            </w:r>
          </w:p>
        </w:tc>
        <w:tc>
          <w:tcPr>
            <w:tcW w:type="dxa" w:w="39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所在工作单位</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r>
    </w:tbl>
    <w:p>
      <w:r>
        <w:br w:type="page"/>
      </w:r>
    </w:p>
    <w:p>
      <w:pPr>
        <w:spacing w:line="300" w:lineRule="auto"/>
      </w:pPr>
      <w:r>
        <w:rPr>
          <w:rFonts w:ascii="宋体" w:cs="SimHei" w:eastAsia="宋体" w:hAnsi="宋体"/>
          <w:b/>
          <w:bCs/>
          <w:sz w:val="24"/>
          <w:szCs w:val="26"/>
        </w:rPr>
        <w:t xml:space="preserve">一、选题依据。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简述该选题的背景、来源、研究目的、研究意义、国内外研究现状及发展趋势。</w:t>
            </w:r>
          </w:p>
          <w:p>
            <w:pPr>
              <w:spacing/>
            </w:pPr>
            <w:r>
              <w:rPr>
                <w:rFonts w:ascii="宋体" w:cs="SimSun" w:eastAsia="宋体" w:hAnsi="宋体"/>
                <w:b/>
                <w:bCs/>
                <w:sz w:val="21"/>
                <w:szCs w:val="24"/>
              </w:rPr>
              <w:t xml:space="preserve">（一）选题背景</w:t>
            </w:r>
          </w:p>
          <w:p>
            <w:pPr>
              <w:spacing/>
              <w:ind w:firstLine="420"/>
            </w:pPr>
            <w:r>
              <w:rPr>
                <w:rFonts w:ascii="宋体" w:cs="SimSun" w:eastAsia="宋体" w:hAnsi="宋体"/>
                <w:sz w:val="21"/>
                <w:szCs w:val="22"/>
              </w:rPr>
              <w:t xml:space="preserve">股权质押已成为我国上市公司大股东重要的融资渠道，具有便捷、成本低、不需实际转让股权控制权等特点，近年来市场质押规模持续处于较高水平。与此同时，股权质押也带来了控制权转移风险：一旦质押股票价格触及平仓线，质权人有权要求追加担保甚至强制平仓，这一风险会显著改变大股东乃至上市公司的行为决策（谢德仁等，2016）。</w:t>
            </w:r>
          </w:p>
          <w:p>
            <w:pPr>
              <w:spacing/>
              <w:ind w:firstLine="420"/>
            </w:pPr>
            <w:r>
              <w:rPr>
                <w:rFonts w:ascii="宋体" w:cs="SimSun" w:eastAsia="宋体" w:hAnsi="宋体"/>
                <w:sz w:val="21"/>
                <w:szCs w:val="22"/>
              </w:rPr>
              <w:t xml:space="preserve">监管层对股权质押风险的关注呈现持续加码的态势。2013年，沪深交易所与中国证券登记结算有限责任公司推出《股票质押式回购交易及登记结算业务办法（试行）》，场内质押业务由此起步；2018年1月，沪深交易所与中国证券登记结算有限责任公司分别发布《股票质押式回购交易及登记结算业务办法（2018年修订）》，并于同年3月12日起实施，对融入方资质、股票质押率、单只股票质押比例、资金用途等作出更严格规定；2018年第四季度起，多个省份的地方政府与金融机构陆续设立民营企业纾困专项基金，以市场化方式化解上市公司股权质押风险（毛捷和管星华，2022）。2019年10月，上海、深圳证券交易所分别修订股份质押信息披露相关公告格式指引，进一步强化对控股股东高比例质押、平仓风险及股份冻结等事项的信息披露要求；2025年12月，中国证监会就《上市公司监督管理条例（公开征求意见稿）》公开征求意见，进一步完善上市公司治理、信息披露及控股股东、实际控制人等关键少数监管要求。上述制度演进反映出监管层对股权质押风险及其向公司治理和经营层面传导问题的持续关注，也为本文考察监管政策和地方纾困措施的影响提供了政策背景。</w:t>
            </w:r>
          </w:p>
          <w:p>
            <w:pPr>
              <w:spacing/>
              <w:ind w:firstLine="420"/>
            </w:pPr>
            <w:r>
              <w:rPr>
                <w:rFonts w:ascii="宋体" w:cs="SimSun" w:eastAsia="宋体" w:hAnsi="宋体"/>
                <w:sz w:val="21"/>
                <w:szCs w:val="22"/>
              </w:rPr>
              <w:t xml:space="preserve">从企业财务决策角度看，现金作为流动性最强的资产，是企业应对经营不确定性和外部冲击的第一道防线。已有大量研究基于权衡理论、优序融资理论和预防性动机理论，探讨企业现金持有水平的决定因素（Opler等，1999；Almeida等，2004），但对控制权转移风险这一由股东行为引发、具有较强外生性的特定风险如何影响企业现金持有决策，现有讨论仍相对有限。</w:t>
            </w:r>
          </w:p>
          <w:p>
            <w:pPr>
              <w:spacing/>
              <w:ind w:firstLine="420"/>
            </w:pPr>
            <w:r>
              <w:rPr>
                <w:rFonts w:ascii="宋体" w:cs="SimSun" w:eastAsia="宋体" w:hAnsi="宋体"/>
                <w:sz w:val="21"/>
                <w:szCs w:val="22"/>
              </w:rPr>
              <w:t xml:space="preserve">股权质押恰好提供了一个观察大股东行为如何传导至公司财务决策的独特窗口：控制权转移风险并非源于公司自身经营波动，而是源于控股股东个人融资安排，相对于公司经营基本面具有较强的外生性。</w:t>
            </w:r>
          </w:p>
          <w:p>
            <w:pPr>
              <w:spacing/>
              <w:ind w:firstLine="420"/>
            </w:pPr>
            <w:r>
              <w:rPr>
                <w:rFonts w:ascii="宋体" w:cs="SimSun" w:eastAsia="宋体" w:hAnsi="宋体"/>
                <w:sz w:val="21"/>
                <w:szCs w:val="22"/>
              </w:rPr>
              <w:t xml:space="preserve">值得注意的是，关于质押之后公司现金持有水平的变化方向，现有研究给出了两种截然相反的预测。“掏空说”认为，质押使大股东承担的现金流权风险下降、两权分离程度上升，加之其自身资金压力增大，通过资金占用等方式侵占上市公司资源的动机随之增强，公司可支配现金相应减少（郑国坚等，2014）；“风险规避说”则认为，大股东为避免股价下跌触发平仓、危及控制权，有动机推动公司储备现金以稳定经营与股价，公司现金持有水平反而上升（李常青等，2018b）。两类解释各有经验证据支持，但孰强孰弱、在何种条件下各自占据主导，尚未得到系统检验。</w:t>
            </w:r>
          </w:p>
          <w:p>
            <w:pPr>
              <w:spacing/>
              <w:ind w:firstLine="420"/>
            </w:pPr>
            <w:r>
              <w:rPr>
                <w:rFonts w:ascii="宋体" w:cs="SimSun" w:eastAsia="宋体" w:hAnsi="宋体"/>
                <w:sz w:val="21"/>
                <w:szCs w:val="22"/>
              </w:rPr>
              <w:t xml:space="preserve">需要看到，李常青等（2018b）已直接检验了控股股东股权质押与现金持有水平的关系，基于2013—2015年季度数据发现二者呈U型关系：质押比例较低时以“掏空”为主，现金持有下降；质押比例超过约55%后以规避控制权转移风险为主，现金持有上升。但该结论来自混合截面回归，未控制公司固定效应，U型的上升段究竟反映同一公司质押加深后的行为变化，还是高质押公司与其他公司之间的固有差异，尚未得到区分；此外，2018年股票质押新规实施与纾困政策推出之后，质押风险的形成与化解方式均已发生明显变化，既有结论在新的制度环境下是否依然成立尚待检验。基于此，本文在将样本延伸至2025年的基础上，重点从三个方面推进：一是借助平仓压力、控股股东资金占用与现金边际价值等能够区分两种机制的渠道检验，识别风险规避与掏空是否同时存在；二是以融资约束程度与产权性质刻画效应的边界条件；三是借助2018年股票质押新规，评估监管政策对质押风险传导的实际效果。</w:t>
            </w:r>
          </w:p>
          <w:p>
            <w:pPr>
              <w:spacing/>
            </w:pPr>
            <w:r>
              <w:rPr>
                <w:rFonts w:ascii="宋体" w:cs="SimSun" w:eastAsia="宋体" w:hAnsi="宋体"/>
                <w:b/>
                <w:bCs/>
                <w:sz w:val="21"/>
                <w:szCs w:val="24"/>
              </w:rPr>
              <w:t xml:space="preserve">（二）来源</w:t>
            </w:r>
          </w:p>
          <w:p>
            <w:pPr>
              <w:spacing/>
              <w:ind w:firstLine="420"/>
            </w:pPr>
            <w:r>
              <w:rPr>
                <w:rFonts w:ascii="宋体" w:cs="SimSun" w:eastAsia="宋体" w:hAnsi="宋体"/>
                <w:sz w:val="21"/>
                <w:szCs w:val="22"/>
              </w:rPr>
              <w:t xml:space="preserve">本选题为自拟选题。选题结合当前股权质押市场的现实背景与监管政策动向，以及现有文献在“股权质押经济后果”与“企业现金持有影响因素”两个研究领域交叉地带存在的不足而形成。</w:t>
            </w:r>
          </w:p>
          <w:p>
            <w:pPr>
              <w:spacing/>
            </w:pPr>
            <w:r>
              <w:rPr>
                <w:rFonts w:ascii="宋体" w:cs="SimSun" w:eastAsia="宋体" w:hAnsi="宋体"/>
                <w:b/>
                <w:bCs/>
                <w:sz w:val="21"/>
                <w:szCs w:val="24"/>
              </w:rPr>
              <w:t xml:space="preserve">（三）研究目的</w:t>
            </w:r>
          </w:p>
          <w:p>
            <w:pPr>
              <w:spacing/>
              <w:ind w:firstLine="420"/>
            </w:pPr>
            <w:r>
              <w:rPr>
                <w:rFonts w:ascii="宋体" w:cs="SimSun" w:eastAsia="宋体" w:hAnsi="宋体"/>
                <w:sz w:val="21"/>
                <w:szCs w:val="22"/>
              </w:rPr>
              <w:t xml:space="preserve">本文旨在回答三个递进的问题：第一，在延伸至2025年的样本中，大股东股权质押对企业现金持有水平的净效应方向如何；第二，风险规避与掏空两种机制是否同时存在、各自通过何种渠道发挥作用；第三，上述效应在何种条件下更强，2018年股票质押新规是否改变了质押风险向公司现金政策的传导。具体而言，本文不预设效应方向，将“风险规避说”与“掏空说”设定为一对竞争性假设：以基准回归判断净效应方向，以平仓压力、资金占用与现金边际价值的渠道检验区分两种机制，以融资约束程度与产权性质识别边界条件，并以2018年股票质押新规为政策冲击评估监管效果，从预防性动机视角丰富股权质押经济后果的研究内容。</w:t>
            </w:r>
          </w:p>
          <w:p>
            <w:pPr>
              <w:spacing/>
            </w:pPr>
            <w:r>
              <w:rPr>
                <w:rFonts w:ascii="宋体" w:cs="SimSun" w:eastAsia="宋体" w:hAnsi="宋体"/>
                <w:b/>
                <w:bCs/>
                <w:sz w:val="21"/>
                <w:szCs w:val="24"/>
              </w:rPr>
              <w:t xml:space="preserve">（四）研究意义</w:t>
            </w:r>
          </w:p>
          <w:p>
            <w:pPr>
              <w:spacing/>
              <w:ind w:firstLine="420"/>
            </w:pPr>
            <w:r>
              <w:rPr>
                <w:rFonts w:ascii="宋体" w:cs="SimSun" w:eastAsia="宋体" w:hAnsi="宋体"/>
                <w:sz w:val="21"/>
                <w:szCs w:val="22"/>
              </w:rPr>
              <w:t xml:space="preserve">在理论层面，本文的价值主要体现在三个方面。其一，现有企业现金持有文献所考察的风险来源大多为公司自身的经营波动与现金流不确定性（Opler等，1999；Bates等，2009），属于内生于公司经营的风险；而股权质押所引发的控制权转移风险源于控股股东个人的融资安排，对公司经营基本面而言具有较强的外生性，本文由此为预防性动机理论提供一个“风险来自股东而非公司”的新情景，拓展现金持有决定因素的研究边界。其二，现有股权质押经济后果研究集中于创新投入、盈余管理、税收规避、股价崩盘风险等进攻性或结果性决策（谢德仁等，2016；李常青等，2018a；王雄元等，2018），对现金持有这一防御性流动性管理决策关注相对有限，本文对该领域的研究对象形成补充。其三，本文并非简单依据净效应的符号在“掏空说”与“风险规避说”之间选边站队，而是以平仓压力、资金占用与现金边际价值等两种机制给出不同预测的渠道进行区分，并以融资约束程度和产权性质刻画效应的边界条件，为化解既有文献的结论分歧提供一种可检验的思路（杜勇和眭鑫，2021）。</w:t>
            </w:r>
          </w:p>
          <w:p>
            <w:pPr>
              <w:spacing/>
              <w:ind w:firstLine="420"/>
            </w:pPr>
            <w:r>
              <w:rPr>
                <w:rFonts w:ascii="宋体" w:cs="SimSun" w:eastAsia="宋体" w:hAnsi="宋体"/>
                <w:sz w:val="21"/>
                <w:szCs w:val="22"/>
              </w:rPr>
              <w:t xml:space="preserve">在现实层面，本文的意义同样体现在三个方面。其一，企业现金持有水平上升未必意味着财务状况改善——若增持现金源于被动的风险防御，则很可能伴随投资支出的挤出，本文拟进一步检验质押是否通过提高现金储备而抑制企业资本支出与创新投入（投资水平参照Richardson（2006）的投资预期模型度量），从而为“个股质押风险向实体经营层面传导”提供直接的经验证据。其二，以2018年股票质押新规为准自然实验的检验结果，可以直观反映该项监管政策是否有效切断了上述传导链条，为后续完善股权质押风险管控政策提供参考。其三，对债权人与投资者而言，高质押比例公司账面现金的增加究竟是安全垫还是经营收缩的信号，两者的估值含义截然不同，本文的结论有助于提升对该类公司财务信息的识别能力。</w:t>
            </w:r>
          </w:p>
          <w:p>
            <w:pPr>
              <w:spacing/>
            </w:pPr>
            <w:r>
              <w:rPr>
                <w:rFonts w:ascii="宋体" w:cs="SimSun" w:eastAsia="宋体" w:hAnsi="宋体"/>
                <w:b/>
                <w:bCs/>
                <w:sz w:val="21"/>
                <w:szCs w:val="24"/>
              </w:rPr>
              <w:t xml:space="preserve">（五）国内外研究现状及发展趋势</w:t>
            </w:r>
          </w:p>
          <w:p>
            <w:pPr>
              <w:spacing/>
            </w:pPr>
            <w:r>
              <w:rPr>
                <w:rFonts w:ascii="宋体" w:cs="SimSun" w:eastAsia="宋体" w:hAnsi="宋体"/>
                <w:b/>
                <w:bCs/>
                <w:sz w:val="21"/>
                <w:szCs w:val="22"/>
              </w:rPr>
              <w:t xml:space="preserve">1．融资约束、外生风险与企业现金持有</w:t>
            </w:r>
          </w:p>
          <w:p>
            <w:pPr>
              <w:spacing/>
              <w:ind w:firstLine="420"/>
            </w:pPr>
            <w:r>
              <w:rPr>
                <w:rFonts w:ascii="宋体" w:cs="SimSun" w:eastAsia="宋体" w:hAnsi="宋体"/>
                <w:sz w:val="21"/>
                <w:szCs w:val="22"/>
              </w:rPr>
              <w:t xml:space="preserve">企业现金持有的决定因素是公司金融领域长期关注的问题。权衡理论认为，企业持有现金存在交易成本与机会成本的权衡；优序融资理论则将现金视为内部资金的“蓄水池”，用以缓冲内外部融资成本差异（Opler等，1999）。这一理论脉络可追溯至委托代理理论对股东与管理层利益冲突的刻画（Jensen和Meckling，1976）以及信息不对称下的融资优序思想（Myers和Majluf，1984）。在此基础上，预防性动机理论进一步强调，当企业面临较强的外部融资约束、无法确定能否及时获得外部资金时，会主动提高现金持有水平以应对未来的不确定性冲击（Almeida等，2004）。已有研究表明，融资约束程度较高、现金流波动较大的企业往往持有更多现金（Bates等，2009；Hadlock和Pierce，2010），Su等（2020）基于中国样本进一步证实，经济政策不确定性上升会显著提高企业的预防性现金持有水平。Graham和Leary（2018）基于美国近一个世纪的数据进一步发现，近年来平均现金持有水平的上升几乎完全来自新上市公司现金政策的变化，同一公司内部的现金持有并未随之上升，这提示研究现金持有问题时需要区分公司间差异与公司内变化，并关注上市年限的影响。融资约束的测度方法不断发展，从KZ指数（Kaplan和Zingales，1997）到WW指数（Whited和Wu，2006）再到SA指数（Hadlock和Pierce，2010），鞠晓生等（2013）将SA指数应用于中国上市公司，为本文的融资约束测算提供了参照。国内学者基于中国资本市场制度背景的检验同样支持预防性动机的存在（王彦超，2009；连玉君等，2010）。</w:t>
            </w:r>
          </w:p>
          <w:p>
            <w:pPr>
              <w:spacing/>
              <w:ind w:firstLine="420"/>
            </w:pPr>
            <w:r>
              <w:rPr>
                <w:rFonts w:ascii="宋体" w:cs="SimSun" w:eastAsia="宋体" w:hAnsi="宋体"/>
                <w:sz w:val="21"/>
                <w:szCs w:val="22"/>
              </w:rPr>
              <w:t xml:space="preserve">与此同时，现金持有的治理含义日益受到重视。Dittmar和Mahrt-Smith（2007）发现，公司治理质量较差的企业其持有现金的市场价值显著更低，说明现金既可能是企业应对风险的缓冲，也可能成为内部人侵占的对象；Faulkender和Wang（2006）则提供了度量现金边际价值的标准方法。Ghaly等（2017）发现，技能型劳动力占比较高的企业为应对劳动力调整成本会持有更多现金，说明企业面临的特定风险类型会系统性地影响其现金持有政策。值得注意的是，近期研究开始对账面现金本身的可靠性提出质疑（杨国超等，2025），发现企业可能通过会计造假、期末临时“摆账”以及“以贷转存”并反复质押借款等实际业务活动方式虚增账面现金余额，这对以账面现金为被解释变量的研究提出了新的计量要求，也构成本文在稳健性检验环节需要专门应对的问题。</w:t>
            </w:r>
          </w:p>
          <w:p>
            <w:pPr>
              <w:spacing/>
              <w:ind w:firstLine="420"/>
            </w:pPr>
            <w:r>
              <w:rPr>
                <w:rFonts w:ascii="宋体" w:cs="SimSun" w:eastAsia="宋体" w:hAnsi="宋体"/>
                <w:sz w:val="21"/>
                <w:szCs w:val="22"/>
              </w:rPr>
              <w:t xml:space="preserve">上述文献大多从企业自身的经营特征出发考察现金持有动因，而对源于股东层面、具有较强外生性的特定风险如何影响企业现金持有的讨论仍然有限。</w:t>
            </w:r>
          </w:p>
          <w:p>
            <w:pPr>
              <w:spacing/>
            </w:pPr>
            <w:r>
              <w:rPr>
                <w:rFonts w:ascii="宋体" w:cs="SimSun" w:eastAsia="宋体" w:hAnsi="宋体"/>
                <w:b/>
                <w:bCs/>
                <w:sz w:val="21"/>
                <w:szCs w:val="22"/>
              </w:rPr>
              <w:t xml:space="preserve">2．股权质押的经济后果：治理效应与风险效应</w:t>
            </w:r>
          </w:p>
          <w:p>
            <w:pPr>
              <w:spacing/>
              <w:ind w:firstLine="420"/>
            </w:pPr>
            <w:r>
              <w:rPr>
                <w:rFonts w:ascii="宋体" w:cs="SimSun" w:eastAsia="宋体" w:hAnsi="宋体"/>
                <w:sz w:val="21"/>
                <w:szCs w:val="22"/>
              </w:rPr>
              <w:t xml:space="preserve">已有文献围绕股权质押经济后果的讨论，大致可以归纳为两条线索。一是治理与信息效应线：股权质押后，大股东现金流权与表决权的分离程度可能加剧，从而影响其会计政策选择与盈余管理行为（谢德仁和廖珂，2018）；质押还会强化大股东的市值管理动机，进而加大上市公司与外部资金提供者之间的信息不对称（唐玮等，2019）。二是财务风险效应线：股权质押比例上升会显著提高股价崩盘风险（谢德仁等，2016），抑制企业创新投入（李常青等，2018a），改变企业的税收规避策略（王雄元等，2018），还会促使控股股东通过策略性慈善捐赠等方式维护股价（胡珺等，2020）。近年的研究进一步将风险效应拓展至融资与定价层面：唐玮等（2019）发现控股股东股权质押显著提高了公司的融资约束水平；史永东等（2021）基于中国债券市场证据发现，质押通过控制权转移风险渠道显著提高了公司信用利差，说明质押风险已从股权市场传导至债权人的定价行为。</w:t>
            </w:r>
          </w:p>
          <w:p>
            <w:pPr>
              <w:spacing/>
              <w:ind w:firstLine="420"/>
            </w:pPr>
            <w:r>
              <w:rPr>
                <w:rFonts w:ascii="宋体" w:cs="SimSun" w:eastAsia="宋体" w:hAnsi="宋体"/>
                <w:sz w:val="21"/>
                <w:szCs w:val="22"/>
              </w:rPr>
              <w:t xml:space="preserve">境外研究表明，内部人股权质押并非中国独有的现象。Dou等（2019）发现美国市场上内部人以公司股票为个人贷款提供担保会损害股东财富；Chan等（2018）与Pang和Wang（2020）则分别从平仓压力和控制权转移风险的角度提供了跨市场证据。上述研究充分证明了股权质押对企业风险性决策、信息环境和融资成本的影响，但对现金持有这一防御性、流动性管理决策的关注相对有限。</w:t>
            </w:r>
          </w:p>
          <w:p>
            <w:pPr>
              <w:spacing/>
            </w:pPr>
            <w:r>
              <w:rPr>
                <w:rFonts w:ascii="宋体" w:cs="SimSun" w:eastAsia="宋体" w:hAnsi="宋体"/>
                <w:b/>
                <w:bCs/>
                <w:sz w:val="21"/>
                <w:szCs w:val="22"/>
              </w:rPr>
              <w:t xml:space="preserve">3．股权质押与企业现金持有：掏空说与风险规避说的分歧</w:t>
            </w:r>
          </w:p>
          <w:p>
            <w:pPr>
              <w:spacing/>
              <w:ind w:firstLine="420"/>
            </w:pPr>
            <w:r>
              <w:rPr>
                <w:rFonts w:ascii="宋体" w:cs="SimSun" w:eastAsia="宋体" w:hAnsi="宋体"/>
                <w:sz w:val="21"/>
                <w:szCs w:val="22"/>
              </w:rPr>
              <w:t xml:space="preserve">少数文献已经开始直接探讨股权质押与企业现金持有之间的关系，但结论尚未完全统一，主要形成两种竞争性解释。“掏空说”认为，股权质押并不转移表决权，却使大股东实际承担的现金流权风险下降，其通过资金占用、关联交易等方式侵占上市公司资源的成本随之降低，公司可支配现金相应减少（郝项超和梁琪，2009；郑国坚等，2014；李旎和郑国坚，2015）。“风险规避说”则认为，大股东出于规避控制权转移风险的考虑，反而会推动公司提高现金持有水平，以增强公司抗风险能力、稳定经营和股价表现（李常青等，2018b）；与之一致的证据还包括质押后公司倾向于减少现金股利分配（廖珂等，2018；Li等，2020）。</w:t>
            </w:r>
          </w:p>
          <w:p>
            <w:pPr>
              <w:spacing/>
              <w:ind w:firstLine="420"/>
            </w:pPr>
            <w:r>
              <w:rPr>
                <w:rFonts w:ascii="宋体" w:cs="SimSun" w:eastAsia="宋体" w:hAnsi="宋体"/>
                <w:sz w:val="21"/>
                <w:szCs w:val="22"/>
              </w:rPr>
              <w:t xml:space="preserve">近年来的研究开始尝试调和这一分歧，其中最具启发性的思路是按质押资金的投向进行区分。杜勇和眭鑫（2021）发现，控股股东股权质押会推动实体企业增持金融资产，其背后的作用渠道同时包含掏空动机与控制权转移风险规避动机，表明二者未必完全对立。Pan和Qian（2024）基于中国上市公司的质押交易数据，按资金用途区分了为上市公司本身融资的质押与其他质押，发现前者仅占全部质押交易的17.4%，其融得资金约87%流入了上市公司。这提示两种机制可能在不同的质押类型与不同的企业情境下分别占据主导地位；而多数质押资金并不流入上市公司，也意味着质押本身未必带来公司现金的机械增加。</w:t>
            </w:r>
          </w:p>
          <w:p>
            <w:pPr>
              <w:spacing/>
              <w:ind w:firstLine="420"/>
            </w:pPr>
            <w:r>
              <w:rPr>
                <w:rFonts w:ascii="宋体" w:cs="SimSun" w:eastAsia="宋体" w:hAnsi="宋体"/>
                <w:sz w:val="21"/>
                <w:szCs w:val="22"/>
              </w:rPr>
              <w:t xml:space="preserve">然而，既有研究多依据回归系数的符号推断何种机制占优，而净效应的方向只反映两种力量的合力，并不能排除另一机制同时存在；能够直接区分二者的渠道证据仍较缺乏，也少有研究结合外生政策冲击考察监管政策对这一传导关系的影响。</w:t>
            </w:r>
          </w:p>
          <w:p>
            <w:pPr>
              <w:spacing/>
              <w:ind/>
            </w:pPr>
            <w:r>
              <w:rPr>
                <w:rFonts w:ascii="宋体" w:cs="SimSun" w:eastAsia="宋体" w:hAnsi="宋体"/>
                <w:b/>
                <w:sz w:val="21"/>
                <w:szCs w:val="22"/>
              </w:rPr>
              <w:t xml:space="preserve">4．股权质押风险的监管应对与纾困政策</w:t>
            </w:r>
          </w:p>
          <w:p>
            <w:pPr>
              <w:spacing/>
              <w:ind w:firstLine="420"/>
            </w:pPr>
            <w:r>
              <w:rPr>
                <w:rFonts w:ascii="宋体" w:cs="SimSun" w:eastAsia="宋体" w:hAnsi="宋体"/>
                <w:sz w:val="21"/>
                <w:szCs w:val="22"/>
              </w:rPr>
              <w:t xml:space="preserve">伴随质押规模扩张与风险集中暴露，监管部门与地方政府相继出台应对措施，这为研究质押风险的经济后果提供了政策检验场景。境外研究方面，Wang和Chou（2018）考察了质押监管规则对股票交易与公司估值的影响；Su和Alexiou（2023）考察了2018年质押监管收紧的影响，发现新规实施后质押公司的股价崩盘风险与破产风险下降、融资约束得到缓解、控股股东的掏空行为受到抑制，控股股东也将更多质押资金投入上市公司。国内围绕2018年股票质押新规已形成一批文献：熊海芳等（2020）以新规中单只股票整体质押比例不超过50%的限制为自然实验，考察了质押比例限制对股票市场稳定的影响；连玉君和刘畅（2021）发现，新规在长期内降低了高质押公司的股价崩盘风险，但“一刀切”式的严格监管也使其市场价值下降，这主要源于投资者要求的风险补偿上升，而非公司财务表现恶化；何熙琼等（2023）发现，新规通过降低控股股东两权分离度和公司盈余管理程度，抑制了控股股东借助关联交易进行的私利侵占；孙伟艳和肖琼（2026）则发现新规显著降低了企业的盈余管理水平。纾困政策方面，毛捷和管星华（2022）以各省份分批实施的纾困计划为准自然实验，构建强度双重差分模型，发现纾困计划显著提升了上市公司市场价值，其作用机制在于抑制了控股股东的资金占用与关联交易。</w:t>
            </w:r>
          </w:p>
          <w:p>
            <w:pPr>
              <w:spacing/>
              <w:ind w:firstLine="420"/>
            </w:pPr>
            <w:r>
              <w:rPr>
                <w:rFonts w:ascii="宋体" w:cs="SimSun" w:eastAsia="宋体" w:hAnsi="宋体"/>
                <w:sz w:val="21"/>
                <w:szCs w:val="22"/>
              </w:rPr>
              <w:t xml:space="preserve">需要指出的是，上述新规研究关注的是股票市场稳定、公司价值、私利侵占与盈余管理，尚未见有研究考察新规对企业现金持有水平的影响。若新规确如何熙琼等（2023）所发现的那样抑制了控股股东的私利侵占，则在掏空渠道占主导的情形下，高质押公司的现金持有应在新规实施后相对上升，这为本文的双重差分检验提供了可检验的预测。此外，既有研究多以当期质押比例与政策时点的交乘项度量处理强度，而当期质押比例本身会受到新规的影响；本文改以新规实施前（2016—2017年）的平均质押比例度量处理强度，以避免这一问题。</w:t>
            </w:r>
          </w:p>
          <w:p>
            <w:pPr>
              <w:spacing/>
            </w:pPr>
            <w:r>
              <w:rPr>
                <w:rFonts w:ascii="宋体" w:cs="SimSun" w:eastAsia="宋体" w:hAnsi="宋体"/>
                <w:b/>
                <w:bCs/>
                <w:sz w:val="21"/>
                <w:szCs w:val="22"/>
              </w:rPr>
              <w:t xml:space="preserve">5．文献评述与本文边际贡献</w:t>
            </w:r>
          </w:p>
          <w:p>
            <w:pPr>
              <w:spacing/>
              <w:ind w:firstLine="420"/>
            </w:pPr>
            <w:r>
              <w:rPr>
                <w:rFonts w:ascii="宋体" w:cs="SimSun" w:eastAsia="宋体" w:hAnsi="宋体"/>
                <w:sz w:val="21"/>
                <w:szCs w:val="22"/>
              </w:rPr>
              <w:t xml:space="preserve">综上，现有文献从不同视角验证了股权质押的经济后果，也从多个理论视角探讨了企业现金持有的动因。李常青等（2018b）虽已发现股权质押与现金持有呈U型关系，但其识别依赖混合截面回归中的平方项，未区分公司间差异与公司内变化，样本亦未覆盖2018年质押新规实施之后的制度环境。本文尝试在这一交叉领域进行补充，边际贡献主要体现在四个方面：第一，将样本延伸至2007—2025年，覆盖质押规模扩张、2018年风险集中暴露与其后规范化三个阶段，检验既有结论在新制度环境下的适用性；第二，在控制公司固定效应的条件下重新检验既有文献发现的U型关系，区分公司间差异与公司内变化；同时以平仓压力、控股股东资金占用和现金边际价值（Faulkender和Wang，2006）构造能够区分风险规避与掏空的渠道检验，并以融资约束程度和产权性质刻画效应的边界条件；第三，在政策评估上，以2018年股票质押新规构造处理强度双重差分模型，检验新规是否压降了质押规模、是否改变了质押风险向公司现金政策的传导，并以省级纾困计划构造的交错双重差分模型作为补充；第四，针对账面现金可能被操纵这一新近发现（杨国超等，2025），采用非受限货币资金口径、剔除“存贷双高”样本等方式检验被解释变量的可靠性，并进一步检验质押是否通过现金储备渠道挤出企业投资支出，将质押风险的传导链条延伸至实体经营层面。</w:t>
            </w:r>
          </w:p>
        </w:tc>
      </w:tr>
    </w:tbl>
    <w:p>
      <w:pPr>
        <w:pageBreakBefore/>
        <w:spacing w:line="300" w:lineRule="auto"/>
      </w:pPr>
      <w:r>
        <w:rPr>
          <w:rFonts w:ascii="宋体" w:cs="SimHei" w:eastAsia="宋体" w:hAnsi="宋体"/>
          <w:b/>
          <w:bCs/>
          <w:sz w:val="24"/>
          <w:szCs w:val="26"/>
        </w:rPr>
        <w:t xml:space="preserve">二、主要研究内容及预期目标。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pPr>
            <w:r>
              <w:rPr>
                <w:rFonts w:ascii="宋体" w:cs="SimSun" w:eastAsia="宋体" w:hAnsi="宋体"/>
                <w:b/>
                <w:bCs/>
                <w:sz w:val="21"/>
                <w:szCs w:val="24"/>
              </w:rPr>
              <w:t xml:space="preserve">（一）研究对象</w:t>
            </w:r>
          </w:p>
          <w:p>
            <w:pPr>
              <w:spacing/>
              <w:ind w:firstLine="420"/>
            </w:pPr>
            <w:r>
              <w:rPr>
                <w:rFonts w:ascii="宋体" w:cs="SimSun" w:eastAsia="宋体" w:hAnsi="宋体"/>
                <w:sz w:val="21"/>
                <w:szCs w:val="22"/>
              </w:rPr>
              <w:t xml:space="preserve">本文选取2007—2025年沪深A股非金融类上市公司为研究对象（不含北交所上市公司），剔除ST、*ST、金融类企业、资不抵债及主要变量存在严重缺失的样本，考察大股东股权质押行为对企业现金持有水平的影响。样本起点选定为2007年，主要基于两点考虑：一是我国股权分置改革于2006年基本完成，此后大股东股份具备了可流通、可质押的制度基础，2007年之后的质押行为才具有跨年度可比性；二是CSMAR股权质押数据库自2007年起披露趋于完整，能够为后续构造2018年新规前后的双重差分设计提供充分的政策前样本。其中，2018年新规的双重差分检验要求公司在2016年之前上市，以获得新规实施前的质押强度。</w:t>
            </w:r>
          </w:p>
          <w:p>
            <w:pPr>
              <w:spacing/>
            </w:pPr>
            <w:r>
              <w:rPr>
                <w:rFonts w:ascii="宋体" w:cs="SimSun" w:eastAsia="宋体" w:hAnsi="宋体"/>
                <w:b/>
                <w:bCs/>
                <w:sz w:val="21"/>
                <w:szCs w:val="24"/>
              </w:rPr>
              <w:t xml:space="preserve">（二）理论机制与研究假设</w:t>
            </w:r>
          </w:p>
          <w:p>
            <w:pPr>
              <w:spacing/>
            </w:pPr>
            <w:r>
              <w:rPr>
                <w:rFonts w:ascii="宋体" w:cs="SimSun" w:eastAsia="宋体" w:hAnsi="宋体"/>
                <w:b/>
                <w:bCs/>
                <w:sz w:val="21"/>
                <w:szCs w:val="22"/>
              </w:rPr>
              <w:t xml:space="preserve">1．股权质押与企业现金持有水平</w:t>
            </w:r>
          </w:p>
          <w:p>
            <w:pPr>
              <w:spacing/>
              <w:ind w:firstLine="420"/>
            </w:pPr>
            <w:r>
              <w:rPr>
                <w:rFonts w:ascii="宋体" w:cs="SimSun" w:eastAsia="宋体" w:hAnsi="宋体"/>
                <w:sz w:val="21"/>
                <w:szCs w:val="22"/>
              </w:rPr>
              <w:t xml:space="preserve">大股东股权质押比例上升，意味着其所持股票触及预警线、平仓线的概率随之上升，控制权转移风险相应增大（谢德仁等，2016）。围绕这一风险将如何传导至公司的现金持有决策，存在两条逻辑方向相反的作用渠道。</w:t>
            </w:r>
          </w:p>
          <w:p>
            <w:pPr>
              <w:spacing/>
              <w:ind w:firstLine="420"/>
            </w:pPr>
            <w:r>
              <w:rPr>
                <w:rFonts w:ascii="宋体" w:cs="SimSun" w:eastAsia="宋体" w:hAnsi="宋体"/>
                <w:sz w:val="21"/>
                <w:szCs w:val="22"/>
              </w:rPr>
              <w:t xml:space="preserve">一是风险规避渠道。为避免因股价下跌触发追加担保或强制平仓，大股东有较强动机维持公司经营和股价的稳定，客观上会推动公司提高现金持有水平，以增强抵御经营波动和外部冲击的能力。与此同时，高质押比例也会加剧公司自身面临的外部融资约束——债权人和金融机构会对高质押公司的风险重新定价，使其更难以通过外部渠道及时获得资金，从而倒逼公司更多依靠内部现金进行“自我保险”（Almeida等，2004；唐玮等，2019）。沿此渠道，质押比例与现金持有水平应呈正相关。</w:t>
            </w:r>
          </w:p>
          <w:p>
            <w:pPr>
              <w:spacing/>
              <w:ind w:firstLine="420"/>
            </w:pPr>
            <w:r>
              <w:rPr>
                <w:rFonts w:ascii="宋体" w:cs="SimSun" w:eastAsia="宋体" w:hAnsi="宋体"/>
                <w:sz w:val="21"/>
                <w:szCs w:val="22"/>
              </w:rPr>
              <w:t xml:space="preserve">二是掏空渠道。股权质押并不转移表决权，却使大股东实际承担的现金流权风险下降，两权分离程度上升，其通过资金占用、关联交易等方式转移上市公司资源的成本随之降低；加之质押行为本身往往反映大股东自身面临资金压力，其侵占动机进一步增强，公司可支配现金随之减少（郑国坚等，2014；杜勇和眭鑫，2021）。沿此渠道，质押比例与现金持有水平应呈负相关。</w:t>
            </w:r>
          </w:p>
          <w:p>
            <w:pPr>
              <w:spacing/>
              <w:ind w:firstLine="420"/>
            </w:pPr>
            <w:r>
              <w:rPr>
                <w:rFonts w:ascii="宋体" w:cs="SimSun" w:eastAsia="宋体" w:hAnsi="宋体"/>
                <w:sz w:val="21"/>
                <w:szCs w:val="22"/>
              </w:rPr>
              <w:t xml:space="preserve">两条渠道在同一样本中并存，最终观测到的净效应取决于二者的相对强弱。本文不预设方向，据此提出一对竞争性假设：</w:t>
            </w:r>
          </w:p>
          <w:p>
            <w:pPr>
              <w:spacing/>
              <w:ind w:firstLine="420"/>
            </w:pPr>
            <w:r>
              <w:rPr>
                <w:rFonts w:ascii="宋体" w:cs="SimSun" w:eastAsia="宋体" w:hAnsi="宋体"/>
                <w:sz w:val="21"/>
                <w:szCs w:val="22"/>
              </w:rPr>
              <w:t xml:space="preserve">H1a（风险规避说）：在其他条件不变的情况下，大股东股权质押比例越高，企业现金持有水平越高。</w:t>
            </w:r>
          </w:p>
          <w:p>
            <w:pPr>
              <w:spacing/>
              <w:ind w:firstLine="420"/>
            </w:pPr>
            <w:r>
              <w:rPr>
                <w:rFonts w:ascii="宋体" w:cs="SimSun" w:eastAsia="宋体" w:hAnsi="宋体"/>
                <w:sz w:val="21"/>
                <w:szCs w:val="22"/>
              </w:rPr>
              <w:t xml:space="preserve">H1b（掏空说）：在其他条件不变的情况下，大股东股权质押比例越高，企业现金持有水平越低。</w:t>
            </w:r>
          </w:p>
          <w:p>
            <w:pPr>
              <w:spacing/>
            </w:pPr>
            <w:r>
              <w:rPr>
                <w:rFonts w:ascii="宋体" w:cs="SimSun" w:eastAsia="宋体" w:hAnsi="宋体"/>
                <w:b/>
                <w:bCs/>
                <w:sz w:val="21"/>
                <w:szCs w:val="22"/>
              </w:rPr>
              <w:t xml:space="preserve">2．区分两种机制的渠道检验</w:t>
            </w:r>
          </w:p>
          <w:p>
            <w:pPr>
              <w:spacing/>
              <w:ind w:firstLine="420"/>
            </w:pPr>
            <w:r>
              <w:rPr>
                <w:rFonts w:ascii="宋体" w:cs="SimSun" w:eastAsia="宋体" w:hAnsi="宋体"/>
                <w:sz w:val="21"/>
                <w:szCs w:val="22"/>
              </w:rPr>
              <w:t xml:space="preserve">基准回归只能识别两种渠道相互抵消后的净效应，要判断二者是否同时存在，需要寻找两种机制给出不同预测的渠道。第一，平仓压力。风险规避渠道的逻辑起点是大股东对平仓风险的规避，股价越接近预警线、平仓线，大股东推动公司储备现金的动机应越强（胡聪慧等，2020）；掏空渠道则并不预测这种与平仓距离相关的现金响应。第二，控股股东资金占用。若掏空渠道存在，质押应伴随控股股东对上市公司资金占用的上升（Jiang等，2010；郑国坚等，2014）。第三，现金的边际价值。Dittmar和Mahrt-Smith（2007）指出，当内部人侵占风险较高时，外部投资者会对公司持有的现金打折：若高质押公司增持的现金主要用于应对风险，其边际价值不应显著下降；若现金面临被掏空的风险，其边际价值应显著降低。据此，本文提出第二组假设：</w:t>
            </w:r>
          </w:p>
          <w:p>
            <w:pPr>
              <w:spacing/>
              <w:ind w:firstLine="420"/>
            </w:pPr>
            <w:r>
              <w:rPr>
                <w:rFonts w:ascii="宋体" w:cs="SimSun" w:eastAsia="宋体" w:hAnsi="宋体"/>
                <w:sz w:val="21"/>
                <w:szCs w:val="22"/>
              </w:rPr>
              <w:t xml:space="preserve">H2a（风险规避渠道）：在其他条件不变的情况下，质押股票面临的平仓压力越大，股权质押对企业现金持有水平的正向影响越强，且高质押公司现金的边际价值不显著低于低质押公司。</w:t>
            </w:r>
          </w:p>
          <w:p>
            <w:pPr>
              <w:spacing/>
              <w:ind w:firstLine="420"/>
            </w:pPr>
            <w:r>
              <w:rPr>
                <w:rFonts w:ascii="宋体" w:cs="SimSun" w:eastAsia="宋体" w:hAnsi="宋体"/>
                <w:sz w:val="21"/>
                <w:szCs w:val="22"/>
              </w:rPr>
              <w:t xml:space="preserve">H2b（掏空渠道）：在其他条件不变的情况下，股权质押比例越高，控股股东对上市公司的资金占用越多，且高质押公司现金的边际价值显著更低。</w:t>
            </w:r>
          </w:p>
          <w:p>
            <w:pPr>
              <w:spacing/>
              <w:ind w:firstLine="420"/>
            </w:pPr>
            <w:r>
              <w:rPr>
                <w:rFonts w:ascii="宋体" w:cs="SimSun" w:eastAsia="宋体" w:hAnsi="宋体"/>
                <w:sz w:val="21"/>
                <w:szCs w:val="22"/>
              </w:rPr>
              <w:t xml:space="preserve">需要说明的是，H2a与H2b并不互斥，二者可能同时成立，此时基准回归中观测到的净效应方向反映的是两种机制的相对强弱。这正是本文不仅依据H1的系数符号、还要通过H2的渠道检验判断两种机制是否存在的原因。</w:t>
            </w:r>
          </w:p>
          <w:p>
            <w:pPr>
              <w:spacing/>
            </w:pPr>
            <w:r>
              <w:rPr>
                <w:rFonts w:ascii="宋体" w:cs="SimSun" w:eastAsia="宋体" w:hAnsi="宋体"/>
                <w:b/>
                <w:bCs/>
                <w:sz w:val="21"/>
                <w:szCs w:val="22"/>
              </w:rPr>
              <w:t xml:space="preserve">3．边界条件：融资约束与产权性质</w:t>
            </w:r>
          </w:p>
          <w:p>
            <w:pPr>
              <w:spacing/>
              <w:ind w:firstLine="420"/>
            </w:pPr>
            <w:r>
              <w:rPr>
                <w:rFonts w:ascii="宋体" w:cs="SimSun" w:eastAsia="宋体" w:hAnsi="宋体"/>
                <w:sz w:val="21"/>
                <w:szCs w:val="22"/>
              </w:rPr>
              <w:t xml:space="preserve">融资约束程度与产权性质决定了上述效应的强弱。就融资约束而言，若风险规避渠道占主导，外部融资约束较强的企业更难通过外部渠道及时弥补流动性缺口，出于预防性动机增持现金的敏感性更强（Almeida等，2004）；若掏空渠道占主导，融资约束更强的企业其大股东自身资金压力往往更大，侵占上市公司资源的动机也更迫切。就产权性质而言，民营企业面临更强的外部融资约束且缺乏政府信用背书，质押引发的控制权转移风险对其冲击更为直接；同时其内部治理约束与外部监督相对薄弱，大股东实施掏空的可行性也更高。可见，两种机制在这两个维度上给出的都是“效应放大”的预测，因此本文将其定位为刻画边界条件的检验，而非区分机制的依据。此外，唐玮等（2019）发现控股股东股权质押本身会提高公司的融资约束水平，以当期融资约束作为调节变量可能面临调节变量内生于解释变量的问题；为此，本文以滞后一期的融资约束指标在年度内分组，并在2018年新规的双重差分检验中以新规实施前（2016—2017年）的平均融资约束水平固定分组。据此，本文提出第三、第四个假设：</w:t>
            </w:r>
          </w:p>
          <w:p>
            <w:pPr>
              <w:spacing/>
              <w:ind w:firstLine="420"/>
            </w:pPr>
            <w:r>
              <w:rPr>
                <w:rFonts w:ascii="宋体" w:cs="SimSun" w:eastAsia="宋体" w:hAnsi="宋体"/>
                <w:sz w:val="21"/>
                <w:szCs w:val="22"/>
              </w:rPr>
              <w:t xml:space="preserve">H3：在其他条件不变的情况下，股权质押对企业现金持有水平的影响在融资约束较强的企业中更为明显，表现为基准效应绝对值的放大。</w:t>
            </w:r>
          </w:p>
          <w:p>
            <w:pPr>
              <w:spacing/>
              <w:ind w:firstLine="420"/>
            </w:pPr>
            <w:r>
              <w:rPr>
                <w:rFonts w:ascii="宋体" w:cs="SimSun" w:eastAsia="宋体" w:hAnsi="宋体"/>
                <w:sz w:val="21"/>
                <w:szCs w:val="22"/>
              </w:rPr>
              <w:t xml:space="preserve">H4：在其他条件不变的情况下，股权质押对企业现金持有水平的影响在民营企业中比在国有企业中更为明显。</w:t>
            </w:r>
          </w:p>
          <w:p>
            <w:pPr>
              <w:spacing/>
              <w:ind w:firstLine="420"/>
            </w:pPr>
            <w:r>
              <w:rPr>
                <w:rFonts w:ascii="宋体" w:cs="SimSun" w:eastAsia="宋体" w:hAnsi="宋体"/>
                <w:sz w:val="21"/>
                <w:szCs w:val="22"/>
              </w:rPr>
              <w:t xml:space="preserve">考虑到国有企业控股股东的质押比例普遍较低、组内变异有限，本文在比较组间差异时将同时报告两组的质押分布，避免把“国企组不显著”机械地解读为效应不存在。</w:t>
            </w:r>
          </w:p>
          <w:p>
            <w:pPr>
              <w:spacing/>
            </w:pPr>
            <w:r>
              <w:rPr>
                <w:rFonts w:ascii="宋体" w:cs="SimSun" w:eastAsia="宋体" w:hAnsi="宋体"/>
                <w:b/>
                <w:bCs/>
                <w:sz w:val="21"/>
                <w:szCs w:val="24"/>
              </w:rPr>
              <w:t xml:space="preserve">（三）研究方法</w:t>
            </w:r>
          </w:p>
          <w:p>
            <w:pPr>
              <w:spacing/>
              <w:ind w:firstLine="420"/>
            </w:pPr>
            <w:r>
              <w:rPr>
                <w:rFonts w:ascii="宋体" w:cs="SimSun" w:eastAsia="宋体" w:hAnsi="宋体"/>
                <w:sz w:val="21"/>
                <w:szCs w:val="22"/>
              </w:rPr>
              <w:t xml:space="preserve">本文的研究方法主要包括以下四种。一是文献研究法，系统梳理股权质押经济后果与企业现金持有影响因素相关文献，定位现有研究的不足与本文的切入点。二是规范分析法，基于委托代理理论、控制权私有收益理论和预防性动机理论，构建“股权质押—控制权转移风险—现金持有”的双渠道分析框架，据此推导竞争性假设。三是实证分析法，基于CSMAR数据库构建公司—年度面板数据：采用双向固定效应模型进行基准回归，判断净效应方向；以平仓压力交乘项、控股股东资金占用回归和Faulkender和Wang（2006）的现金边际价值模型开展渠道检验，区分两种机制；以分组回归与中心化交乘项（参照温忠麟等，2005）检验融资约束与产权性质的边界作用；在内生性处理上，以公司与年度双向固定效应控制不随时间变化的公司特征与共同冲击，并加入上市年数固定效应控制新上市公司的现金持有生命周期特征；在政策评估上，以2018年股票质押新规构造处理强度双重差分模型，配合平行趋势、动态效应与安慰剂检验，以各省份分批实施的纾困计划构造交错双重差分模型作为补充，鉴于交错处理下传统双向固定效应估计量存在偏误（Goodman-Bacon，2021），该部分采用Callaway和Sant’Anna（2021）的稳健估计量；此外辅以核心解释变量滞后一期与倾向得分匹配法（Rosenbaum和Rubin，1983）缓解样本选择偏差。四是比较分析法，通过对比国有企业与民营企业、高融资约束与低融资约束样本之间的差异，深化对作用机制的解释。</w:t>
            </w:r>
          </w:p>
          <w:p>
            <w:pPr>
              <w:spacing/>
            </w:pPr>
            <w:r>
              <w:rPr>
                <w:rFonts w:ascii="宋体" w:cs="SimSun" w:eastAsia="宋体" w:hAnsi="宋体"/>
                <w:b/>
                <w:bCs/>
                <w:sz w:val="21"/>
                <w:szCs w:val="24"/>
              </w:rPr>
              <w:t xml:space="preserve">（四）主要研究内容</w:t>
            </w:r>
          </w:p>
          <w:p>
            <w:pPr>
              <w:spacing/>
              <w:ind w:firstLine="420"/>
            </w:pPr>
            <w:r>
              <w:rPr>
                <w:rFonts w:ascii="宋体" w:cs="SimSun" w:eastAsia="宋体" w:hAnsi="宋体"/>
                <w:sz w:val="21"/>
                <w:szCs w:val="22"/>
              </w:rPr>
              <w:t xml:space="preserve">本文按照“理论分析—假设提出—模型构建—实证检验—结论建议”的逻辑展开，具体章节安排拟如下：</w:t>
            </w:r>
          </w:p>
          <w:p>
            <w:pPr>
              <w:spacing/>
              <w:ind w:firstLine="420"/>
            </w:pPr>
            <w:r>
              <w:rPr>
                <w:rFonts w:ascii="宋体" w:cs="SimSun" w:eastAsia="宋体" w:hAnsi="宋体"/>
                <w:sz w:val="21"/>
                <w:szCs w:val="22"/>
              </w:rPr>
              <w:t xml:space="preserve">第一章，绪论。介绍研究背景、研究目的与研究意义，说明研究思路、研究方法，并提出本文可能的创新与不足。</w:t>
            </w:r>
          </w:p>
          <w:p>
            <w:pPr>
              <w:spacing/>
              <w:ind w:firstLine="420"/>
            </w:pPr>
            <w:r>
              <w:rPr>
                <w:rFonts w:ascii="宋体" w:cs="SimSun" w:eastAsia="宋体" w:hAnsi="宋体"/>
                <w:sz w:val="21"/>
                <w:szCs w:val="22"/>
              </w:rPr>
              <w:t xml:space="preserve">第二章，文献综述与理论基础。系统梳理股权质押经济后果、企业现金持有影响因素相关文献，界定核心概念，引入委托代理理论、控制权私有收益理论和预防性动机理论，为后文分析奠定基础。</w:t>
            </w:r>
          </w:p>
          <w:p>
            <w:pPr>
              <w:spacing/>
              <w:ind w:firstLine="420"/>
            </w:pPr>
            <w:r>
              <w:rPr>
                <w:rFonts w:ascii="宋体" w:cs="SimSun" w:eastAsia="宋体" w:hAnsi="宋体"/>
                <w:sz w:val="21"/>
                <w:szCs w:val="22"/>
              </w:rPr>
              <w:t xml:space="preserve">第三章，理论机制与研究假设。分析大股东股权质押影响企业现金持有水平的内在逻辑，提出区分风险规避与掏空两种机制的渠道检验，讨论融资约束和产权性质的边界作用，提出本文的研究假设。</w:t>
            </w:r>
          </w:p>
          <w:p>
            <w:pPr>
              <w:spacing/>
              <w:ind w:firstLine="420"/>
            </w:pPr>
            <w:r>
              <w:rPr>
                <w:rFonts w:ascii="宋体" w:cs="SimSun" w:eastAsia="宋体" w:hAnsi="宋体"/>
                <w:sz w:val="21"/>
                <w:szCs w:val="22"/>
              </w:rPr>
              <w:t xml:space="preserve">第四章，研究设计。介绍样本选择与数据来源、变量定义与测算方法，以及基准模型、边界条件模型与现金边际价值模型的设定，并分别说明以2018年股票质押新规构造的处理强度双重差分模型（政策评估）与以省级纾困计划构造的交错双重差分模型（补充检验）。</w:t>
            </w:r>
          </w:p>
          <w:p>
            <w:pPr>
              <w:spacing/>
              <w:ind w:firstLine="420"/>
            </w:pPr>
            <w:r>
              <w:rPr>
                <w:rFonts w:ascii="宋体" w:cs="SimSun" w:eastAsia="宋体" w:hAnsi="宋体"/>
                <w:sz w:val="21"/>
                <w:szCs w:val="22"/>
              </w:rPr>
              <w:t xml:space="preserve">第五章，实证结果分析。报告描述性统计、相关性分析与基准回归结果，判断质押对现金持有净效应的方向（H1a／H1b），并复现李常青等（2018b）的U型关系、比较混合回归与公司固定效应的结果；通过平仓压力、资金占用与现金边际价值的渠道检验区分两种机制（H2a／H2b）；开展融资约束与产权性质的边界条件检验（H3／H4）以及以2018年股票质押新规为冲击的双重差分检验；并进行被解释变量计量可靠性检验、投资挤出的拓展检验，以及稳健性检验与内生性处理。</w:t>
            </w:r>
          </w:p>
          <w:p>
            <w:pPr>
              <w:spacing/>
              <w:ind w:firstLine="420"/>
            </w:pPr>
            <w:r>
              <w:rPr>
                <w:rFonts w:ascii="宋体" w:cs="SimSun" w:eastAsia="宋体" w:hAnsi="宋体"/>
                <w:sz w:val="21"/>
                <w:szCs w:val="22"/>
              </w:rPr>
              <w:t xml:space="preserve">第六章，研究结论与政策建议。总结主要研究发现，围绕完善股权质押监管、防范个股质押风险传导提出政策建议，并说明研究的局限与未来可拓展方向。</w:t>
            </w:r>
          </w:p>
          <w:p>
            <w:pPr>
              <w:spacing w:before="160" w:after="60"/>
              <w:jc w:val="center"/>
            </w:pPr>
            <w:r>
              <w:drawing>
                <wp:inline>
                  <wp:extent cx="5375559" cy="6838906"/>
                  <wp:docPr id="2" name="Picture 2"/>
                  <wp:cNvGraphicFramePr>
                    <a:graphicFrameLocks noChangeAspect="1"/>
                  </wp:cNvGraphicFramePr>
                  <a:graphic>
                    <a:graphicData uri="http://schemas.openxmlformats.org/drawingml/2006/picture">
                      <pic:pic>
                        <pic:nvPicPr>
                          <pic:cNvPr id="0" name="fig1_roadmap.png"/>
                          <pic:cNvPicPr/>
                        </pic:nvPicPr>
                        <pic:blipFill>
                          <a:blip r:embed="rId9"/>
                          <a:stretch>
                            <a:fillRect/>
                          </a:stretch>
                        </pic:blipFill>
                        <pic:spPr>
                          <a:xfrm>
                            <a:off x="0" y="0"/>
                            <a:ext cx="5375559" cy="6838906"/>
                          </a:xfrm>
                          <a:prstGeom prst="rect"/>
                        </pic:spPr>
                      </pic:pic>
                    </a:graphicData>
                  </a:graphic>
                </wp:inline>
              </w:drawing>
            </w:r>
          </w:p>
          <w:p>
            <w:pPr>
              <w:spacing/>
              <w:jc w:val="center"/>
            </w:pPr>
            <w:r>
              <w:rPr>
                <w:rFonts w:ascii="宋体" w:cs="SimSun" w:eastAsia="宋体" w:hAnsi="宋体"/>
                <w:b/>
                <w:bCs/>
                <w:sz w:val="21"/>
                <w:szCs w:val="22"/>
              </w:rPr>
              <w:t xml:space="preserve">图1　技术路线图</w:t>
            </w:r>
          </w:p>
          <w:p>
            <w:pPr>
              <w:spacing w:before="160" w:after="60"/>
              <w:jc w:val="center"/>
            </w:pPr>
            <w:r>
              <w:drawing>
                <wp:inline>
                  <wp:extent cx="5040000" cy="5012000"/>
                  <wp:docPr id="3" name="Picture 3"/>
                  <wp:cNvGraphicFramePr>
                    <a:graphicFrameLocks noChangeAspect="1"/>
                  </wp:cNvGraphicFramePr>
                  <a:graphic>
                    <a:graphicData uri="http://schemas.openxmlformats.org/drawingml/2006/picture">
                      <pic:pic>
                        <pic:nvPicPr>
                          <pic:cNvPr id="0" name="fig2_mechanism.png"/>
                          <pic:cNvPicPr/>
                        </pic:nvPicPr>
                        <pic:blipFill>
                          <a:blip r:embed="rId10"/>
                          <a:stretch>
                            <a:fillRect/>
                          </a:stretch>
                        </pic:blipFill>
                        <pic:spPr>
                          <a:xfrm>
                            <a:off x="0" y="0"/>
                            <a:ext cx="5040000" cy="5012000"/>
                          </a:xfrm>
                          <a:prstGeom prst="rect"/>
                        </pic:spPr>
                      </pic:pic>
                    </a:graphicData>
                  </a:graphic>
                </wp:inline>
              </w:drawing>
            </w:r>
          </w:p>
          <w:p>
            <w:pPr>
              <w:spacing/>
              <w:jc w:val="center"/>
            </w:pPr>
            <w:r>
              <w:rPr>
                <w:rFonts w:ascii="宋体" w:cs="SimSun" w:eastAsia="宋体" w:hAnsi="宋体"/>
                <w:b/>
                <w:bCs/>
                <w:sz w:val="21"/>
                <w:szCs w:val="22"/>
              </w:rPr>
              <w:t xml:space="preserve">图2　核心机制链条</w:t>
            </w:r>
          </w:p>
          <w:p>
            <w:pPr>
              <w:spacing/>
            </w:pPr>
            <w:r>
              <w:rPr>
                <w:rFonts w:ascii="宋体" w:cs="SimSun" w:eastAsia="宋体" w:hAnsi="宋体"/>
                <w:b/>
                <w:bCs/>
                <w:sz w:val="21"/>
                <w:szCs w:val="24"/>
              </w:rPr>
              <w:t xml:space="preserve">（五）预期目标</w:t>
            </w:r>
          </w:p>
          <w:p>
            <w:pPr>
              <w:spacing/>
              <w:ind w:firstLine="420"/>
            </w:pPr>
            <w:r>
              <w:rPr>
                <w:rFonts w:ascii="宋体" w:cs="SimSun" w:eastAsia="宋体" w:hAnsi="宋体"/>
                <w:sz w:val="21"/>
                <w:szCs w:val="22"/>
              </w:rPr>
              <w:t xml:space="preserve">在理论层面，本文试图将现金持有这一防御性财务决策纳入股权质押经济后果的研究框架，为预防性现金持有理论提供一个源于股东行为的外生风险视角，并通过区分公司间差异与公司内变化重新检验既有文献发现的U型关系，结合渠道检验判断“掏空”与“风险规避”两种机制是否成立，为化解既有文献的结论分歧提供经验依据。</w:t>
            </w:r>
          </w:p>
          <w:p>
            <w:pPr>
              <w:spacing/>
              <w:ind w:firstLine="420"/>
            </w:pPr>
            <w:r>
              <w:rPr>
                <w:rFonts w:ascii="宋体" w:cs="SimSun" w:eastAsia="宋体" w:hAnsi="宋体"/>
                <w:sz w:val="21"/>
                <w:szCs w:val="22"/>
              </w:rPr>
              <w:t xml:space="preserve">在实证层面，本文拟通过基准回归判断股权质押对企业现金持有水平净效应的方向，通过渠道检验识别风险规避与掏空两种机制是否同时存在，借助边界条件检验、稳健性检验与内生性处理检验该效应的可靠性及其在融资约束、产权性质维度上的差异，以双重差分评估2018年股票质押新规的政策效果，同时检验质押是否通过现金储备渠道挤出企业投资支出。</w:t>
            </w:r>
          </w:p>
          <w:p>
            <w:pPr>
              <w:spacing/>
              <w:ind w:firstLine="420"/>
            </w:pPr>
            <w:r>
              <w:rPr>
                <w:rFonts w:ascii="宋体" w:cs="SimSun" w:eastAsia="宋体" w:hAnsi="宋体"/>
                <w:sz w:val="21"/>
                <w:szCs w:val="22"/>
              </w:rPr>
              <w:t xml:space="preserve">在应用层面，本文的研究结论可为监管层评估2018年股票质押新规的实施效果、完善股权质押风险管控政策，以及投资者与债权人识别高质押比例公司的流动性风险与经营收缩信号，提供参考依据。</w:t>
            </w:r>
          </w:p>
        </w:tc>
      </w:tr>
    </w:tbl>
    <w:p>
      <w:pPr>
        <w:pageBreakBefore/>
        <w:spacing w:line="300" w:lineRule="auto"/>
      </w:pPr>
      <w:r>
        <w:rPr>
          <w:rFonts w:ascii="宋体" w:cs="SimHei" w:eastAsia="宋体" w:hAnsi="宋体"/>
          <w:b/>
          <w:bCs/>
          <w:sz w:val="24"/>
          <w:szCs w:val="26"/>
        </w:rPr>
        <w:t xml:space="preserve">三、在研究过程中可能遇到的困难和问题，并提出解决的初步设想。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ind w:firstLine="420"/>
            </w:pPr>
            <w:r>
              <w:rPr>
                <w:rFonts w:ascii="宋体" w:cs="SimSun" w:eastAsia="宋体" w:hAnsi="宋体"/>
                <w:sz w:val="21"/>
                <w:szCs w:val="22"/>
              </w:rPr>
              <w:t xml:space="preserve">第一，股权质押数据存在缺失和口径差异问题。部分公司质押信息分散披露于多次公告之中，年末未解押余额需要依据逐笔变动记录推算，且不同数据表的统计口径可能不完全一致。本文以CSMAR股东股权质押统计表推算年末第一大股东质押比例作为基准口径，以股东股权质押情况明细表独立构造的口径进行交叉核验，并与十大股东文件中的质押、冻结或托管标识相互比对；对差异较大的样本，将通过手工核对上市公司公告加以修正。</w:t>
            </w:r>
          </w:p>
          <w:p>
            <w:pPr>
              <w:spacing/>
              <w:ind w:firstLine="420"/>
            </w:pPr>
            <w:r>
              <w:rPr>
                <w:rFonts w:ascii="宋体" w:cs="SimSun" w:eastAsia="宋体" w:hAnsi="宋体"/>
                <w:sz w:val="21"/>
                <w:szCs w:val="22"/>
              </w:rPr>
              <w:t xml:space="preserve">第二，融资约束指标的测度误差问题。SA、KZ、WW等经典指数各有侧重，单一指标可能无法完整刻画企业融资约束状态。其中，SA指数含有规模的二次项，企业规模超过一定水平后指数方向会发生反转，Hadlock和Pierce（2010）为此对规模与年龄作了截尾处理；国内部分文献“取绝对值后越大表示融资约束越强”的做法与原文的符号含义并不一致。本文拟按原文做法截尾并保留原始符号，以SA越大表示融资约束越强，同时报告SA与企业规模、上市年限的相关系数以核验方向；并采用KZ指数、WW指数进行稳健性检验，交叉验证结论的可靠性。</w:t>
            </w:r>
          </w:p>
          <w:p>
            <w:pPr>
              <w:spacing/>
              <w:ind w:firstLine="420"/>
            </w:pPr>
            <w:r>
              <w:rPr>
                <w:rFonts w:ascii="宋体" w:cs="SimSun" w:eastAsia="宋体" w:hAnsi="宋体"/>
                <w:sz w:val="21"/>
                <w:szCs w:val="22"/>
              </w:rPr>
              <w:t xml:space="preserve">第三，内生性与遗漏变量问题。股权质押决策与现金持有决策可能同时受到公司经营预期、行业景气度等因素的共同影响，且现金持有充裕程度不同的公司，大股东质押动机也可能存在差异（反向因果）。本文拟采取以下策略加以应对。其一，以公司与年度双向固定效应控制不随时间变化的公司特征与共同冲击，加入上市年数固定效应控制新上市公司募集资金带来的现金持有生命周期特征，并将核心解释变量滞后一期、采用倾向得分匹配样本重新估计，以缓解同时性与样本选择问题。其二，以2018年股票质押新规构造双重差分设计，用于评估监管政策的实际效果。该新规面向全市场统一实施，严格意义上并不存在完全未受政策影响的对照组，因此本文以新规实施前（2016—2017年）大股东平均质押比例作为连续的处理强度，与新规实施后的时点虚拟变量交乘，二值化的处理组设定仅作稳健性检验。需要预先说明的是，新规一方面通过限制质押率与单一股票质押比例压降了质押杠杆，另一方面也收紧了高质押股东到期续作与补充质押的空间，其对存量高质押公司控制权转移风险的净影响在理论上并不确定；且2018年同时伴随股市大幅下跌、资管新规去杠杆与民营企业融资收紧，这些冲击同样集中作用于高质押公司。为此，本文先以质押比例与平仓压力为被解释变量检验新规对高质押公司质押风险的影响（“第一阶段”），再据此解读现金持有变化的方向；同时加入行业×年度与省份×年度固定效应以吸收同期的行业与地区冲击，在稳健性检验中剔除2018年当年观测，并以事件研究图逐年报告动态效应；若平行趋势检验未能通过，将采用倾向得分匹配后的样本重新估计，或加入处理强度与时间趋势的交互项，并如实报告相关结果。其三，借鉴毛捷和管星华（2022）的做法，以各省份分批实施的纾困计划构造交错双重差分模型作为补充检验：若H1a成立，纾困实施后高质押公司的预防性现金持有应相应回落。但按照毛捷和管星华（2022）的政策界定，仅海南、贵州、云南、甘肃、青海和西藏未设立地方政府纾困基金，本文将其作为未实施地方政府纾困的省份，对照组上市公司数量有限，且各批次集中在2018年第四季度至2019年第三季度实施，年度数据下的处理队列较少，统计效力可能不足；若样本量不足，本文将改用纾困力度连续变量进行估计，并将该部分结果定位为辅助证据。需要说明的是，上述方法均难以完全排除随时间变化的遗漏变量的影响，本文将审慎使用“相关”“一致”等表述，并在研究不足部分如实说明因果识别的局限。</w:t>
            </w:r>
          </w:p>
          <w:p>
            <w:pPr>
              <w:spacing/>
              <w:ind w:firstLine="420"/>
            </w:pPr>
            <w:r>
              <w:rPr>
                <w:rFonts w:ascii="宋体" w:cs="SimSun" w:eastAsia="宋体" w:hAnsi="宋体"/>
                <w:sz w:val="21"/>
                <w:szCs w:val="22"/>
              </w:rPr>
              <w:t xml:space="preserve">需要特别说明工具变量的选取问题。文献中常用的“同行业同年度（剔除本公司）股权质押比例均值”，虽然满足第一阶段的相关性要求，但其变异完全来自行业—年度层面：行业景气度下行等共同冲击既会推高同行的质押比例，也会直接提高本公司出于经营不确定性的现金持有水平，从而绕过质押这一中介路径，排他性约束较难满足；一旦在回归中加入行业×年度固定效应，该工具变量的变异将被完全吸收。因此，本文不将工具变量法作为主要识别手段，仅以该工具变量作辅助性检验，报告Kleibergen-Paap弱工具变量检验统计量，并在研究不足部分如实说明其局限。至于市场整体下跌带来的系统性股价冲击，由于其直接作用对象是平仓压力而非质押比例本身，本文将其用于构造平仓压力的外生变动、服务于H2a的渠道检验，而不作为质押比例的工具变量。</w:t>
            </w:r>
          </w:p>
          <w:p>
            <w:pPr>
              <w:spacing/>
              <w:ind w:firstLine="420"/>
            </w:pPr>
            <w:r>
              <w:rPr>
                <w:rFonts w:ascii="宋体" w:cs="SimSun" w:eastAsia="宋体" w:hAnsi="宋体"/>
                <w:sz w:val="21"/>
                <w:szCs w:val="22"/>
              </w:rPr>
              <w:t xml:space="preserve">第四，被解释变量的计量可靠性问题。本文以货币资金为基础构造现金持有水平指标，而近期研究（杨国超等，2025）发现上市公司的账面现金余额未必完全真实，企业可能通过会计造假、期末临时拆借资金“摆账”以及“以贷转存”并反复质押借款等方式虚增账面现金。这一发现对本文构成直接挑战：若高质押公司的账面现金增加部分源于上述操纵行为，或源于质押融资资金投入上市公司所形成的机械关联，则所观测到的效应未必反映真实的预防性储备动机。为此，本文拟从四个方面加以应对：一是以扣除受限货币资金后的非受限现金重新计算被解释变量；二是剔除“存贷双高”样本以及因现金科目相关会计违规被证监会处罚的公司后重新回归；三是在模型中控制受限资金占比，并考察以期末账面现金为基础计算的资金收益率是否存在系统性差异；四是借鉴Pan和Qian（2024）按质押资金用途的划分（资金投向取自CSMAR质押明细表，投向上市公司的记录仅约占2%，该项检验仅作补充），比较资金投向上市公司与未投向上市公司的质押样本的差异——若仅在资金投向上市公司的样本中观测到现金增加，则说明存在机械关联，若在资金未投向上市公司的样本中同样观测到现金增加，方可支持预防性动机的解释。</w:t>
            </w:r>
          </w:p>
          <w:p>
            <w:pPr>
              <w:spacing/>
              <w:ind w:firstLine="420"/>
            </w:pPr>
            <w:r>
              <w:rPr>
                <w:rFonts w:ascii="宋体" w:cs="SimSun" w:eastAsia="宋体" w:hAnsi="宋体"/>
                <w:sz w:val="21"/>
                <w:szCs w:val="22"/>
              </w:rPr>
              <w:t xml:space="preserve">第五，研究结论的稳健性问题。本文拟通过替换现金持有和融资约束的测度方式、对连续变量进行缩尾处理、倾向得分匹配（PSM）后重新回归等方式，检验研究结论的稳健性。</w:t>
            </w:r>
          </w:p>
        </w:tc>
      </w:tr>
    </w:tbl>
    <w:p>
      <w:pPr>
        <w:pageBreakBefore/>
        <w:spacing w:line="300" w:lineRule="auto"/>
      </w:pPr>
      <w:r>
        <w:rPr>
          <w:rFonts w:ascii="宋体" w:cs="SimHei" w:eastAsia="宋体" w:hAnsi="宋体"/>
          <w:b/>
          <w:bCs/>
          <w:sz w:val="24"/>
          <w:szCs w:val="26"/>
        </w:rPr>
        <w:t xml:space="preserve">四、完成论文已具备的条件。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有关的研究工作基础、研究生知识储备情况、研究条件、经费情况。</w:t>
            </w:r>
          </w:p>
          <w:p>
            <w:pPr>
              <w:spacing/>
            </w:pPr>
            <w:r>
              <w:rPr>
                <w:rFonts w:ascii="宋体" w:cs="SimSun" w:eastAsia="宋体" w:hAnsi="宋体"/>
                <w:b/>
                <w:bCs/>
                <w:sz w:val="21"/>
                <w:szCs w:val="24"/>
              </w:rPr>
              <w:t xml:space="preserve">（一）数据准备情况</w:t>
            </w:r>
          </w:p>
          <w:p>
            <w:pPr>
              <w:spacing/>
              <w:ind w:firstLine="420"/>
            </w:pPr>
            <w:r>
              <w:rPr>
                <w:rFonts w:ascii="宋体" w:cs="SimSun" w:eastAsia="宋体" w:hAnsi="宋体"/>
                <w:sz w:val="21"/>
                <w:szCs w:val="22"/>
              </w:rPr>
              <w:t xml:space="preserve">本文所需数据均来自国泰安（CSMAR）数据库，已完成下载、清洗与匹配，数据来源与处理步骤如下。已收集的数据清单如下：</w:t>
            </w:r>
          </w:p>
          <w:p>
            <w:pPr>
              <w:spacing/>
              <w:ind w:firstLine="420"/>
            </w:pPr>
            <w:r>
              <w:rPr>
                <w:rFonts w:ascii="宋体" w:cs="SimSun" w:eastAsia="宋体" w:hAnsi="宋体"/>
                <w:sz w:val="21"/>
                <w:szCs w:val="22"/>
              </w:rPr>
              <w:t xml:space="preserve">① 大股东股权质押数据：CSMAR“股东股权质押统计表”（逐次变动记录）与“股东股权质押情况明细表”（逐笔交易记录，含起始日期、质权人类型与资金投向），结合“十大股东文件”识别第一大股东及其持股数；</w:t>
            </w:r>
          </w:p>
          <w:p>
            <w:pPr>
              <w:spacing/>
              <w:ind w:firstLine="420"/>
            </w:pPr>
            <w:r>
              <w:rPr>
                <w:rFonts w:ascii="宋体" w:cs="SimSun" w:eastAsia="宋体" w:hAnsi="宋体"/>
                <w:sz w:val="21"/>
                <w:szCs w:val="22"/>
              </w:rPr>
              <w:t xml:space="preserve">② 公司财务数据：总资产、总负债、货币资金、流动资产与流动负债、其他应收款与其他应付款、经营活动现金流、资本支出、净利润、营业总收入等，来源CSMAR“公司研究系列—财务报表”（合并报表、年报）；</w:t>
            </w:r>
          </w:p>
          <w:p>
            <w:pPr>
              <w:spacing/>
              <w:ind w:firstLine="420"/>
            </w:pPr>
            <w:r>
              <w:rPr>
                <w:rFonts w:ascii="宋体" w:cs="SimSun" w:eastAsia="宋体" w:hAnsi="宋体"/>
                <w:sz w:val="21"/>
                <w:szCs w:val="22"/>
              </w:rPr>
              <w:t xml:space="preserve">③ 公司治理数据：第一大股东持股比例、产权性质，来源CSMAR“股东研究”十大股东文件与股权性质文件；</w:t>
            </w:r>
          </w:p>
          <w:p>
            <w:pPr>
              <w:spacing/>
              <w:ind w:firstLine="420"/>
            </w:pPr>
            <w:r>
              <w:rPr>
                <w:rFonts w:ascii="宋体" w:cs="SimSun" w:eastAsia="宋体" w:hAnsi="宋体"/>
                <w:sz w:val="21"/>
                <w:szCs w:val="22"/>
              </w:rPr>
              <w:t xml:space="preserve">④ 市场交易数据：年个股回报率与市值、月个股回报率及Fama-French三因子，用于计算Tobin's Q、平仓压力与现金边际价值，来源CSMAR股票市场交易数据库与因子研究数据库；</w:t>
            </w:r>
          </w:p>
          <w:p>
            <w:pPr>
              <w:spacing/>
              <w:ind w:firstLine="420"/>
            </w:pPr>
            <w:r>
              <w:rPr>
                <w:rFonts w:ascii="宋体" w:cs="SimSun" w:eastAsia="宋体" w:hAnsi="宋体"/>
                <w:sz w:val="21"/>
                <w:szCs w:val="22"/>
              </w:rPr>
              <w:t xml:space="preserve">⑤ 样本区间与筛选规则：2007—2025年沪深A股非金融类上市公司（覆盖2018年质押新规实施前11年、实施后8年），剔除ST、*ST（依据当年证券简称识别）、资不抵债及主要变量缺失样本，以保证面板数据的观测量和DID识别所需的政策前后样本均衡。</w:t>
            </w:r>
          </w:p>
          <w:p>
            <w:pPr>
              <w:spacing/>
              <w:ind w:firstLine="420"/>
            </w:pPr>
            <w:r>
              <w:rPr>
                <w:rFonts w:ascii="宋体" w:cs="SimSun" w:eastAsia="宋体" w:hAnsi="宋体"/>
                <w:b/>
                <w:bCs/>
                <w:sz w:val="21"/>
                <w:szCs w:val="22"/>
              </w:rPr>
              <w:t xml:space="preserve">1．数据来源与查询路径</w:t>
            </w:r>
          </w:p>
          <w:p>
            <w:pPr>
              <w:keepNext/>
              <w:spacing/>
              <w:jc w:val="center"/>
            </w:pPr>
            <w:r>
              <w:rPr>
                <w:rFonts w:ascii="宋体" w:cs="SimSun" w:eastAsia="宋体" w:hAnsi="宋体"/>
                <w:b/>
                <w:bCs/>
                <w:sz w:val="21"/>
                <w:szCs w:val="22"/>
              </w:rPr>
              <w:t xml:space="preserve">表1　数据来源与查询路径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500"/>
            </w:tblGrid>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数据项</w:t>
                  </w:r>
                </w:p>
              </w:tc>
              <w:tc>
                <w:tcPr>
                  <w:tcW w:type="dxa" w:w="2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来源／入口</w:t>
                  </w:r>
                </w:p>
              </w:tc>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获取方式</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进度</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大股东股权质押数据（十大股东质押冻结股数；逐笔质押股数、起止日期、质权人类型、预警线／平仓线）</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CSMAR“股东研究—十大股东”“公司研究—股权质押”子库</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从国泰安（CSMAR）数据库导出质押统计表、明细表与十大股东文件，按“股票代码—年度”构造年末质押比例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公司财务数据（资产负债表、利润表、现金流量表及财务指标）</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CSMAR“公司研究系列—财务报表”</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导出合并报表年报数据，按“股票代码—年度”整理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公司治理数据（第一大股东持股比例、产权性质）</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CSMAR“股东研究—十大股东”“股权性质”</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导出后与财务数据按“股票代码—年度”匹配</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市场交易数据（年末总市值、收盘价、年度回报、股价波动率）</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CSMAR“股票市场交易数据库”（年、月个股回报率）与“因子研究”（三因子）</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用于计算 Tobin's Q、平仓压力与现金边际价值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行业分类与注册地</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CSMAR“公司文件”（证监会2012版行业分类、注册地省份）</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用于设定行业固定效应与地区分组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原始公告核对（缺失值补充）</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巨潮资讯网（cninfo.com.cn）上市公司股权质押公告</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对缺失或口径存疑的样本拟逐条手工核对补录</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后续进行</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政策文本（2018年股票质押新规）</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中国证监会官网；沪深交易所与中国结算《股票质押式回购交易及登记结算业务办法（2018年修订）》</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用于确定 DID 的政策时点与处理组界定口径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已收集</w:t>
                  </w:r>
                </w:p>
              </w:tc>
            </w:tr>
          </w:tbl>
          <w:p>
            <w:pPr>
              <w:spacing/>
              <w:ind w:firstLine="420"/>
            </w:pPr>
            <w:r>
              <w:rPr>
                <w:rFonts w:ascii="宋体" w:cs="SimSun" w:eastAsia="宋体" w:hAnsi="宋体"/>
                <w:b/>
                <w:bCs/>
                <w:sz w:val="21"/>
                <w:szCs w:val="22"/>
              </w:rPr>
              <w:t xml:space="preserve">2．数据落地步骤（操作顺序）</w:t>
            </w:r>
          </w:p>
          <w:p>
            <w:pPr>
              <w:spacing/>
              <w:ind w:firstLine="420"/>
            </w:pPr>
            <w:r>
              <w:rPr>
                <w:rFonts w:ascii="宋体" w:cs="SimSun" w:eastAsia="宋体" w:hAnsi="宋体"/>
                <w:sz w:val="21"/>
                <w:szCs w:val="22"/>
              </w:rPr>
              <w:t xml:space="preserve">第 1 步：对“股东股权质押统计表”中每一出质方按变动日期累加“数量增减”，在“质押笔数”为零时归零，得到任意时点的未解押质押股数；取每年12月31日前的最后一条记录作为年末余额，按股东名称匹配“十大股东文件”中的第一大股东，除以其持股数得到Pledge，并生成Pledge_Dum与占总股本口径的Pledge_Ratio2；另以“股东股权质押情况明细表”逐笔剩余质押数量加总构造稳健性口径；</w:t>
            </w:r>
          </w:p>
          <w:p>
            <w:pPr>
              <w:spacing/>
              <w:ind w:firstLine="420"/>
            </w:pPr>
            <w:r>
              <w:rPr>
                <w:rFonts w:ascii="宋体" w:cs="SimSun" w:eastAsia="宋体" w:hAnsi="宋体"/>
                <w:sz w:val="21"/>
                <w:szCs w:val="22"/>
              </w:rPr>
              <w:t xml:space="preserve">第 2 步：导出同期公司财务、治理与市场交易数据，整理为“公司—年度”面板；</w:t>
            </w:r>
          </w:p>
          <w:p>
            <w:pPr>
              <w:spacing/>
              <w:ind w:firstLine="420"/>
            </w:pPr>
            <w:r>
              <w:rPr>
                <w:rFonts w:ascii="宋体" w:cs="SimSun" w:eastAsia="宋体" w:hAnsi="宋体"/>
                <w:sz w:val="21"/>
                <w:szCs w:val="22"/>
              </w:rPr>
              <w:t xml:space="preserve">第 3 步：以“股票代码＋会计年度”为主键 merge 质押数据与财务、治理、市场数据，剔除金融业、ST／*ST、资不抵债及主要变量缺失的样本；</w:t>
            </w:r>
          </w:p>
          <w:p>
            <w:pPr>
              <w:spacing/>
              <w:ind w:firstLine="420"/>
            </w:pPr>
            <w:r>
              <w:rPr>
                <w:rFonts w:ascii="宋体" w:cs="SimSun" w:eastAsia="宋体" w:hAnsi="宋体"/>
                <w:sz w:val="21"/>
                <w:szCs w:val="22"/>
              </w:rPr>
              <w:t xml:space="preserve">第 4 步：计算 Cash、SA（及稳健性替代的 KZ、WW）以及各控制变量，对所有连续变量在 1%／99% 分位上缩尾（winsorize）；</w:t>
            </w:r>
          </w:p>
          <w:p>
            <w:pPr>
              <w:spacing/>
              <w:ind w:firstLine="420"/>
            </w:pPr>
            <w:r>
              <w:rPr>
                <w:rFonts w:ascii="宋体" w:cs="SimSun" w:eastAsia="宋体" w:hAnsi="宋体"/>
                <w:sz w:val="21"/>
                <w:szCs w:val="22"/>
              </w:rPr>
              <w:t xml:space="preserve">第 5 步：构造 DID 变量（PledgePre：新规实施前即2016—2017年大股东平均质押比例，作为处理强度；稳健性检验中以是否高于样本中位数定义二值变量 Treat；Post：观测年度≥2018 年）与 PSM 匹配样本（以控制变量为协变量做 1:1 近邻匹配，卡尺 0.05）；</w:t>
            </w:r>
          </w:p>
          <w:p>
            <w:pPr>
              <w:spacing/>
              <w:ind w:firstLine="420"/>
            </w:pPr>
            <w:r>
              <w:rPr>
                <w:rFonts w:ascii="宋体" w:cs="SimSun" w:eastAsia="宋体" w:hAnsi="宋体"/>
                <w:sz w:val="21"/>
                <w:szCs w:val="22"/>
              </w:rPr>
              <w:t xml:space="preserve">第 6 步：用 Python（pyfixest，与 Stata 的 reghdfe 等价，标准误在公司层面聚类）依次完成基准回归、调节效应检验、分组异质性检验、稳健性检验与内生性处理，并提供对应的 Stata 代码。</w:t>
            </w:r>
          </w:p>
          <w:p>
            <w:pPr>
              <w:spacing/>
              <w:ind w:firstLine="420"/>
            </w:pPr>
            <w:r>
              <w:rPr>
                <w:rFonts w:ascii="宋体" w:cs="SimSun" w:eastAsia="宋体" w:hAnsi="宋体"/>
                <w:sz w:val="21"/>
                <w:szCs w:val="22"/>
              </w:rPr>
              <w:t xml:space="preserve">截至目前，第 1—4 步与基准回归已经完成，KZ／WW 指数、PSM 匹配样本与 DID 变量将在后续检验中构造；受限货币资金、利息收入与研发投入等拓展检验所需数据将在后续补充下载。现已形成2007—2025年沪深A股非金融上市公司的公司—年度面板，样本共50,961个观测、5,161家公司。质押比例的构造经过两项交叉验证：统计表口径与明细表口径的相关系数为0.96，95%的公司—年度差异在5个百分点以内；由此得到的“是否质押”与十大股东文件中的质押标识一致率约为95%。</w:t>
            </w:r>
          </w:p>
          <w:p>
            <w:pPr>
              <w:spacing/>
            </w:pPr>
            <w:r>
              <w:rPr>
                <w:rFonts w:ascii="宋体" w:cs="SimSun" w:eastAsia="宋体" w:hAnsi="宋体"/>
                <w:b/>
                <w:bCs/>
                <w:sz w:val="21"/>
                <w:szCs w:val="24"/>
              </w:rPr>
              <w:t xml:space="preserve">（二）指标测算</w:t>
            </w:r>
          </w:p>
          <w:p>
            <w:pPr>
              <w:spacing/>
              <w:ind w:firstLine="420"/>
            </w:pPr>
            <w:r>
              <w:rPr>
                <w:rFonts w:ascii="宋体" w:cs="SimSun" w:eastAsia="宋体" w:hAnsi="宋体"/>
                <w:sz w:val="21"/>
                <w:szCs w:val="22"/>
              </w:rPr>
              <w:t xml:space="preserve">核心变量的定义、计算公式与数据来源见表2，各指数公式与系数的文献出处见表3；核心变量已完成测算，主要变量的描述性统计见表4。</w:t>
            </w:r>
          </w:p>
          <w:p>
            <w:pPr>
              <w:keepNext/>
              <w:spacing/>
              <w:jc w:val="center"/>
            </w:pPr>
            <w:r>
              <w:rPr>
                <w:rFonts w:ascii="宋体" w:cs="SimSun" w:eastAsia="宋体" w:hAnsi="宋体"/>
                <w:b/>
                <w:bCs/>
                <w:sz w:val="21"/>
                <w:szCs w:val="22"/>
              </w:rPr>
              <w:t xml:space="preserve">表2　主要变量定义与数据来源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3000"/>
              <w:gridCol w:w="1500"/>
            </w:tblGrid>
            <w:tr>
              <w:trPr>
                <w:cantSplit/>
                <w:tblHeader/>
              </w:trPr>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变量类型</w:t>
                  </w:r>
                </w:p>
              </w:tc>
              <w:tc>
                <w:tcPr>
                  <w:tcW w:type="dxa" w:w="1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变量名称</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符号</w:t>
                  </w:r>
                </w:p>
              </w:tc>
              <w:tc>
                <w:tcPr>
                  <w:tcW w:type="dxa" w:w="3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定义</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数据来源</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被解释变量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货币资金/(总资产－货币资金)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被解释变量（替代）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Cash2</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（货币资金＋交易性金融资产）/总资产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CSMAR，稳健性检验用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被解释变量（替代）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非受限现金持有</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Cash3</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（货币资金－所有权受限的货币资金）/（总资产－货币资金）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CSMAR，被解释变量计量可靠性检验用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股权质押比例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大股东质押股数/其持股总数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是否存在质押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Pledge_Dum</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年末大股东存在股权质押=1，否则=0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质押强度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Pledge_Ratio2</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大股东质押股数/公司总股本</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SA=−0.737×Size+0.043×Size²−0.040×Age（Size、Age按原文截尾，保留原始符号，数值越大融资约束越强）；检验H3时以滞后一期SA在年度内分组，DID部分以2016—2017年均值固定分组（唐玮等，2019）</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自行计算，参照Hadlock和Pierce（2010）、鞠晓生等（2013）</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KZ／WW</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KZ：Kaplan和Zingales（1997）五变量排序打分法，基于中国样本重新估计系数；WW：Whited和Wu（2006）六变量指数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自行计算，稳健性检验用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控股股东资金净占用</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OREC</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（其他应收款－其他应付款）/总资产，再减去同行业同年度均值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CSMAR，参照Jiang等（2010）、毛捷和管星华（2022）</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质押预警压力</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Pressure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对第一大股东每笔年末未解押的质押，以考虑现金红利再投资的月回报率构造股价指数，判断当年股价是否跌破预警价格（假设质押率40%、年利率10%、预警线160%）；取触及预警线的质押股数占其全部未解押质押股数的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自行计算，参照胡聪慧等（2020）</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受限资金占比</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RestCash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所有权受到限制的货币资金/货币资金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CSMAR，计量可靠性检验用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资金收益率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CashRet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利息收入/期末货币资金余额</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CSMAR，计量可靠性检验用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研发投入强度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RD</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研发支出/总资产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CSMAR，投资挤出检验用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现金边际价值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ΔC×Pledge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Faulkender和Wang（2006）模型中，股票年度超额收益（基准收益为按规模与账面市值比构造的25个组合收益，稳健性检验改用三因子）对现金变动ΔC/M(t−1)回归，考察其与Pledge交乘项的系数；用于H2检验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CSMAR月个股回报率、因子研究</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分组变量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产权性质</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国有企业=1，非国有企业=0；多数公司不随时间变化，被公司固定效应吸收，主要用于H4分组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分组变量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质押资金投向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PledgeUse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质押资金投向上市公司=1，投向控股股东自身或第三方=0；投向上市公司的记录约占2%，仅作补充检验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CSMAR质押明细表“投向”字段，参照Pan和Qian（2024）</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处理强度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新规实施前（2016—2017年）大股东平均质押比例（连续变量）；稳健性检验中以是否高于样本中位数定义二值变量Treat</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政策时点虚拟变量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Post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观测年度≥2018年=1，否则=0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双重差分项</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PledgePre×Post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处理强度与政策时点虚拟变量的交乘项</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纾困计划实施</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Relief</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公司注册地所属省份在t年已设立地方政府纾困基金=1，否则=0；未设立省份为海南、贵州、云南、甘肃、青海、西藏（毛捷和管星华，2022）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各省政府网站，参照毛捷和管星华（2022）</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纾困力度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ReliefInt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省份纾困实施前上市公司平均质押比例×纾困实施时点虚拟变量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工具变量（辅助检验）</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同业平均质押比例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IV_Pledge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同行业同年度（剔除本公司）大股东股权质押比例均值；因排他性约束较弱，仅作辅助性检验，报告Kleibergen-Paap统计量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自行计算</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公司规模</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总资产取自然对数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杠杆率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总负债/总资产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盈利能力</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净利润/总资产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营业收入增长率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成长机会</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TobinQ</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（股权市值＋负债账面价值）/总资产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现金流水平</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经营活动现金流净额/总资产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现金流波动性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经营现金流3年滚动标准差</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净营运资本</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NWC</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（流动资产－流动负债－货币资金）/总资产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上市年限</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Age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ln(观测年度－上市年度＋1)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股权集中度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第一大股东持股比例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拓展变量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资本支出</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Capex</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购建固定资产、无形资产等支付的现金/总资产；作为投资挤出检验的被解释变量，不进入基准控制变量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拓展变量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股利支付</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Div</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当年支付现金股利=1，否则=0；质押可能影响分红政策（廖珂等，2018），不进入基准控制变量，仅在稳健性检验中加入</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固定效应</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年份、公司</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λ</w:t>
                  </w:r>
                  <w:r>
                    <w:rPr>
                      <w:rFonts w:ascii="SimSun" w:cs="SimSun" w:eastAsia="SimSun" w:hAnsi="SimSun"/>
                      <w:sz w:val="21"/>
                      <w:szCs w:val="21"/>
                      <w:vertAlign w:val="subscript"/>
                    </w:rPr>
                    <w:t xml:space="preserve">t</w:t>
                  </w:r>
                  <w:r>
                    <w:rPr>
                      <w:rFonts w:ascii="SimSun" w:cs="SimSun" w:eastAsia="SimSun" w:hAnsi="SimSun"/>
                      <w:sz w:val="21"/>
                      <w:szCs w:val="21"/>
                    </w:rPr>
                    <w:t xml:space="preserve">、μ</w:t>
                  </w:r>
                  <w:r>
                    <w:rPr>
                      <w:rFonts w:ascii="SimSun" w:cs="SimSun" w:eastAsia="SimSun" w:hAnsi="SimSun"/>
                      <w:sz w:val="21"/>
                      <w:szCs w:val="21"/>
                      <w:vertAlign w:val="subscript"/>
                    </w:rPr>
                    <w:t xml:space="preserve">i</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基准回归控制年度与公司固定效应，标准误在公司层面聚类</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固定效应</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行业</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Ind FE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按证监会2012版行业分类设定（稳健性检验中与公司固定效应互换）</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r>
          </w:tbl>
          <w:p>
            <w:pPr>
              <w:spacing w:after="120" w:line="360"/>
            </w:pPr>
            <w:r>
              <w:rPr>
                <w:rFonts w:ascii="SimSun" w:cs="SimSun" w:eastAsia="SimSun" w:hAnsi="SimSun"/>
                <w:sz w:val="22"/>
                <w:szCs w:val="22"/>
              </w:rPr>
              <w:t xml:space="preserve"/>
            </w:r>
          </w:p>
          <w:p>
            <w:pPr>
              <w:keepNext/>
              <w:spacing/>
              <w:jc w:val="center"/>
            </w:pPr>
            <w:r>
              <w:rPr>
                <w:rFonts w:ascii="宋体" w:cs="SimSun" w:eastAsia="宋体" w:hAnsi="宋体"/>
                <w:b/>
                <w:bCs/>
                <w:sz w:val="21"/>
                <w:szCs w:val="22"/>
              </w:rPr>
              <w:t xml:space="preserve">表3　主要指数与公式系数的文献出处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cantSplit/>
                <w:tblHeader/>
              </w:trPr>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指数／变量</w:t>
                  </w:r>
                </w:p>
              </w:tc>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公式与系数出处</w:t>
                  </w:r>
                </w:p>
              </w:tc>
              <w:tc>
                <w:tcPr>
                  <w:tcW w:type="dxa" w:w="4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备注</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Hadlock和Pierce（2010），Review of Financial Studies 23(5): 1909-1940；中国样本的系数沿用与检验见鞠晓生等（2013）《经济研究》第1期</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系数 -0.737／0.043／-0.040；Size 为总资产（百万元）的自然对数，Age 为上市年限；按原文做法对 Size、Age 截尾（原文上限分别为45亿美元与37年；本文将规模上限按汇率折算为370亿元人民币）；保留原始符号，数值越大表示融资约束越严重</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Kaplan和Zingales（1997），Quarterly Journal of Economics 112(1): 169-215</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仅作稳健性替代；不直接套用美国样本系数，拟以 CF、Q、Lev、Div、Cash 五变量按排序逻辑回归在中国样本上重新估计</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WW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Whited和Wu（2006），Review of Financial Studies 19(2): 531-559</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仅作稳健性替代，用于交叉验证融资约束分组结果的一致性</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Opler等（1999）；Bates等（2009）</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以“货币资金/(总资产－货币资金)”的净资产口径为主、总资产口径为辅，两种口径互为稳健性检验</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股权质押比例</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谢德仁等（2016）《管理世界》；李常青等（2018b）《财贸经济》</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以年末第一大股东未解押质押股数占其持股总数的比例为基准口径（由质押统计表构造），明细表口径与占总股本口径作稳健性检验</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调节效应检验</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温忠麟等（2005）《心理学报》</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对 Pledge 与融资约束分组变量作中心化处理后构造交乘项，按其提出的调节效应检验步骤实施</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PSM 匹配</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Rosenbaum和Rubin（1983），Biometrika 70(1): 41-55</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以控制变量为协变量估计倾向得分，1:1 近邻匹配（卡尺0.05）后重新回归</w:t>
                  </w:r>
                </w:p>
              </w:tc>
            </w:tr>
          </w:tbl>
          <w:p>
            <w:pPr>
              <w:spacing/>
            </w:pPr>
            <w:r>
              <w:rPr>
                <w:rFonts w:ascii="宋体" w:cs="SimSun" w:eastAsia="宋体" w:hAnsi="宋体"/>
                <w:b w:val="0"/>
                <w:sz w:val="21"/>
                <w:szCs w:val="22"/>
              </w:rPr>
              <w:t xml:space="preserve">注：上述文献均已列入第六项“主要参考文献”。</w:t>
            </w:r>
          </w:p>
          <w:p>
            <w:pPr>
              <w:spacing/>
            </w:pPr>
            <w:r>
              <w:rPr>
                <w:rFonts w:ascii="宋体" w:cs="SimSun" w:eastAsia="宋体" w:hAnsi="宋体"/>
                <w:b/>
                <w:bCs/>
                <w:sz w:val="21"/>
                <w:szCs w:val="24"/>
              </w:rPr>
              <w:t xml:space="preserve">（三）实证设计与初步回归结果</w:t>
            </w:r>
          </w:p>
          <w:p>
            <w:pPr>
              <w:spacing/>
              <w:ind w:firstLine="420"/>
            </w:pPr>
            <w:r>
              <w:rPr>
                <w:rFonts w:ascii="宋体" w:cs="SimSun" w:eastAsia="宋体" w:hAnsi="宋体"/>
                <w:sz w:val="21"/>
                <w:szCs w:val="22"/>
              </w:rPr>
              <w:t xml:space="preserve">本部分的模型设定与检验顺序已经确定，数据已完成下载、清洗、匹配与变量测算。主要变量的描述性统计见表4，各变量的预期作用方向见表5，初步回归结果见表6、表7。模型设定如下：</w:t>
            </w:r>
          </w:p>
          <w:p>
            <w:pPr>
              <w:spacing/>
              <w:ind w:firstLine="420"/>
            </w:pPr>
            <w:r>
              <w:rPr>
                <w:rFonts w:ascii="宋体" w:cs="SimSun" w:eastAsia="宋体" w:hAnsi="宋体"/>
                <w:sz w:val="21"/>
                <w:szCs w:val="21"/>
              </w:rPr>
              <w:t xml:space="preserve">模型1（基准回归）：</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Cash</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1</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2</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(1)</w:t>
            </w:r>
          </w:p>
          <w:p>
            <w:pPr>
              <w:spacing/>
              <w:ind w:firstLine="420"/>
            </w:pPr>
            <w:r>
              <w:rPr>
                <w:rFonts w:ascii="宋体" w:cs="SimSun" w:eastAsia="宋体" w:hAnsi="宋体"/>
                <w:sz w:val="21"/>
                <w:szCs w:val="21"/>
              </w:rPr>
              <w:t xml:space="preserve">模型2（边界条件）：</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Cash</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1</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2</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HighFC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oMath>
          </w:p>
          <w:p>
            <w:pPr>
              <w:tabs>
                <w:tab w:val="center" w:pos="4400"/>
                <w:tab w:val="right" w:pos="8800"/>
              </w:tabs>
              <w:spacing w:before="60" w:after="60"/>
              <w:ind w:firstLine="0"/>
            </w:pPr>
            <w:r>
              <w:rPr>
                <w:rFonts w:ascii="Times New Roman" w:hAnsi="Times New Roman" w:eastAsia="宋体"/>
                <w:sz w:val="21"/>
                <w:szCs w:val="21"/>
              </w:rPr>
              <w:tab/>
            </w:r>
            <m:oMath>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3</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HighFC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4</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(2)</w:t>
            </w:r>
          </w:p>
          <w:p>
            <w:pPr>
              <w:spacing/>
              <w:ind w:firstLine="420"/>
            </w:pPr>
            <w:r>
              <w:rPr>
                <w:rFonts w:ascii="宋体" w:cs="SimSun" w:eastAsia="宋体" w:hAnsi="宋体"/>
                <w:sz w:val="21"/>
                <w:szCs w:val="21"/>
              </w:rPr>
              <w:t xml:space="preserve">模型3（DID，以2018年股票质押新规为政策冲击）：</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Cash</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1</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PledgePre</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Post</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2</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(3)</w:t>
            </w:r>
          </w:p>
          <w:p>
            <w:pPr>
              <w:spacing/>
              <w:ind w:firstLine="420"/>
            </w:pPr>
            <w:r>
              <w:rPr>
                <w:rFonts w:ascii="宋体" w:cs="SimSun" w:eastAsia="宋体" w:hAnsi="宋体"/>
                <w:sz w:val="21"/>
                <w:szCs w:val="21"/>
              </w:rPr>
              <w:t xml:space="preserve">模型4（现金边际价值，参照Faulkender和Wang，2006）：</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w:rPr>
                      <w:rFonts w:ascii="Cambria Math" w:hAnsi="Cambria Math" w:eastAsia="宋体"/>
                      <w:sz w:val="21"/>
                      <w:szCs w:val="21"/>
                    </w:rPr>
                    <m:t xml:space="preserve">r</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Sup>
                <m:sSubSupPr>
                  <m:ctrlPr>
                    <w:rPr>
                      <w:rFonts w:ascii="Cambria Math" w:hAnsi="Cambria Math" w:eastAsia="宋体"/>
                      <w:i/>
                      <w:sz w:val="21"/>
                      <w:szCs w:val="21"/>
                    </w:rPr>
                  </m:ctrlPr>
                </m:sSubSupPr>
                <m:e>
                  <m:r>
                    <w:rPr>
                      <w:rFonts w:ascii="Cambria Math" w:hAnsi="Cambria Math" w:eastAsia="宋体"/>
                      <w:sz w:val="21"/>
                      <w:szCs w:val="21"/>
                    </w:rPr>
                    <m:t xml:space="preserve">R</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up>
                  <m:r>
                    <m:rPr>
                      <m:sty m:val="p"/>
                    </m:rPr>
                    <w:rPr>
                      <w:rFonts w:ascii="Cambria Math" w:hAnsi="Cambria Math" w:eastAsia="宋体"/>
                      <w:sz w:val="21"/>
                      <w:szCs w:val="21"/>
                    </w:rPr>
                    <m:t xml:space="preserve">B</m:t>
                  </m:r>
                </m:sup>
              </m:sSubSup>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1</m:t>
                  </m:r>
                </m:sub>
              </m:sSub>
              <m:f>
                <m:fPr>
                  <m:ctrlPr>
                    <w:rPr>
                      <w:rFonts w:ascii="Cambria Math" w:hAnsi="Cambria Math" w:eastAsia="宋体"/>
                      <w:i/>
                      <w:sz w:val="21"/>
                      <w:szCs w:val="21"/>
                    </w:rPr>
                  </m:ctrlPr>
                </m:fPr>
                <m:num>
                  <m:r>
                    <m:rPr>
                      <m:sty m:val="p"/>
                    </m:rPr>
                    <w:rPr>
                      <w:rFonts w:ascii="Cambria Math" w:hAnsi="Cambria Math" w:eastAsia="宋体"/>
                      <w:sz w:val="21"/>
                      <w:szCs w:val="21"/>
                    </w:rPr>
                    <m:t xml:space="preserve">Δ</m:t>
                  </m:r>
                  <m:sSub>
                    <m:sSubPr>
                      <m:ctrlPr>
                        <w:rPr>
                          <w:rFonts w:ascii="Cambria Math" w:hAnsi="Cambria Math" w:eastAsia="宋体"/>
                          <w:i/>
                          <w:sz w:val="21"/>
                          <w:szCs w:val="21"/>
                        </w:rPr>
                      </m:ctrlPr>
                    </m:sSubPr>
                    <m:e>
                      <m:r>
                        <w:rPr>
                          <w:rFonts w:ascii="Cambria Math" w:hAnsi="Cambria Math" w:eastAsia="宋体"/>
                          <w:sz w:val="21"/>
                          <w:szCs w:val="21"/>
                        </w:rPr>
                        <m:t xml:space="preserve">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num>
                <m:den>
                  <m:sSub>
                    <m:sSubPr>
                      <m:ctrlPr>
                        <w:rPr>
                          <w:rFonts w:ascii="Cambria Math" w:hAnsi="Cambria Math" w:eastAsia="宋体"/>
                          <w:i/>
                          <w:sz w:val="21"/>
                          <w:szCs w:val="21"/>
                        </w:rPr>
                      </m:ctrlPr>
                    </m:sSubPr>
                    <m:e>
                      <m:r>
                        <w:rPr>
                          <w:rFonts w:ascii="Cambria Math" w:hAnsi="Cambria Math" w:eastAsia="宋体"/>
                          <w:sz w:val="21"/>
                          <w:szCs w:val="21"/>
                        </w:rPr>
                        <m:t xml:space="preserve">M</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den>
              </m:f>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2</m:t>
                  </m:r>
                </m:sub>
              </m:sSub>
              <m:f>
                <m:fPr>
                  <m:ctrlPr>
                    <w:rPr>
                      <w:rFonts w:ascii="Cambria Math" w:hAnsi="Cambria Math" w:eastAsia="宋体"/>
                      <w:i/>
                      <w:sz w:val="21"/>
                      <w:szCs w:val="21"/>
                    </w:rPr>
                  </m:ctrlPr>
                </m:fPr>
                <m:num>
                  <m:r>
                    <m:rPr>
                      <m:sty m:val="p"/>
                    </m:rPr>
                    <w:rPr>
                      <w:rFonts w:ascii="Cambria Math" w:hAnsi="Cambria Math" w:eastAsia="宋体"/>
                      <w:sz w:val="21"/>
                      <w:szCs w:val="21"/>
                    </w:rPr>
                    <m:t xml:space="preserve">Δ</m:t>
                  </m:r>
                  <m:sSub>
                    <m:sSubPr>
                      <m:ctrlPr>
                        <w:rPr>
                          <w:rFonts w:ascii="Cambria Math" w:hAnsi="Cambria Math" w:eastAsia="宋体"/>
                          <w:i/>
                          <w:sz w:val="21"/>
                          <w:szCs w:val="21"/>
                        </w:rPr>
                      </m:ctrlPr>
                    </m:sSubPr>
                    <m:e>
                      <m:r>
                        <w:rPr>
                          <w:rFonts w:ascii="Cambria Math" w:hAnsi="Cambria Math" w:eastAsia="宋体"/>
                          <w:sz w:val="21"/>
                          <w:szCs w:val="21"/>
                        </w:rPr>
                        <m:t xml:space="preserve">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num>
                <m:den>
                  <m:sSub>
                    <m:sSubPr>
                      <m:ctrlPr>
                        <w:rPr>
                          <w:rFonts w:ascii="Cambria Math" w:hAnsi="Cambria Math" w:eastAsia="宋体"/>
                          <w:i/>
                          <w:sz w:val="21"/>
                          <w:szCs w:val="21"/>
                        </w:rPr>
                      </m:ctrlPr>
                    </m:sSubPr>
                    <m:e>
                      <m:r>
                        <w:rPr>
                          <w:rFonts w:ascii="Cambria Math" w:hAnsi="Cambria Math" w:eastAsia="宋体"/>
                          <w:sz w:val="21"/>
                          <w:szCs w:val="21"/>
                        </w:rPr>
                        <m:t xml:space="preserve">M</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den>
              </m:f>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p>
          <w:p>
            <w:pPr>
              <w:tabs>
                <w:tab w:val="center" w:pos="4400"/>
                <w:tab w:val="right" w:pos="8800"/>
              </w:tabs>
              <w:spacing w:before="60" w:after="60"/>
              <w:ind w:firstLine="0"/>
            </w:pPr>
            <w:r>
              <w:rPr>
                <w:rFonts w:ascii="Times New Roman" w:hAnsi="Times New Roman" w:eastAsia="宋体"/>
                <w:sz w:val="21"/>
                <w:szCs w:val="21"/>
              </w:rPr>
              <w:tab/>
            </w:r>
            <m:oMath>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3</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4</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(4)</w:t>
            </w:r>
          </w:p>
          <w:p>
            <w:pPr>
              <w:spacing/>
              <w:ind w:firstLine="420"/>
            </w:pPr>
            <w:r>
              <w:rPr>
                <w:rFonts w:ascii="宋体" w:cs="SimSun" w:eastAsia="宋体" w:hAnsi="宋体"/>
                <w:sz w:val="21"/>
                <w:szCs w:val="21"/>
              </w:rPr>
              <w:t xml:space="preserve">其中，i 表示公司，t 表示年度。Cash 为企业现金持有水平，Pledge 为大股东股权质押比例，HighFC 为滞后一期SA指数高于当年中位数的虚拟变量，PledgePre 为2016—2017年大股东平均质押比例，Post 为2018年及以后年度的虚拟变量；Controls 为公司规模、杠杆率、盈利能力、营业收入增长率、成长机会（Tobin Q）、现金流水平、现金流波动性、净营运资本、上市年限、股权集中度等控制变量，资本支出与现金股利因可能受质押影响而不进入基准控制变量；λ</w:t>
            </w:r>
            <w:r>
              <w:rPr>
                <w:rFonts w:ascii="宋体" w:cs="SimSun" w:eastAsia="宋体" w:hAnsi="宋体"/>
                <w:sz w:val="21"/>
                <w:szCs w:val="21"/>
                <w:vertAlign w:val="subscript"/>
              </w:rPr>
              <w:t xml:space="preserve">t</w:t>
            </w:r>
            <w:r>
              <w:rPr>
                <w:rFonts w:ascii="宋体" w:cs="SimSun" w:eastAsia="宋体" w:hAnsi="宋体"/>
                <w:sz w:val="21"/>
                <w:szCs w:val="21"/>
              </w:rPr>
              <w:t xml:space="preserve"> 与 μ</w:t>
            </w:r>
            <w:r>
              <w:rPr>
                <w:rFonts w:ascii="宋体" w:cs="SimSun" w:eastAsia="宋体" w:hAnsi="宋体"/>
                <w:sz w:val="21"/>
                <w:szCs w:val="21"/>
                <w:vertAlign w:val="subscript"/>
              </w:rPr>
              <w:t xml:space="preserve">i</w:t>
            </w:r>
            <w:r>
              <w:rPr>
                <w:rFonts w:ascii="宋体" w:cs="SimSun" w:eastAsia="宋体" w:hAnsi="宋体"/>
                <w:sz w:val="21"/>
                <w:szCs w:val="21"/>
              </w:rPr>
              <w:t xml:space="preserve"> 分别为年度与公司固定效应，ε</w:t>
            </w:r>
            <w:r>
              <w:rPr>
                <w:rFonts w:ascii="宋体" w:cs="SimSun" w:eastAsia="宋体" w:hAnsi="宋体"/>
                <w:sz w:val="21"/>
                <w:szCs w:val="21"/>
                <w:vertAlign w:val="subscript"/>
              </w:rPr>
              <w:t xml:space="preserve">i,t</w:t>
            </w:r>
            <w:r>
              <w:rPr>
                <w:rFonts w:ascii="宋体" w:cs="SimSun" w:eastAsia="宋体" w:hAnsi="宋体"/>
                <w:sz w:val="21"/>
                <w:szCs w:val="21"/>
              </w:rPr>
              <w:t xml:space="preserve"> 为随机扰动项；所有回归的标准误在公司层面聚类。模型1中 Pledge 的系数 β</w:t>
            </w:r>
            <w:r>
              <w:rPr>
                <w:rFonts w:ascii="宋体" w:cs="SimSun" w:eastAsia="宋体" w:hAnsi="宋体"/>
                <w:sz w:val="21"/>
                <w:szCs w:val="21"/>
                <w:vertAlign w:val="subscript"/>
              </w:rPr>
              <w:t xml:space="preserve">1</w:t>
            </w:r>
            <w:r>
              <w:rPr>
                <w:rFonts w:ascii="宋体" w:cs="SimSun" w:eastAsia="宋体" w:hAnsi="宋体"/>
                <w:sz w:val="21"/>
                <w:szCs w:val="21"/>
              </w:rPr>
              <w:t xml:space="preserve"> 反映质押对现金持有的净效应，显著为正表明风险规避渠道占优（H1a），显著为负则表明掏空渠道占优（H1b）。H2a 通过在模型1中加入 Pledge×Pressure 交乘项检验，H2b 以控股股东资金占用 OREC 为被解释变量检验，并结合模型4中 γ</w:t>
            </w:r>
            <w:r>
              <w:rPr>
                <w:rFonts w:ascii="宋体" w:cs="SimSun" w:eastAsia="宋体" w:hAnsi="宋体"/>
                <w:sz w:val="21"/>
                <w:szCs w:val="21"/>
                <w:vertAlign w:val="subscript"/>
              </w:rPr>
              <w:t xml:space="preserve">2</w:t>
            </w:r>
            <w:r>
              <w:rPr>
                <w:rFonts w:ascii="宋体" w:cs="SimSun" w:eastAsia="宋体" w:hAnsi="宋体"/>
                <w:sz w:val="21"/>
                <w:szCs w:val="21"/>
              </w:rPr>
              <w:t xml:space="preserve"> 的符号共同判断：γ</w:t>
            </w:r>
            <w:r>
              <w:rPr>
                <w:rFonts w:ascii="宋体" w:cs="SimSun" w:eastAsia="宋体" w:hAnsi="宋体"/>
                <w:sz w:val="21"/>
                <w:szCs w:val="21"/>
                <w:vertAlign w:val="subscript"/>
              </w:rPr>
              <w:t xml:space="preserve">2</w:t>
            </w:r>
            <w:r>
              <w:rPr>
                <w:rFonts w:ascii="宋体" w:cs="SimSun" w:eastAsia="宋体" w:hAnsi="宋体"/>
                <w:sz w:val="21"/>
                <w:szCs w:val="21"/>
              </w:rPr>
              <w:t xml:space="preserve"> 不显著为负支持 H2a，显著为负支持 H2b。模型2中交乘项系数 β</w:t>
            </w:r>
            <w:r>
              <w:rPr>
                <w:rFonts w:ascii="宋体" w:cs="SimSun" w:eastAsia="宋体" w:hAnsi="宋体"/>
                <w:sz w:val="21"/>
                <w:szCs w:val="21"/>
                <w:vertAlign w:val="subscript"/>
              </w:rPr>
              <w:t xml:space="preserve">2</w:t>
            </w:r>
            <w:r>
              <w:rPr>
                <w:rFonts w:ascii="宋体" w:cs="SimSun" w:eastAsia="宋体" w:hAnsi="宋体"/>
                <w:sz w:val="21"/>
                <w:szCs w:val="21"/>
              </w:rPr>
              <w:t xml:space="preserve"> 用于检验 H3，其符号预期与 β</w:t>
            </w:r>
            <w:r>
              <w:rPr>
                <w:rFonts w:ascii="宋体" w:cs="SimSun" w:eastAsia="宋体" w:hAnsi="宋体"/>
                <w:sz w:val="21"/>
                <w:szCs w:val="21"/>
                <w:vertAlign w:val="subscript"/>
              </w:rPr>
              <w:t xml:space="preserve">1</w:t>
            </w:r>
            <w:r>
              <w:rPr>
                <w:rFonts w:ascii="宋体" w:cs="SimSun" w:eastAsia="宋体" w:hAnsi="宋体"/>
                <w:sz w:val="21"/>
                <w:szCs w:val="21"/>
              </w:rPr>
              <w:t xml:space="preserve"> 一致；H4 以 Pledge×SOE 交乘项检验组间差异，并同时报告按产权性质分组的回归结果。模型3中 PledgePre×Post 的系数 β</w:t>
            </w:r>
            <w:r>
              <w:rPr>
                <w:rFonts w:ascii="宋体" w:cs="SimSun" w:eastAsia="宋体" w:hAnsi="宋体"/>
                <w:sz w:val="21"/>
                <w:szCs w:val="21"/>
                <w:vertAlign w:val="subscript"/>
              </w:rPr>
              <w:t xml:space="preserve">1</w:t>
            </w:r>
            <w:r>
              <w:rPr>
                <w:rFonts w:ascii="宋体" w:cs="SimSun" w:eastAsia="宋体" w:hAnsi="宋体"/>
                <w:sz w:val="21"/>
                <w:szCs w:val="21"/>
              </w:rPr>
              <w:t xml:space="preserve"> 反映2018年股票质押新规的政策冲击效应，配合平行趋势检验、动态效应检验与安慰剂检验，并以质押比例和平仓压力为被解释变量检验新规的“第一阶段”影响。模型4中 r</w:t>
            </w:r>
            <w:r>
              <w:rPr>
                <w:rFonts w:ascii="宋体" w:cs="SimSun" w:eastAsia="宋体" w:hAnsi="宋体"/>
                <w:sz w:val="21"/>
                <w:szCs w:val="21"/>
                <w:vertAlign w:val="subscript"/>
              </w:rPr>
              <w:t xml:space="preserve">i,t</w:t>
            </w:r>
            <w:r>
              <w:rPr>
                <w:rFonts w:ascii="宋体" w:cs="SimSun" w:eastAsia="宋体" w:hAnsi="宋体"/>
                <w:sz w:val="21"/>
                <w:szCs w:val="21"/>
              </w:rPr>
              <w:t xml:space="preserve"> − R</w:t>
            </w:r>
            <w:r>
              <w:rPr>
                <w:rFonts w:ascii="宋体" w:cs="SimSun" w:eastAsia="宋体" w:hAnsi="宋体"/>
                <w:sz w:val="21"/>
                <w:szCs w:val="21"/>
                <w:vertAlign w:val="subscript"/>
              </w:rPr>
              <w:t xml:space="preserve">i,t</w:t>
            </w:r>
            <w:r>
              <w:rPr>
                <w:rFonts w:ascii="宋体" w:cs="SimSun" w:eastAsia="宋体" w:hAnsi="宋体"/>
                <w:sz w:val="21"/>
                <w:szCs w:val="21"/>
                <w:vertAlign w:val="superscript"/>
              </w:rPr>
              <w:t xml:space="preserve">B</w:t>
            </w:r>
            <w:r>
              <w:rPr>
                <w:rFonts w:ascii="宋体" w:cs="SimSun" w:eastAsia="宋体" w:hAnsi="宋体"/>
                <w:sz w:val="21"/>
                <w:szCs w:val="21"/>
              </w:rPr>
              <w:t xml:space="preserve"> 为按规模与账面市值比分组调整的股票年度超额收益，ΔC 为现金变动，M 为上年末股权市值，其余控制变量按 Faulkender和Wang（2006）设定。</w:t>
            </w:r>
          </w:p>
          <w:p>
            <w:pPr>
              <w:keepNext/>
              <w:spacing/>
              <w:jc w:val="center"/>
            </w:pPr>
            <w:r>
              <w:rPr>
                <w:rFonts w:ascii="宋体" w:cs="SimSun" w:eastAsia="宋体" w:hAnsi="宋体"/>
                <w:b/>
                <w:bCs/>
                <w:sz w:val="21"/>
                <w:szCs w:val="22"/>
              </w:rPr>
              <w:t xml:space="preserve">表4　主要变量描述性统计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200"/>
              <w:gridCol w:w="1300"/>
              <w:gridCol w:w="1200"/>
            </w:tblGrid>
            <w:tr>
              <w:trPr>
                <w:cantSplit/>
                <w:tblHeader/>
              </w:trPr>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样本量 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均值 Mean</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标准差 S.D.</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最小值 Min</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中位数 Median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最大值 Max</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0.244</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0.251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0.015</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0.166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1.637</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0.173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0.119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0.014</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0.142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0.621</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0.216</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0.331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Pledge_Dum</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0.388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0.487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-3.555</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0.304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-4.281</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-3.505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-3.017</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22.300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1.297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19.876</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22.104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26.300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0.440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0.204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0.056</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0.436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0.896</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0.028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0.065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-0.248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0.031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0.191</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0.135</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0.377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-0.580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0.081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2.195</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0.044</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0.037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0.033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0.205</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TobinQ</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2.361</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1.666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0.807</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1.839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10.501</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0.047</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0.069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-0.161</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0.046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0.243</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0.333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0.150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0.308</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0.900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0.370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0.483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1.000</w:t>
                  </w:r>
                </w:p>
              </w:tc>
            </w:tr>
          </w:tbl>
          <w:p>
            <w:pPr>
              <w:spacing/>
            </w:pPr>
            <w:r>
              <w:rPr>
                <w:rFonts w:ascii="宋体" w:cs="SimSun" w:eastAsia="宋体" w:hAnsi="宋体"/>
                <w:b w:val="0"/>
                <w:sz w:val="21"/>
                <w:szCs w:val="22"/>
              </w:rPr>
              <w:t xml:space="preserve">注：样本为2007—2025年沪深A股非金融上市公司，共50,961个公司—年度观测、5,161家公司；已剔除ST、*ST公司；连续变量经上下1%缩尾；SA指数保留原始符号，数值越大表示融资约束越强。</w:t>
            </w:r>
          </w:p>
          <w:p>
            <w:pPr>
              <w:keepNext/>
              <w:spacing/>
              <w:jc w:val="center"/>
            </w:pPr>
            <w:r>
              <w:rPr>
                <w:rFonts w:ascii="宋体" w:cs="SimSun" w:eastAsia="宋体" w:hAnsi="宋体"/>
                <w:b/>
                <w:bCs/>
                <w:sz w:val="21"/>
                <w:szCs w:val="22"/>
              </w:rPr>
              <w:t xml:space="preserve">表5　主要变量的预期作用方向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100"/>
              <w:gridCol w:w="4000"/>
            </w:tblGrid>
            <w:tr>
              <w:trPr>
                <w:cantSplit/>
                <w:tblHeader/>
              </w:trPr>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w:t>
                  </w:r>
                </w:p>
              </w:tc>
              <w:tc>
                <w:tcPr>
                  <w:tcW w:type="dxa" w:w="2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符号</w:t>
                  </w:r>
                </w:p>
              </w:tc>
              <w:tc>
                <w:tcPr>
                  <w:tcW w:type="dxa" w:w="1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预期方向</w:t>
                  </w:r>
                </w:p>
              </w:tc>
              <w:tc>
                <w:tcPr>
                  <w:tcW w:type="dxa" w:w="4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理论依据</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大股东股权质押比例</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风险规避渠道预测为正、掏空渠道预测为负，净效应方向由实证结果裁定（H1a／H1b）</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质押×融资约束</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Pledge×HighFC</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同向增强</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融资约束较强组中基准效应绝对值更大（H3）；两种机制均预测放大，故该检验刻画边界条件而非区分机制</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质押×平仓压力</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Pledge×Pressure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＋（H2a）</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越接近平仓线，大股东推动公司储备现金的动机越强（胡聪慧等，2020）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质押×现金边际价值</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ΔC×Pledge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H2a：≥0；H2b：－</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现金若面临被掏空风险，外部投资者对其打折（Dittmar和Mahrt-Smith，2007）</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融资约束越严重，企业现金持有水平越高（Almeida等，2004）</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公司规模</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规模越大，规模经济与外部融资能力越强，预防性需求下降</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杠杆率</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负债对现金具有替代效应</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盈利能力</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内部现金流积累能力强</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成长性</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成长机会多，为把握投资机会而储备现金</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现金流波动性</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经营不确定性提高预防性现金需求（Bates等，2009）</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股权集中度</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不确定</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治理效应与掏空效应并存，方向取决于二者相对强弱</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产权性质</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国有企业存在政府隐性担保与预算软约束，预防性动机较弱</w:t>
                  </w:r>
                </w:p>
              </w:tc>
            </w:tr>
          </w:tbl>
          <w:p>
            <w:pPr>
              <w:spacing/>
            </w:pPr>
            <w:r>
              <w:rPr>
                <w:rFonts w:ascii="宋体" w:cs="SimSun" w:eastAsia="宋体" w:hAnsi="宋体"/>
                <w:b w:val="0"/>
                <w:sz w:val="21"/>
                <w:szCs w:val="22"/>
              </w:rPr>
              <w:t xml:space="preserve">注：预期方向依据既有文献与理论推导得出，最终符号与显著性以实证检验结果为准。</w:t>
            </w:r>
          </w:p>
          <w:p>
            <w:pPr>
              <w:spacing/>
              <w:ind w:firstLine="420"/>
            </w:pPr>
            <w:r>
              <w:rPr>
                <w:rFonts w:ascii="宋体" w:cs="SimSun" w:eastAsia="宋体" w:hAnsi="宋体"/>
                <w:b/>
                <w:bCs/>
                <w:sz w:val="21"/>
                <w:szCs w:val="22"/>
              </w:rPr>
              <w:t xml:space="preserve">初步回归结果</w:t>
            </w:r>
          </w:p>
          <w:p>
            <w:pPr>
              <w:spacing/>
              <w:ind w:firstLine="420"/>
            </w:pPr>
            <w:r>
              <w:rPr>
                <w:rFonts w:ascii="宋体" w:cs="SimSun" w:eastAsia="宋体" w:hAnsi="宋体"/>
                <w:sz w:val="21"/>
                <w:szCs w:val="22"/>
              </w:rPr>
              <w:t xml:space="preserve">表6报告了模型1的初步估计结果。在控制公司与年度固定效应后，大股东股权质押比例的系数在各列中均显著为负：列(2)加入控制变量后系数为-0.0165，在1%水平上显著；列(3)以行业×年度固定效应吸收行业层面的共同冲击，列(4)以上市年数固定效应控制新上市公司募集资金所带来的现金持有生命周期特征，系数均保持显著为负。按样本标准差折算，质押比例上升一个标准差，现金持有水平约下降其均值的2.2%。初步结果与H1b（掏空说）一致，与H1a不符。进一步观察发现，负向关系主要集中在上市时间较短的公司，其稳健性将在正文中结合公司生命周期进一步检验。</w:t>
            </w:r>
          </w:p>
          <w:p>
            <w:pPr>
              <w:keepNext/>
              <w:spacing/>
              <w:jc w:val="center"/>
            </w:pPr>
            <w:r>
              <w:rPr>
                <w:rFonts w:ascii="宋体" w:cs="SimSun" w:eastAsia="宋体" w:hAnsi="宋体"/>
                <w:b/>
                <w:bCs/>
                <w:sz w:val="21"/>
                <w:szCs w:val="22"/>
              </w:rPr>
              <w:t xml:space="preserve">表6　股权质押与现金持有：初步基准回归结果</w:t>
            </w:r>
          </w:p>
          <w:tbl>
            <w:tblPr>
              <w:tblW w:type="dxa" w:w="9000"/>
              <w:jc w:val="center"/>
            </w:tblPr>
            <w:tblGrid>
              <w:gridCol w:w="2200"/>
              <w:gridCol w:w="1700"/>
              <w:gridCol w:w="1700"/>
              <w:gridCol w:w="1700"/>
              <w:gridCol w:w="1700"/>
            </w:tblGrid>
            <w:tr>
              <w:trPr>
                <w:cantSplit/>
                <w:tblHeader/>
              </w:trPr>
              <w:tc>
                <w:tcPr>
                  <w:tcW w:type="dxa" w:w="22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-0.0335***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-0.0125**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-0.0136**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(0.0062)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行业×年度固定效应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上市年数固定效应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0.505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bl>
          <w:p>
            <w:pPr>
              <w:spacing/>
            </w:pPr>
            <w:r>
              <w:rPr>
                <w:rFonts w:ascii="宋体" w:cs="SimSun" w:eastAsia="宋体" w:hAnsi="宋体"/>
                <w:b w:val="0"/>
                <w:sz w:val="21"/>
                <w:szCs w:val="22"/>
              </w:rPr>
              <w:t xml:space="preserve">注：被解释变量为Cash；括号内为公司层面聚类稳健标准误；***、**、*分别表示1%、5%、10%显著水平；连续变量经上下1%缩尾。下表同。</w:t>
            </w:r>
          </w:p>
          <w:p>
            <w:pPr>
              <w:spacing/>
              <w:ind w:firstLine="420"/>
            </w:pPr>
            <w:r>
              <w:rPr>
                <w:rFonts w:ascii="宋体" w:cs="SimSun" w:eastAsia="宋体" w:hAnsi="宋体"/>
                <w:sz w:val="21"/>
                <w:szCs w:val="22"/>
              </w:rPr>
              <w:t xml:space="preserve">李常青等（2018b）基于2013—2015年季度数据发现，控股股东股权质押比例与现金持有呈U型关系。为便于比较，表7列(1)、(2)沿用其混合回归口径，列(3)、(4)进一步控制公司固定效应。结果显示，按原文口径可以复现U型关系，拐点约为0.53，与原文报告的约55%基本一致；但控制公司固定效应后，平方项在2013—2015年样本中不再显著，全样本中U型右端的斜率亦不显著，U型检验不成立（Lind和Mehlum，2010）。这意味着既有文献发现的U型上升段可能主要反映高质押公司与其他公司之间的固有差异，而非同一公司质押加深后增持现金的行为，这一问题将在正文中进一步检验。</w:t>
            </w:r>
          </w:p>
          <w:p>
            <w:pPr>
              <w:keepNext/>
              <w:spacing/>
              <w:jc w:val="center"/>
            </w:pPr>
            <w:r>
              <w:rPr>
                <w:rFonts w:ascii="宋体" w:cs="SimSun" w:eastAsia="宋体" w:hAnsi="宋体"/>
                <w:b/>
                <w:bCs/>
                <w:sz w:val="21"/>
                <w:szCs w:val="22"/>
              </w:rPr>
              <w:t xml:space="preserve">表7　U型关系复现：混合回归与公司固定效应的比较</w:t>
            </w:r>
          </w:p>
          <w:tbl>
            <w:tblPr>
              <w:tblW w:type="dxa" w:w="9000"/>
              <w:jc w:val="center"/>
            </w:tblPr>
            <w:tblGrid>
              <w:gridCol w:w="2200"/>
              <w:gridCol w:w="1700"/>
              <w:gridCol w:w="1700"/>
              <w:gridCol w:w="1700"/>
              <w:gridCol w:w="1700"/>
            </w:tblGrid>
            <w:tr>
              <w:trPr>
                <w:cantSplit/>
                <w:tblHeader/>
              </w:trPr>
              <w:tc>
                <w:tcPr>
                  <w:tcW w:type="dxa" w:w="22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-0.1808***</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-0.1683***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-0.0262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-0.0456***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(0.0387)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(0.0179)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(0.0398)</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(0.0159)</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Pledge²</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0.1699***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0.1356***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0.0268</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0.0327**</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(0.0421)</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(0.0192)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(0.0399)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拐点</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U型检验</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成立</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成立</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不成立</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不成立</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样本期间</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2013—2015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2007—2025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2013—2015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2007—2025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0.251</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0.256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0.742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6,912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50,954</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6,839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50,730</w:t>
                  </w:r>
                </w:p>
              </w:tc>
            </w:tr>
          </w:tbl>
          <w:p>
            <w:pPr>
              <w:spacing/>
            </w:pPr>
            <w:r>
              <w:rPr>
                <w:rFonts w:ascii="宋体" w:cs="SimSun" w:eastAsia="宋体" w:hAnsi="宋体"/>
                <w:b w:val="0"/>
                <w:sz w:val="21"/>
                <w:szCs w:val="22"/>
              </w:rPr>
              <w:t xml:space="preserve">注：列(1)、(2)按李常青等（2018b）的口径，采用混合OLS并控制行业（制造业按二级分类）与年度虚拟变量，剔除上市当年观测；U型检验采用Lind和Mehlum（2010）的端点斜率检验，质押比例为0与1处的斜率分别显著为负、显著为正时判定U型成立。</w:t>
            </w:r>
          </w:p>
          <w:p>
            <w:pPr>
              <w:spacing/>
              <w:ind w:firstLine="420"/>
            </w:pPr>
            <w:r>
              <w:rPr>
                <w:rFonts w:ascii="宋体" w:cs="SimSun" w:eastAsia="宋体" w:hAnsi="宋体"/>
                <w:sz w:val="21"/>
                <w:szCs w:val="22"/>
              </w:rPr>
              <w:t xml:space="preserve">上述结果仅为初步估计。渠道检验、边界条件、2018年股票质押新规双重差分以及稳健性与内生性检验将在后续研究中完成。</w:t>
            </w:r>
          </w:p>
        </w:tc>
      </w:tr>
    </w:tbl>
    <w:p>
      <w:pPr>
        <w:pageBreakBefore/>
        <w:spacing w:line="300" w:lineRule="auto"/>
      </w:pPr>
      <w:r>
        <w:rPr>
          <w:rFonts w:ascii="宋体" w:cs="SimHei" w:eastAsia="宋体" w:hAnsi="宋体"/>
          <w:b/>
          <w:bCs/>
          <w:sz w:val="24"/>
          <w:szCs w:val="26"/>
        </w:rPr>
        <w:t xml:space="preserve">五、论文工作进展安排。</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科研论文工作的总工作量（估计）、分研究阶段的进度（起迄日期）和要求。</w:t>
            </w:r>
          </w:p>
          <w:p>
            <w:pPr>
              <w:spacing/>
              <w:ind w:firstLine="420"/>
            </w:pPr>
            <w:r>
              <w:rPr>
                <w:rFonts w:ascii="宋体" w:cs="SimSun" w:eastAsia="宋体" w:hAnsi="宋体"/>
                <w:sz w:val="21"/>
                <w:szCs w:val="22"/>
              </w:rPr>
              <w:t xml:space="preserve">本文的主要工作进展及安排如表8所示：</w:t>
            </w:r>
          </w:p>
          <w:p>
            <w:pPr>
              <w:keepNext/>
              <w:spacing/>
              <w:jc w:val="center"/>
            </w:pPr>
            <w:r>
              <w:rPr>
                <w:rFonts w:ascii="宋体" w:cs="SimSun" w:eastAsia="宋体" w:hAnsi="宋体"/>
                <w:b/>
                <w:bCs/>
                <w:sz w:val="21"/>
                <w:szCs w:val="22"/>
              </w:rPr>
              <w:t xml:space="preserve">表8　论文工作进展安排</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阶段</w:t>
                  </w:r>
                </w:p>
              </w:tc>
              <w:tc>
                <w:tcPr>
                  <w:tcW w:type="dxa" w:w="2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时间</w:t>
                  </w:r>
                </w:p>
              </w:tc>
              <w:tc>
                <w:tcPr>
                  <w:tcW w:type="dxa" w:w="5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任务</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第一阶段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开题后第1—2周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数据下载、清洗与匹配；完成基准预回归（已完成）</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第二阶段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第3—5周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数据清洗、变量测算（含SA截尾、平仓压力测算）、描述性统计</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第三阶段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第6—8周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基准回归、渠道检验（平仓压力、资金占用、现金边际价值）、边界条件检验</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第四阶段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第9—10周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2018年新规DID、纾困补充检验、现金可靠性检验、PSM与滞后一期等稳健性检验</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第五阶段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第11—13周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论文初稿撰写</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第六阶段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第14—16周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导师修改反馈、定稿</w:t>
                  </w:r>
                </w:p>
              </w:tc>
            </w:tr>
          </w:tbl>
          <w:p>
            <w:pPr>
              <w:spacing w:after="120" w:line="360"/>
            </w:pPr>
            <w:r>
              <w:rPr>
                <w:rFonts w:ascii="SimSun" w:cs="SimSun" w:eastAsia="SimSun" w:hAnsi="SimSun"/>
                <w:sz w:val="22"/>
                <w:szCs w:val="22"/>
              </w:rPr>
              <w:t xml:space="preserve"/>
            </w:r>
          </w:p>
        </w:tc>
      </w:tr>
    </w:tbl>
    <w:p>
      <w:pPr>
        <w:pageBreakBefore/>
        <w:spacing w:line="300" w:lineRule="auto"/>
      </w:pPr>
      <w:r>
        <w:rPr>
          <w:rFonts w:ascii="宋体" w:cs="SimHei" w:eastAsia="宋体" w:hAnsi="宋体"/>
          <w:b/>
          <w:bCs/>
          <w:sz w:val="24"/>
          <w:szCs w:val="26"/>
        </w:rPr>
        <w:t xml:space="preserve">六、主要参考文献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ind/>
            </w:pPr>
            <w:r>
              <w:rPr>
                <w:rFonts w:ascii="宋体" w:cs="SimSun" w:eastAsia="宋体" w:hAnsi="宋体"/>
                <w:sz w:val="21"/>
                <w:szCs w:val="22"/>
              </w:rPr>
              <w:t xml:space="preserve">[1] Jensen M C, Meckling W H. Theory of the firm: Managerial behavior, agency costs and ownership structure[J]. Journal of Financial Economics, 1976, 3(4): 305-360.</w:t>
            </w:r>
          </w:p>
          <w:p>
            <w:pPr>
              <w:spacing/>
              <w:ind/>
            </w:pPr>
            <w:r>
              <w:rPr>
                <w:rFonts w:ascii="宋体" w:cs="SimSun" w:eastAsia="宋体" w:hAnsi="宋体"/>
                <w:sz w:val="21"/>
                <w:szCs w:val="22"/>
              </w:rPr>
              <w:t xml:space="preserve">[2] Myers S C, Majluf N S. Corporate financing and investment decisions when firms have information that investors do not have[J]. Journal of Financial Economics, 1984, 13(2): 187-221.</w:t>
            </w:r>
          </w:p>
          <w:p>
            <w:pPr>
              <w:spacing/>
              <w:ind/>
            </w:pPr>
            <w:r>
              <w:rPr>
                <w:rFonts w:ascii="宋体" w:cs="SimSun" w:eastAsia="宋体" w:hAnsi="宋体"/>
                <w:sz w:val="21"/>
                <w:szCs w:val="22"/>
              </w:rPr>
              <w:t xml:space="preserve">[3] Opler T, Pinkowitz L, Stulz R, Williamson R. The determinants and implications of corporate cash holdings[J]. Journal of Financial Economics, 1999, 52(1): 3-46.</w:t>
            </w:r>
          </w:p>
          <w:p>
            <w:pPr>
              <w:spacing/>
              <w:ind/>
            </w:pPr>
            <w:r>
              <w:rPr>
                <w:rFonts w:ascii="宋体" w:cs="SimSun" w:eastAsia="宋体" w:hAnsi="宋体"/>
                <w:sz w:val="21"/>
                <w:szCs w:val="22"/>
              </w:rPr>
              <w:t xml:space="preserve">[4] Almeida H, Campello M, Weisbach M S. The cash flow sensitivity of cash[J]. The Journal of Finance, 2004, 59(4): 1777-1804.</w:t>
            </w:r>
          </w:p>
          <w:p>
            <w:pPr>
              <w:spacing/>
              <w:ind/>
            </w:pPr>
            <w:r>
              <w:rPr>
                <w:rFonts w:ascii="宋体" w:cs="SimSun" w:eastAsia="宋体" w:hAnsi="宋体"/>
                <w:sz w:val="21"/>
                <w:szCs w:val="22"/>
              </w:rPr>
              <w:t xml:space="preserve">[5] Faulkender M, Wang R. Corporate financial policy and the value of cash[J]. The Journal of Finance, 2006, 61(4): 1957-1990.</w:t>
            </w:r>
          </w:p>
          <w:p>
            <w:pPr>
              <w:spacing/>
              <w:ind/>
            </w:pPr>
            <w:r>
              <w:rPr>
                <w:rFonts w:ascii="宋体" w:cs="SimSun" w:eastAsia="宋体" w:hAnsi="宋体"/>
                <w:sz w:val="21"/>
                <w:szCs w:val="22"/>
              </w:rPr>
              <w:t xml:space="preserve">[6] Dittmar A, Mahrt-Smith J. Corporate governance and the value of cash holdings[J]. Journal of Financial Economics, 2007, 83(3): 599-634.</w:t>
            </w:r>
          </w:p>
          <w:p>
            <w:pPr>
              <w:spacing/>
              <w:ind/>
            </w:pPr>
            <w:r>
              <w:rPr>
                <w:rFonts w:ascii="宋体" w:cs="SimSun" w:eastAsia="宋体" w:hAnsi="宋体"/>
                <w:sz w:val="21"/>
                <w:szCs w:val="22"/>
              </w:rPr>
              <w:t xml:space="preserve">[7] Bates T W, Kahle K M, Stulz R M. Why do U.S. firms hold so much more cash than they used to?[J]. The Journal of Finance, 2009, 64(5): 1985-2021.</w:t>
            </w:r>
          </w:p>
          <w:p>
            <w:pPr>
              <w:spacing/>
              <w:ind/>
            </w:pPr>
            <w:r>
              <w:rPr>
                <w:rFonts w:ascii="宋体" w:cs="SimSun" w:eastAsia="宋体" w:hAnsi="宋体"/>
                <w:sz w:val="21"/>
                <w:szCs w:val="22"/>
              </w:rPr>
              <w:t xml:space="preserve">[8] Ghaly M, Dang V A, Stathopoulos K. Cash holdings and labor heterogeneity: The role of skilled labor[J]. Review of Financial Studies, 2017, 30(10): 3636-3668.</w:t>
            </w:r>
          </w:p>
          <w:p>
            <w:pPr>
              <w:spacing/>
              <w:ind/>
            </w:pPr>
            <w:r>
              <w:rPr>
                <w:rFonts w:ascii="宋体" w:cs="SimSun" w:eastAsia="宋体" w:hAnsi="宋体"/>
                <w:sz w:val="21"/>
                <w:szCs w:val="22"/>
              </w:rPr>
              <w:t xml:space="preserve">[9] Graham J R, Leary M T. The evolution of corporate cash[J]. Review of Financial Studies, 2018, 31(11): 4288-4344.</w:t>
            </w:r>
          </w:p>
          <w:p>
            <w:pPr>
              <w:spacing/>
              <w:ind/>
            </w:pPr>
            <w:r>
              <w:rPr>
                <w:rFonts w:ascii="宋体" w:cs="SimSun" w:eastAsia="宋体" w:hAnsi="宋体"/>
                <w:sz w:val="21"/>
                <w:szCs w:val="22"/>
              </w:rPr>
              <w:t xml:space="preserve">[10] Su X, Zhou S, Xue R, et al. Does economic policy uncertainty raise corporate precautionary cash holdings? Evidence from China[J]. Accounting &amp; Finance, 2020, 60(5): 4567-4592.</w:t>
            </w:r>
          </w:p>
          <w:p>
            <w:pPr>
              <w:spacing/>
              <w:ind/>
            </w:pPr>
            <w:r>
              <w:rPr>
                <w:rFonts w:ascii="宋体" w:cs="SimSun" w:eastAsia="宋体" w:hAnsi="宋体"/>
                <w:sz w:val="21"/>
                <w:szCs w:val="22"/>
              </w:rPr>
              <w:t xml:space="preserve">[11] Kaplan S N, Zingales L. Do investment-cash flow sensitivities provide useful measures of financing constraints?[J]. Quarterly Journal of Economics, 1997, 112(1): 169-215.</w:t>
            </w:r>
          </w:p>
          <w:p>
            <w:pPr>
              <w:spacing/>
              <w:ind/>
            </w:pPr>
            <w:r>
              <w:rPr>
                <w:rFonts w:ascii="宋体" w:cs="SimSun" w:eastAsia="宋体" w:hAnsi="宋体"/>
                <w:sz w:val="21"/>
                <w:szCs w:val="22"/>
              </w:rPr>
              <w:t xml:space="preserve">[12] Whited T M, Wu G. Financial constraints risk[J]. Review of Financial Studies, 2006, 19(2): 531-559.</w:t>
            </w:r>
          </w:p>
          <w:p>
            <w:pPr>
              <w:spacing/>
              <w:ind/>
            </w:pPr>
            <w:r>
              <w:rPr>
                <w:rFonts w:ascii="宋体" w:cs="SimSun" w:eastAsia="宋体" w:hAnsi="宋体"/>
                <w:sz w:val="21"/>
                <w:szCs w:val="22"/>
              </w:rPr>
              <w:t xml:space="preserve">[13] Hadlock C J, Pierce J R. New evidence on measuring financial constraints: Moving beyond the KZ index[J]. Review of Financial Studies, 2010, 23(5): 1909-1940.</w:t>
            </w:r>
          </w:p>
          <w:p>
            <w:pPr>
              <w:spacing/>
              <w:ind/>
            </w:pPr>
            <w:r>
              <w:rPr>
                <w:rFonts w:ascii="宋体" w:cs="SimSun" w:eastAsia="宋体" w:hAnsi="宋体"/>
                <w:sz w:val="21"/>
                <w:szCs w:val="22"/>
              </w:rPr>
              <w:t xml:space="preserve">[14] Rosenbaum P R, Rubin D B. The central role of the propensity score in observational studies for causal effects[J]. Biometrika, 1983, 70(1): 41-55.</w:t>
            </w:r>
          </w:p>
          <w:p>
            <w:pPr>
              <w:spacing/>
              <w:ind/>
            </w:pPr>
            <w:r>
              <w:rPr>
                <w:rFonts w:ascii="宋体" w:cs="SimSun" w:eastAsia="宋体" w:hAnsi="宋体"/>
                <w:sz w:val="21"/>
                <w:szCs w:val="22"/>
              </w:rPr>
              <w:t xml:space="preserve">[15] Richardson S. Over-investment of free cash flow[J]. Review of Accounting Studies, 2006, 11(2-3): 159-189.</w:t>
            </w:r>
          </w:p>
          <w:p>
            <w:pPr>
              <w:spacing/>
              <w:ind/>
            </w:pPr>
            <w:r>
              <w:rPr>
                <w:rFonts w:ascii="宋体" w:cs="SimSun" w:eastAsia="宋体" w:hAnsi="宋体"/>
                <w:sz w:val="21"/>
                <w:szCs w:val="22"/>
              </w:rPr>
              <w:t xml:space="preserve">[16] Jiang G, Lee C M C, Yue H. Tunneling through intercorporate loans: The China experience[J]. Journal of Financial Economics, 2010, 98(1): 1-20.</w:t>
            </w:r>
          </w:p>
          <w:p>
            <w:pPr>
              <w:spacing/>
              <w:ind/>
            </w:pPr>
            <w:r>
              <w:rPr>
                <w:rFonts w:ascii="宋体" w:cs="SimSun" w:eastAsia="宋体" w:hAnsi="宋体"/>
                <w:sz w:val="21"/>
                <w:szCs w:val="22"/>
              </w:rPr>
              <w:t xml:space="preserve">[17] Goodman-Bacon A. Difference-in-differences with variation in treatment timing[J]. Journal of Econometrics, 2021, 225(2): 254-277.</w:t>
            </w:r>
          </w:p>
          <w:p>
            <w:pPr>
              <w:spacing/>
              <w:ind/>
            </w:pPr>
            <w:r>
              <w:rPr>
                <w:rFonts w:ascii="宋体" w:cs="SimSun" w:eastAsia="宋体" w:hAnsi="宋体"/>
                <w:sz w:val="21"/>
                <w:szCs w:val="22"/>
              </w:rPr>
              <w:t xml:space="preserve">[18] Callaway B, Sant'Anna P H C. Difference-in-differences with multiple time periods[J]. Journal of Econometrics, 2021, 225(2): 200-230.</w:t>
            </w:r>
          </w:p>
          <w:p>
            <w:pPr>
              <w:spacing/>
              <w:ind/>
            </w:pPr>
            <w:r>
              <w:rPr>
                <w:rFonts w:ascii="宋体" w:cs="SimSun" w:eastAsia="宋体" w:hAnsi="宋体"/>
                <w:sz w:val="21"/>
                <w:szCs w:val="22"/>
              </w:rPr>
              <w:t xml:space="preserve">[19] Lind J T, Mehlum H. With or without U? The appropriate test for a U-shaped relationship[J]. Oxford Bulletin of Economics and Statistics, 2010, 72(1): 109-118.</w:t>
            </w:r>
          </w:p>
          <w:p>
            <w:pPr>
              <w:spacing/>
              <w:ind/>
            </w:pPr>
            <w:r>
              <w:rPr>
                <w:rFonts w:ascii="宋体" w:cs="SimSun" w:eastAsia="宋体" w:hAnsi="宋体"/>
                <w:sz w:val="21"/>
                <w:szCs w:val="22"/>
              </w:rPr>
              <w:t xml:space="preserve">[20] Chan K, Chen H K, Hu S Y, Liu Y. Share pledges and margin call pressure[J]. Journal of Corporate Finance, 2018, 52: 96-117.</w:t>
            </w:r>
          </w:p>
          <w:p>
            <w:pPr>
              <w:spacing/>
              <w:ind/>
            </w:pPr>
            <w:r>
              <w:rPr>
                <w:rFonts w:ascii="宋体" w:cs="SimSun" w:eastAsia="宋体" w:hAnsi="宋体"/>
                <w:sz w:val="21"/>
                <w:szCs w:val="22"/>
              </w:rPr>
              <w:t xml:space="preserve">[21] Wang Y C, Chou R K. The impact of share pledging regulations on stock trading and firm valuation[J]. Journal of Banking &amp; Finance, 2018, 89: 1-13.</w:t>
            </w:r>
          </w:p>
          <w:p>
            <w:pPr>
              <w:spacing/>
              <w:ind/>
            </w:pPr>
            <w:r>
              <w:rPr>
                <w:rFonts w:ascii="宋体" w:cs="SimSun" w:eastAsia="宋体" w:hAnsi="宋体"/>
                <w:sz w:val="21"/>
                <w:szCs w:val="22"/>
              </w:rPr>
              <w:t xml:space="preserve">[22] Dou Y, Masulis R W, Zein J. Shareholder wealth consequences of insider pledging of company stock as collateral for personal loans[J]. Review of Financial Studies, 2019, 32(12): 4810-4854.</w:t>
            </w:r>
          </w:p>
          <w:p>
            <w:pPr>
              <w:spacing/>
              <w:ind/>
            </w:pPr>
            <w:r>
              <w:rPr>
                <w:rFonts w:ascii="宋体" w:cs="SimSun" w:eastAsia="宋体" w:hAnsi="宋体"/>
                <w:sz w:val="21"/>
                <w:szCs w:val="22"/>
              </w:rPr>
              <w:t xml:space="preserve">[23] Pang C, Wang Y. Stock pledge, risk of losing control and corporate innovation[J]. Journal of Corporate Finance, 2020, 60: 101534.</w:t>
            </w:r>
          </w:p>
          <w:p>
            <w:pPr>
              <w:spacing/>
              <w:ind/>
            </w:pPr>
            <w:r>
              <w:rPr>
                <w:rFonts w:ascii="宋体" w:cs="SimSun" w:eastAsia="宋体" w:hAnsi="宋体"/>
                <w:sz w:val="21"/>
                <w:szCs w:val="22"/>
              </w:rPr>
              <w:t xml:space="preserve">[24] Li W, Zhou J, Yan Z, Zhang H. Controlling shareholder share pledging and firm cash dividends[J]. Emerging Markets Review, 2020, 42: 100671.</w:t>
            </w:r>
          </w:p>
          <w:p>
            <w:pPr>
              <w:spacing/>
              <w:ind/>
            </w:pPr>
            <w:r>
              <w:rPr>
                <w:rFonts w:ascii="宋体" w:cs="SimSun" w:eastAsia="宋体" w:hAnsi="宋体"/>
                <w:sz w:val="21"/>
                <w:szCs w:val="22"/>
              </w:rPr>
              <w:t xml:space="preserve">[25] Su Z, Alexiou C. Impact of share pledging by controlling shareholders on firm value in the context of China's tightened regulatory reforms[J]. Accounting &amp; Finance, 2023, 63(S2): 2847-2874.</w:t>
            </w:r>
          </w:p>
          <w:p>
            <w:pPr>
              <w:spacing/>
              <w:ind/>
            </w:pPr>
            <w:r>
              <w:rPr>
                <w:rFonts w:ascii="宋体" w:cs="SimSun" w:eastAsia="宋体" w:hAnsi="宋体"/>
                <w:sz w:val="21"/>
                <w:szCs w:val="22"/>
              </w:rPr>
              <w:t xml:space="preserve">[26] Pan X, Qian M. Firm financing through insider stock pledges[J]. Review of Finance, 2024, 28(2): 621-659.</w:t>
            </w:r>
          </w:p>
          <w:p>
            <w:pPr>
              <w:spacing/>
              <w:ind/>
            </w:pPr>
            <w:r>
              <w:rPr>
                <w:rFonts w:ascii="宋体" w:cs="SimSun" w:eastAsia="宋体" w:hAnsi="宋体"/>
                <w:sz w:val="21"/>
                <w:szCs w:val="22"/>
              </w:rPr>
              <w:t xml:space="preserve">[27] 郝项超，梁琪．最终控制人股权质押损害公司价值么？[J]．会计研究，2009(7)：57-63．</w:t>
            </w:r>
          </w:p>
          <w:p>
            <w:pPr>
              <w:spacing/>
              <w:ind/>
            </w:pPr>
            <w:r>
              <w:rPr>
                <w:rFonts w:ascii="宋体" w:cs="SimSun" w:eastAsia="宋体" w:hAnsi="宋体"/>
                <w:sz w:val="21"/>
                <w:szCs w:val="22"/>
              </w:rPr>
              <w:t xml:space="preserve">[28] 王彦超．融资约束、现金持有与过度投资[J]．金融研究，2009(7)：121-133．</w:t>
            </w:r>
          </w:p>
          <w:p>
            <w:pPr>
              <w:spacing/>
              <w:ind/>
            </w:pPr>
            <w:r>
              <w:rPr>
                <w:rFonts w:ascii="宋体" w:cs="SimSun" w:eastAsia="宋体" w:hAnsi="宋体"/>
                <w:sz w:val="21"/>
                <w:szCs w:val="22"/>
              </w:rPr>
              <w:t xml:space="preserve">[29] 连玉君，彭方平，苏治．融资约束和流动性管理行为[J]．金融研究，2010(10)：158-171．</w:t>
            </w:r>
          </w:p>
          <w:p>
            <w:pPr>
              <w:spacing/>
              <w:ind/>
            </w:pPr>
            <w:r>
              <w:rPr>
                <w:rFonts w:ascii="宋体" w:cs="SimSun" w:eastAsia="宋体" w:hAnsi="宋体"/>
                <w:sz w:val="21"/>
                <w:szCs w:val="22"/>
              </w:rPr>
              <w:t xml:space="preserve">[30] 鞠晓生，卢荻，虞义华．融资约束、营运资本管理与企业创新可持续性[J]．经济研究，2013，48(1)：4-16．</w:t>
            </w:r>
          </w:p>
          <w:p>
            <w:pPr>
              <w:spacing/>
              <w:ind/>
            </w:pPr>
            <w:r>
              <w:rPr>
                <w:rFonts w:ascii="宋体" w:cs="SimSun" w:eastAsia="宋体" w:hAnsi="宋体"/>
                <w:sz w:val="21"/>
                <w:szCs w:val="22"/>
              </w:rPr>
              <w:t xml:space="preserve">[31] 郑国坚，林东杰，林斌．大股东股权质押、占款与企业价值[J]．管理科学学报，2014，17(9)：72-87．</w:t>
            </w:r>
          </w:p>
          <w:p>
            <w:pPr>
              <w:spacing/>
              <w:ind/>
            </w:pPr>
            <w:r>
              <w:rPr>
                <w:rFonts w:ascii="宋体" w:cs="SimSun" w:eastAsia="宋体" w:hAnsi="宋体"/>
                <w:sz w:val="21"/>
                <w:szCs w:val="22"/>
              </w:rPr>
              <w:t xml:space="preserve">[32] 李旎，郑国坚．市值管理动机下的控股股东股权质押融资与利益侵占[J]．会计研究，2015(5)：42-49．</w:t>
            </w:r>
          </w:p>
          <w:p>
            <w:pPr>
              <w:spacing/>
              <w:ind/>
            </w:pPr>
            <w:r>
              <w:rPr>
                <w:rFonts w:ascii="宋体" w:cs="SimSun" w:eastAsia="宋体" w:hAnsi="宋体"/>
                <w:sz w:val="21"/>
                <w:szCs w:val="22"/>
              </w:rPr>
              <w:t xml:space="preserve">[33] 温忠麟，侯杰泰，张雷．调节效应与中介效应的比较和应用[J]．心理学报，2005，37(2)：268-274．</w:t>
            </w:r>
          </w:p>
          <w:p>
            <w:pPr>
              <w:spacing/>
              <w:ind/>
            </w:pPr>
            <w:r>
              <w:rPr>
                <w:rFonts w:ascii="宋体" w:cs="SimSun" w:eastAsia="宋体" w:hAnsi="宋体"/>
                <w:sz w:val="21"/>
                <w:szCs w:val="22"/>
              </w:rPr>
              <w:t xml:space="preserve">[34] 谢德仁，郑登津，崔宸瑜．控股股东股权质押是潜在的“地雷”吗？——基于股价崩盘风险视角的研究[J]．管理世界，2016(5)：128-140．</w:t>
            </w:r>
          </w:p>
          <w:p>
            <w:pPr>
              <w:spacing/>
              <w:ind/>
            </w:pPr>
            <w:r>
              <w:rPr>
                <w:rFonts w:ascii="宋体" w:cs="SimSun" w:eastAsia="宋体" w:hAnsi="宋体"/>
                <w:sz w:val="21"/>
                <w:szCs w:val="22"/>
              </w:rPr>
              <w:t xml:space="preserve">[35] 谢德仁，廖珂．控股股东股权质押与上市公司真实盈余管理[J]．会计研究，2018(8)：21-27．</w:t>
            </w:r>
          </w:p>
          <w:p>
            <w:pPr>
              <w:spacing/>
              <w:ind/>
            </w:pPr>
            <w:r>
              <w:rPr>
                <w:rFonts w:ascii="宋体" w:cs="SimSun" w:eastAsia="宋体" w:hAnsi="宋体"/>
                <w:sz w:val="21"/>
                <w:szCs w:val="22"/>
              </w:rPr>
              <w:t xml:space="preserve">[36] 李常青，李宇坤，李茂良．控股股东股权质押与企业创新投入[J]．金融研究，2018(7)：143-157．</w:t>
            </w:r>
          </w:p>
          <w:p>
            <w:pPr>
              <w:spacing/>
              <w:ind/>
            </w:pPr>
            <w:r>
              <w:rPr>
                <w:rFonts w:ascii="宋体" w:cs="SimSun" w:eastAsia="宋体" w:hAnsi="宋体"/>
                <w:sz w:val="21"/>
                <w:szCs w:val="22"/>
              </w:rPr>
              <w:t xml:space="preserve">[37] 李常青，幸伟，李茂良．控股股东股权质押与现金持有水平——“掏空”还是“规避控制权转移风险”[J]．财贸经济，2018，39(4)：82-98．</w:t>
            </w:r>
          </w:p>
          <w:p>
            <w:pPr>
              <w:spacing/>
              <w:ind/>
            </w:pPr>
            <w:r>
              <w:rPr>
                <w:rFonts w:ascii="宋体" w:cs="SimSun" w:eastAsia="宋体" w:hAnsi="宋体"/>
                <w:sz w:val="21"/>
                <w:szCs w:val="22"/>
              </w:rPr>
              <w:t xml:space="preserve">[38] 王雄元，欧阳才越，史震阳．股权质押、控制权转移风险与税收规避[J]．经济研究，2018(1)：138-152．</w:t>
            </w:r>
          </w:p>
          <w:p>
            <w:pPr>
              <w:spacing/>
              <w:ind/>
            </w:pPr>
            <w:r>
              <w:rPr>
                <w:rFonts w:ascii="宋体" w:cs="SimSun" w:eastAsia="宋体" w:hAnsi="宋体"/>
                <w:sz w:val="21"/>
                <w:szCs w:val="22"/>
              </w:rPr>
              <w:t xml:space="preserve">[39] 廖珂，崔宸瑜，谢德仁．控股股东股权质押与上市公司股利政策选择[J]．金融研究，2018(4)：172-189．</w:t>
            </w:r>
          </w:p>
          <w:p>
            <w:pPr>
              <w:spacing/>
              <w:ind/>
            </w:pPr>
            <w:r>
              <w:rPr>
                <w:rFonts w:ascii="宋体" w:cs="SimSun" w:eastAsia="宋体" w:hAnsi="宋体"/>
                <w:sz w:val="21"/>
                <w:szCs w:val="22"/>
              </w:rPr>
              <w:t xml:space="preserve">[40] 唐玮，夏晓雪，姜付秀．控股股东股权质押与公司融资约束[J]．会计研究，2019(6)：51-57．</w:t>
            </w:r>
          </w:p>
          <w:p>
            <w:pPr>
              <w:spacing/>
              <w:ind/>
            </w:pPr>
            <w:r>
              <w:rPr>
                <w:rFonts w:ascii="宋体" w:cs="SimSun" w:eastAsia="宋体" w:hAnsi="宋体"/>
                <w:sz w:val="21"/>
                <w:szCs w:val="22"/>
              </w:rPr>
              <w:t xml:space="preserve">[41] 胡珺，彭远怀，宋献中，周林子．控股股东股权质押与策略性慈善捐赠——控制权转移风险的视角[J]．中国工业经济，2020(2)：174-198．</w:t>
            </w:r>
          </w:p>
          <w:p>
            <w:pPr>
              <w:spacing/>
              <w:ind/>
            </w:pPr>
            <w:r>
              <w:rPr>
                <w:rFonts w:ascii="宋体" w:cs="SimSun" w:eastAsia="宋体" w:hAnsi="宋体"/>
                <w:sz w:val="21"/>
                <w:szCs w:val="22"/>
              </w:rPr>
              <w:t xml:space="preserve">[42] 胡聪慧，朱菲菲，邱卉敏．股权质押、风险管理与大股东增持[J]．金融研究，2020(9)：190-206．</w:t>
            </w:r>
          </w:p>
          <w:p>
            <w:pPr>
              <w:spacing/>
              <w:ind/>
            </w:pPr>
            <w:r>
              <w:rPr>
                <w:rFonts w:ascii="宋体" w:cs="SimSun" w:eastAsia="宋体" w:hAnsi="宋体"/>
                <w:sz w:val="21"/>
                <w:szCs w:val="22"/>
              </w:rPr>
              <w:t xml:space="preserve">[43] 熊海芳，谭袁月，王志强．股权质押比例限制与股票市场稳定：基于“质押新规”的自然实验[J]．财贸经济，2020，41(7)：114-129．</w:t>
            </w:r>
          </w:p>
          <w:p>
            <w:pPr>
              <w:spacing/>
              <w:ind/>
            </w:pPr>
            <w:r>
              <w:rPr>
                <w:rFonts w:ascii="宋体" w:cs="SimSun" w:eastAsia="宋体" w:hAnsi="宋体"/>
                <w:sz w:val="21"/>
                <w:szCs w:val="22"/>
              </w:rPr>
              <w:t xml:space="preserve">[44] 史永东，宋明勇，李凤羽，甄红线．控股股东股权质押与企业债权人利益保护——来自中国债券市场的证据[J]．经济研究，2021，56(8)：109-126．</w:t>
            </w:r>
          </w:p>
          <w:p>
            <w:pPr>
              <w:spacing/>
              <w:ind/>
            </w:pPr>
            <w:r>
              <w:rPr>
                <w:rFonts w:ascii="宋体" w:cs="SimSun" w:eastAsia="宋体" w:hAnsi="宋体"/>
                <w:sz w:val="21"/>
                <w:szCs w:val="22"/>
              </w:rPr>
              <w:t xml:space="preserve">[45] 杜勇，眭鑫．控股股东股权质押与实体企业金融化——基于“掏空”与控制权转移的视角[J]．会计研究，2021(2)：102-119．</w:t>
            </w:r>
          </w:p>
          <w:p>
            <w:pPr>
              <w:spacing/>
              <w:ind/>
            </w:pPr>
            <w:r>
              <w:rPr>
                <w:rFonts w:ascii="宋体" w:cs="SimSun" w:eastAsia="宋体" w:hAnsi="宋体"/>
                <w:sz w:val="21"/>
                <w:szCs w:val="22"/>
              </w:rPr>
              <w:t xml:space="preserve">[46] 连玉君，刘畅．质押新规、股价崩盘风险与公司价值[J]．中山大学学报（社会科学版），2021，61(5)：182-196．</w:t>
            </w:r>
          </w:p>
          <w:p>
            <w:pPr>
              <w:spacing/>
              <w:ind/>
            </w:pPr>
            <w:r>
              <w:rPr>
                <w:rFonts w:ascii="宋体" w:cs="SimSun" w:eastAsia="宋体" w:hAnsi="宋体"/>
                <w:sz w:val="21"/>
                <w:szCs w:val="22"/>
              </w:rPr>
              <w:t xml:space="preserve">[47] 毛捷，管星华．地方政府纾困政策的效应研究：来自上市公司的证据[J]．经济研究，2022，57(9)：82-98．</w:t>
            </w:r>
          </w:p>
          <w:p>
            <w:pPr>
              <w:spacing/>
              <w:ind/>
            </w:pPr>
            <w:r>
              <w:rPr>
                <w:rFonts w:ascii="宋体" w:cs="SimSun" w:eastAsia="宋体" w:hAnsi="宋体"/>
                <w:sz w:val="21"/>
                <w:szCs w:val="22"/>
              </w:rPr>
              <w:t xml:space="preserve">[48] 何熙琼，刘昊，顾湘．“股权质押新规”能抑制上市公司控股股东的私利侵占行为吗[J]．会计研究，2023(6)：99-117．</w:t>
            </w:r>
          </w:p>
          <w:p>
            <w:pPr>
              <w:spacing/>
              <w:ind/>
            </w:pPr>
            <w:r>
              <w:rPr>
                <w:rFonts w:ascii="宋体" w:cs="SimSun" w:eastAsia="宋体" w:hAnsi="宋体"/>
                <w:sz w:val="21"/>
                <w:szCs w:val="22"/>
              </w:rPr>
              <w:t xml:space="preserve">[49] 杨国超，刘琪，王克敏．“存贷双高”企业的高现金持有之谜——基于现金操纵视角的分析与证据[J]．管理世界，2025(12)：163-178．</w:t>
            </w:r>
          </w:p>
          <w:p>
            <w:pPr>
              <w:spacing/>
              <w:ind/>
            </w:pPr>
            <w:r>
              <w:rPr>
                <w:rFonts w:ascii="宋体" w:cs="SimSun" w:eastAsia="宋体" w:hAnsi="宋体"/>
                <w:sz w:val="21"/>
                <w:szCs w:val="22"/>
              </w:rPr>
              <w:t xml:space="preserve">[50] 孙伟艳，肖琼．“股权质押新规”能抑制企业盈余管理行为吗？[J]．财会通讯，2026(3)：83-87，92．</w:t>
            </w:r>
          </w:p>
        </w:tc>
      </w:tr>
    </w:tbl>
    <w:p>
      <w:pPr>
        <w:pageBreakBefore/>
        <w:spacing w:line="300" w:lineRule="auto"/>
      </w:pPr>
      <w:r>
        <w:rPr>
          <w:rFonts w:ascii="宋体" w:cs="SimHei" w:eastAsia="宋体" w:hAnsi="宋体"/>
          <w:b/>
          <w:bCs/>
          <w:sz w:val="24"/>
          <w:szCs w:val="26"/>
        </w:rPr>
        <w:t xml:space="preserve">七、专家组对开题报告的提问及回答要点</w:t>
      </w:r>
    </w:p>
    <w:p>
      <w:pPr>
        <w:spacing w:after="120" w:line="360"/>
      </w:pPr>
      <w:r>
        <w:rPr>
          <w:rFonts w:ascii="SimSun" w:cs="SimSun" w:eastAsia="SimSun" w:hAnsi="SimSun"/>
          <w:sz w:val="22"/>
          <w:szCs w:val="22"/>
        </w:rPr>
        <w:t xml:space="preserve"> </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pageBreakBefore/>
        <w:spacing w:line="300" w:lineRule="auto"/>
      </w:pPr>
      <w:r>
        <w:rPr>
          <w:rFonts w:ascii="宋体" w:cs="SimHei" w:eastAsia="宋体" w:hAnsi="宋体"/>
          <w:b/>
          <w:bCs/>
          <w:sz w:val="24"/>
          <w:szCs w:val="26"/>
        </w:rPr>
        <w:t xml:space="preserve">八、对开题报告的意见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导师对开题报告的评语（对报告人开题所做的准备、开题报告中研究内容的理论和实践意义、可行性等做出客观评价，并明确是否同意开题）</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导师：　　　　　　　　　　　　　　年　月　日</w:t>
            </w:r>
          </w:p>
        </w:tc>
      </w:tr>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报告会结论（对报告人确定的论题的理论意义、可行性、是否同意撰写论文等）</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专家组长：　　　　　　　　　　　　年　月　日</w:t>
            </w:r>
          </w:p>
        </w:tc>
      </w:tr>
    </w:tbl>
    <w:p>
      <w:pPr>
        <w:spacing w:after="120" w:line="360"/>
      </w:pPr>
      <w:r>
        <w:rPr>
          <w:rFonts w:ascii="SimSun" w:cs="SimSun" w:eastAsia="SimSun" w:hAnsi="SimSun"/>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二级学科负责人意见：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签字：　　　　　年　月　日</w:t>
            </w:r>
          </w:p>
        </w:tc>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学院学位评定分委员会意见：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分委员会主席签章：　　　年　月　日</w:t>
            </w:r>
          </w:p>
        </w:tc>
      </w:tr>
      <w:tr>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一级学位点点长意见：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签字：　　　　　年　月　日</w:t>
            </w:r>
          </w:p>
        </w:tc>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研究生院意见：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研究生院负责人签章：　　年　月　日</w:t>
            </w:r>
          </w:p>
        </w:tc>
      </w:tr>
    </w:tbl>
    <w:sectPr>
      <w:footerReference w:type="default" r:id="rId11"/>
      <w:pgSz w:w="11906" w:h="16838" w:orient="portrait"/>
      <w:pgMar w:top="1417" w:right="1134" w:bottom="85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fldChar w:fldCharType="begin"/>
      <w:instrText xml:space="preserve"> PAGE   \* MERGEFORMAT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fb5574fdf4ca7a370c5152036e05a56a8d9dfc.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2026-09-01T04:17:02.733Z</dcterms:created>
  <dcterms:modified xsi:type="dcterms:W3CDTF">2026-09-01T04:17:02.733Z</dcterms:modified>
</cp:coreProperties>
</file>

<file path=docProps/custom.xml><?xml version="1.0" encoding="utf-8"?>
<Properties xmlns="http://schemas.openxmlformats.org/officeDocument/2006/custom-properties" xmlns:vt="http://schemas.openxmlformats.org/officeDocument/2006/docPropsVTypes"/>
</file>