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60"/>
        <w:jc w:val="center"/>
      </w:pPr>
      <w:r>
        <w:rPr>
          <w:rFonts w:ascii="Times New Roman" w:eastAsia="黑体" w:hAnsi="Times New Roman"/>
          <w:b/>
          <w:bCs/>
          <w:sz w:val="32"/>
          <w:szCs w:val="32"/>
        </w:rPr>
        <w:t xml:space="preserve">第五章（续）　渠道检验、边界条件与政策评估</w:t>
      </w:r>
    </w:p>
    <w:p>
      <w:pPr>
        <w:spacing w:after="200" w:line="320"/>
        <w:jc w:val="both"/>
      </w:pPr>
      <w:r>
        <w:rPr>
          <w:rFonts w:ascii="Times New Roman" w:eastAsia="宋体" w:hAnsi="Times New Roman"/>
          <w:sz w:val="21"/>
          <w:szCs w:val="21"/>
          <w:highlight w:val="yellow"/>
          <w:highlightCs w:val="yellow"/>
        </w:rPr>
        <w:t xml:space="preserve">【编写说明：本稿接开题报告第四部分（三）“初步回归结果”之后续写，按论文第五章编排，5.1、5.2对应开题报告中的描述性统计与表6、表7。本稿所有表格均为空表样，正文中黄色【】</w:t>
      </w:r>
      <w:r>
        <w:rPr>
          <w:rFonts w:ascii="Times New Roman" w:eastAsia="宋体" w:hAnsi="Times New Roman"/>
          <w:sz w:val="21"/>
          <w:szCs w:val="21"/>
        </w:rPr>
        <w:t xml:space="preserve">处须以实际估计结果替换；在数据到位、完成估计之前不得填入任何数值。“判定规则”均在看到结果之前写定，估计完成后按规则如实解读，不因结果调整规则。定稿前删除本说明。】</w:t>
      </w:r>
    </w:p>
    <w:p>
      <w:pPr>
        <w:pStyle w:val="Heading2"/>
        <w:spacing w:after="120" w:before="240" w:line="360"/>
        <w:jc w:val="left"/>
      </w:pPr>
      <w:r>
        <w:rPr>
          <w:rFonts w:ascii="Times New Roman" w:eastAsia="黑体" w:hAnsi="Times New Roman"/>
          <w:b/>
          <w:bCs/>
          <w:sz w:val="28"/>
          <w:szCs w:val="28"/>
        </w:rPr>
        <w:t xml:space="preserve">5.3　渠道检验：区分风险规避与掏空</w:t>
      </w:r>
    </w:p>
    <w:p>
      <w:pPr>
        <w:spacing w:line="360"/>
        <w:ind w:firstLine="480"/>
        <w:jc w:val="both"/>
      </w:pPr>
      <w:r>
        <w:rPr>
          <w:rFonts w:ascii="Times New Roman" w:eastAsia="宋体" w:hAnsi="Times New Roman"/>
          <w:sz w:val="24"/>
          <w:szCs w:val="24"/>
        </w:rPr>
        <w:t xml:space="preserve">表5-3的基准回归显示，大股东股权质押比例的系数显著为负，说明在样本平均意义上掏空渠道的力量强于风险规避渠道。但净效应只是两种力量的合力，系数为负并不能排除风险规避渠道同时存在。本节依据第三章提出的H2a与H2b，分别从平仓压力、控股股东资金占用与现金边际价值三个方面开展检验。三项检验所依据的预测在两种机制之间相互区分：平仓压力只在风险规避渠道下预测现金的正向响应，资金占用只在掏空渠道下预测上升，现金边际价值在两种机制下给出不同的符号预测。</w:t>
      </w:r>
    </w:p>
    <w:p>
      <w:pPr>
        <w:pStyle w:val="Heading3"/>
        <w:spacing w:after="120" w:before="240" w:line="360"/>
        <w:jc w:val="left"/>
      </w:pPr>
      <w:r>
        <w:rPr>
          <w:rFonts w:ascii="Times New Roman" w:eastAsia="黑体" w:hAnsi="Times New Roman"/>
          <w:b/>
          <w:bCs/>
          <w:sz w:val="24"/>
          <w:szCs w:val="24"/>
        </w:rPr>
        <w:t xml:space="preserve">5.3.1　平仓压力</w:t>
      </w:r>
    </w:p>
    <w:p>
      <w:pPr>
        <w:spacing w:line="360"/>
        <w:ind w:firstLine="480"/>
        <w:jc w:val="both"/>
      </w:pPr>
      <w:r>
        <w:rPr>
          <w:rFonts w:ascii="Times New Roman" w:eastAsia="宋体" w:hAnsi="Times New Roman"/>
          <w:sz w:val="24"/>
          <w:szCs w:val="24"/>
        </w:rPr>
        <w:t xml:space="preserve">平仓压力指标Pressure按如下方式构造。对第一大股东在t年末仍未解押的每一笔质押k，以质押起始日为基期，用考虑现金红利再投资的月个股回报率构造复权价格指数I</w:t>
      </w:r>
      <w:r>
        <w:rPr>
          <w:rFonts w:ascii="Times New Roman" w:eastAsia="宋体" w:hAnsi="Times New Roman"/>
          <w:sz w:val="24"/>
          <w:szCs w:val="24"/>
          <w:vertAlign w:val="subscript"/>
        </w:rPr>
        <w:t xml:space="preserve">k</w:t>
      </w:r>
      <w:r>
        <w:rPr>
          <w:rFonts w:ascii="Times New Roman" w:eastAsia="宋体" w:hAnsi="Times New Roman"/>
          <w:sz w:val="24"/>
          <w:szCs w:val="24"/>
        </w:rPr>
        <w:t xml:space="preserve">(m)。按开题报告设定的质押率40%、年利率10%与预警线160%，当质押存续τ年时，该笔质押的预警条件为：</w:t>
      </w:r>
    </w:p>
    <w:p>
      <w:pPr>
        <w:keepNext w:val="false"/>
        <w:tabs>
          <w:tab w:val="center" w:pos="4153"/>
          <w:tab w:val="right" w:pos="8306"/>
        </w:tabs>
        <w:spacing w:after="60" w:before="60" w:line="360"/>
      </w:pPr>
      <w:r>
        <w:t xml:space="preserve">	</w:t>
      </w:r>
      <w:r>
        <w:rPr>
          <w:rFonts w:ascii="Times New Roman" w:eastAsia="宋体" w:hAnsi="Times New Roman"/>
          <w:sz w:val="24"/>
          <w:szCs w:val="24"/>
        </w:rPr>
        <w:t xml:space="preserve">I</w:t>
      </w:r>
      <w:r>
        <w:rPr>
          <w:rFonts w:ascii="Times New Roman" w:eastAsia="宋体" w:hAnsi="Times New Roman"/>
          <w:sz w:val="24"/>
          <w:szCs w:val="24"/>
          <w:vertAlign w:val="subscript"/>
        </w:rPr>
        <w:t xml:space="preserve">k</w:t>
      </w:r>
      <w:r>
        <w:rPr>
          <w:rFonts w:ascii="Times New Roman" w:eastAsia="宋体" w:hAnsi="Times New Roman"/>
          <w:sz w:val="24"/>
          <w:szCs w:val="24"/>
        </w:rPr>
        <w:t xml:space="preserve">(m) / I</w:t>
      </w:r>
      <w:r>
        <w:rPr>
          <w:rFonts w:ascii="Times New Roman" w:eastAsia="宋体" w:hAnsi="Times New Roman"/>
          <w:sz w:val="24"/>
          <w:szCs w:val="24"/>
          <w:vertAlign w:val="subscript"/>
        </w:rPr>
        <w:t xml:space="preserve">k</w:t>
      </w:r>
      <w:r>
        <w:rPr>
          <w:rFonts w:ascii="Times New Roman" w:eastAsia="宋体" w:hAnsi="Times New Roman"/>
          <w:sz w:val="24"/>
          <w:szCs w:val="24"/>
        </w:rPr>
        <w:t xml:space="preserve">(0) ＜ 0.40 × 1.60 × (1 + 0.10τ) = 0.64(1 + 0.10τ)</w:t>
      </w:r>
      <w:r>
        <w:rPr>
          <w:rFonts w:ascii="Times New Roman" w:cs="Times New Roman" w:eastAsia="Times New Roman" w:hAnsi="Times New Roman"/>
          <w:sz w:val="24"/>
          <w:szCs w:val="24"/>
        </w:rPr>
        <w:t xml:space="preserve">	(5-1)</w:t>
      </w:r>
    </w:p>
    <w:p>
      <w:pPr>
        <w:spacing w:line="360"/>
        <w:ind w:firstLine="480"/>
        <w:jc w:val="both"/>
      </w:pPr>
      <w:r>
        <w:rPr>
          <w:rFonts w:ascii="Times New Roman" w:eastAsia="宋体" w:hAnsi="Times New Roman"/>
          <w:sz w:val="24"/>
          <w:szCs w:val="24"/>
        </w:rPr>
        <w:t xml:space="preserve">若t年内任一月末满足式(5-1)，则记该笔质押触及预警线。Pressure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为触及预警线的质押股数占第一大股东全部未解押质押股数的比例，当年无质押的公司取0。若质押明细表中“预警线”“平仓线”字段的披露较为完整，则以实际预警价格替代上述假设参数，作为稳健性口径。</w:t>
      </w:r>
    </w:p>
    <w:p>
      <w:pPr>
        <w:spacing w:line="360"/>
        <w:ind w:firstLine="480"/>
        <w:jc w:val="both"/>
      </w:pPr>
      <w:r>
        <w:rPr>
          <w:rFonts w:ascii="Times New Roman" w:eastAsia="宋体" w:hAnsi="Times New Roman"/>
          <w:sz w:val="24"/>
          <w:szCs w:val="24"/>
        </w:rPr>
        <w:t xml:space="preserve">平仓压力由股价下跌驱动，而股价下跌本身往往反映公司经营状况恶化，后者可能直接影响现金持有，从而混淆平仓压力的作用。为此，本文采取两项措施：一是在模型中控制当年股票回报率Ret；二是构造“市场驱动”的平仓压力Pressure_Mkt，即在式(5-1)中以综合A股市场指数（考虑现金红利再投资）自质押起始日以来的累计回报替代个股复权价格指数，衡量“若该股票随大盘同步涨跌，该笔质押是否会触及预警线”。Pressure_Mkt的变动主要来自质押时点与2008年、2015年、2018年等市场整体下跌的相对位置，与公司自身经营的相关性较弱，可视为平仓压力的外生变动来源。检验模型为：</w:t>
      </w:r>
    </w:p>
    <w:p>
      <w:pPr>
        <w:keepNext/>
        <w:tabs>
          <w:tab w:val="center" w:pos="4153"/>
          <w:tab w:val="right" w:pos="8306"/>
        </w:tabs>
        <w:spacing w:after="0" w:before="60" w:line="360"/>
      </w:pPr>
      <w:r>
        <w:t xml:space="preserve">	</w:t>
      </w:r>
      <w:r>
        <w:rPr>
          <w:rFonts w:ascii="Times New Roman" w:eastAsia="宋体" w:hAnsi="Times New Roman"/>
          <w:sz w:val="24"/>
          <w:szCs w:val="24"/>
        </w:rPr>
        <w:t xml:space="preserve">Cash</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×Pressure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3</w:t>
      </w:r>
      <w:r>
        <w:rPr>
          <w:rFonts w:ascii="Times New Roman" w:eastAsia="宋体" w:hAnsi="Times New Roman"/>
          <w:sz w:val="24"/>
          <w:szCs w:val="24"/>
        </w:rPr>
        <w:t xml:space="preserve">Pressure</w:t>
      </w:r>
      <w:r>
        <w:rPr>
          <w:rFonts w:ascii="Times New Roman" w:eastAsia="宋体" w:hAnsi="Times New Roman"/>
          <w:sz w:val="24"/>
          <w:szCs w:val="24"/>
          <w:vertAlign w:val="subscript"/>
        </w:rPr>
        <w:t xml:space="preserve">i,t</w:t>
      </w:r>
    </w:p>
    <w:p>
      <w:pPr>
        <w:keepNext w:val="false"/>
        <w:tabs>
          <w:tab w:val="center" w:pos="4153"/>
          <w:tab w:val="right" w:pos="8306"/>
        </w:tabs>
        <w:spacing w:after="60" w:before="0" w:line="360"/>
      </w:pPr>
      <w:r>
        <w:t xml:space="preserve">	</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4</w:t>
      </w:r>
      <w:r>
        <w:rPr>
          <w:rFonts w:ascii="Times New Roman" w:eastAsia="宋体" w:hAnsi="Times New Roman"/>
          <w:sz w:val="24"/>
          <w:szCs w:val="24"/>
        </w:rPr>
        <w:t xml:space="preserve">Ret</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5</w:t>
      </w:r>
      <w:r>
        <w:rPr>
          <w:rFonts w:ascii="Times New Roman" w:eastAsia="宋体" w:hAnsi="Times New Roman"/>
          <w:sz w:val="24"/>
          <w:szCs w:val="24"/>
        </w:rPr>
        <w:t xml:space="preserve">Controls</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(5-2)</w:t>
      </w:r>
    </w:p>
    <w:p>
      <w:pPr>
        <w:spacing w:line="360"/>
        <w:ind w:firstLine="480"/>
        <w:jc w:val="both"/>
      </w:pPr>
      <w:r>
        <w:rPr>
          <w:rFonts w:ascii="Times New Roman" w:eastAsia="宋体" w:hAnsi="Times New Roman"/>
          <w:sz w:val="24"/>
          <w:szCs w:val="24"/>
        </w:rPr>
        <w:t xml:space="preserve">判定规则：β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显著为正，说明平仓压力越大，质押对现金持有的负向影响越弱乃至转正，即大股东临近平仓线时推动公司储备现金，支持H2a；β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不显著或显著为负，则不支持风险规避渠道的存在。由于Pressure仅在质押公司中取非零值，Pledge×Pressure与Pressure可能高度相关，本文将报告二者的相关系数与方差膨胀因子。以Pressure_Mkt替代Pressure的结果作为主要依据，个股口径的结果作为对照。</w:t>
      </w:r>
    </w:p>
    <w:p>
      <w:pPr>
        <w:spacing w:line="360"/>
        <w:ind w:firstLine="480"/>
        <w:jc w:val="both"/>
      </w:pPr>
      <w:r>
        <w:rPr>
          <w:rFonts w:ascii="Times New Roman" w:eastAsia="宋体" w:hAnsi="Times New Roman"/>
          <w:sz w:val="24"/>
          <w:szCs w:val="24"/>
        </w:rPr>
        <w:t xml:space="preserve">估计结果见表5-5。</w:t>
      </w:r>
      <w:r>
        <w:rPr>
          <w:rFonts w:ascii="Times New Roman" w:eastAsia="宋体" w:hAnsi="Times New Roman"/>
          <w:sz w:val="24"/>
          <w:szCs w:val="24"/>
          <w:highlight w:val="yellow"/>
          <w:highlightCs w:val="yellow"/>
        </w:rPr>
        <w:t xml:space="preserve">【待估计后撰写：β</w:t>
      </w:r>
      <w:r>
        <w:rPr>
          <w:rFonts w:ascii="Times New Roman" w:eastAsia="宋体" w:hAnsi="Times New Roman"/>
          <w:sz w:val="24"/>
          <w:szCs w:val="24"/>
          <w:highlight w:val="yellow"/>
          <w:highlightCs w:val="yellow"/>
          <w:vertAlign w:val="subscript"/>
        </w:rPr>
        <w:t xml:space="preserve">2</w:t>
      </w:r>
      <w:r>
        <w:rPr>
          <w:rFonts w:ascii="Times New Roman" w:eastAsia="宋体" w:hAnsi="Times New Roman"/>
          <w:sz w:val="24"/>
          <w:szCs w:val="24"/>
          <w:highlight w:val="yellow"/>
          <w:highlightCs w:val="yellow"/>
        </w:rPr>
        <w:t xml:space="preserve">的符号、显著性与经济含义；个股口径与市场驱动口径是否一致。】</w:t>
      </w:r>
    </w:p>
    <w:p>
      <w:pPr>
        <w:keepNext/>
        <w:spacing w:after="80" w:before="200"/>
        <w:jc w:val="center"/>
      </w:pPr>
      <w:r>
        <w:rPr>
          <w:rFonts w:ascii="Times New Roman" w:eastAsia="黑体" w:hAnsi="Times New Roman"/>
          <w:b/>
          <w:bCs/>
          <w:sz w:val="21"/>
          <w:szCs w:val="21"/>
        </w:rPr>
        <w:t xml:space="preserve">表5-5　平仓压力与现金持有</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压力口径</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Pressure</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Pressure</w:t>
            </w:r>
            <w:r>
              <w:rPr>
                <w:rFonts w:ascii="Times New Roman" w:eastAsia="宋体" w:hAnsi="Times New Roman"/>
                <w:sz w:val="20"/>
                <w:szCs w:val="20"/>
                <w:vertAlign w:val="subscript"/>
              </w:rPr>
              <w:t xml:space="preserve">t−1</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Pressure_Mkt</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Pressure_Mkt</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Pledge×压力</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压力</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Ret</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行业×年度固定效应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注：被解释变量为Cash。列(2)以上一年度的平仓压力缓解同时性问题。括号内为公司层面聚类稳健标准误；***、**、*分别表示1%、5%、10%显著水平；连续变量经上下1%缩尾。空白单元格待估计后填写。</w:t>
      </w:r>
    </w:p>
    <w:p>
      <w:pPr>
        <w:pStyle w:val="Heading3"/>
        <w:spacing w:after="120" w:before="240" w:line="360"/>
        <w:jc w:val="left"/>
      </w:pPr>
      <w:r>
        <w:rPr>
          <w:rFonts w:ascii="Times New Roman" w:eastAsia="黑体" w:hAnsi="Times New Roman"/>
          <w:b/>
          <w:bCs/>
          <w:sz w:val="24"/>
          <w:szCs w:val="24"/>
        </w:rPr>
        <w:t xml:space="preserve">5.3.2　控股股东资金占用</w:t>
      </w:r>
    </w:p>
    <w:p>
      <w:pPr>
        <w:spacing w:line="360"/>
        <w:ind w:firstLine="480"/>
        <w:jc w:val="both"/>
      </w:pPr>
      <w:r>
        <w:rPr>
          <w:rFonts w:ascii="Times New Roman" w:eastAsia="宋体" w:hAnsi="Times New Roman"/>
          <w:sz w:val="24"/>
          <w:szCs w:val="24"/>
        </w:rPr>
        <w:t xml:space="preserve">若掏空渠道存在，质押比例上升应伴随控股股东对上市公司资金占用的增加。参照Jiang等（2010），以经行业年度均值调整的其他应收款与其他应付款之差OREC衡量资金净占用，检验模型为：</w:t>
      </w:r>
    </w:p>
    <w:p>
      <w:pPr>
        <w:keepNext w:val="false"/>
        <w:tabs>
          <w:tab w:val="center" w:pos="4153"/>
          <w:tab w:val="right" w:pos="8306"/>
        </w:tabs>
        <w:spacing w:after="60" w:before="60" w:line="360"/>
      </w:pPr>
      <w:r>
        <w:t xml:space="preserve">	</w:t>
      </w:r>
      <w:r>
        <w:rPr>
          <w:rFonts w:ascii="Times New Roman" w:eastAsia="宋体" w:hAnsi="Times New Roman"/>
          <w:sz w:val="24"/>
          <w:szCs w:val="24"/>
        </w:rPr>
        <w:t xml:space="preserve">OREC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α</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α</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α</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Controls</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(5-3)</w:t>
      </w:r>
    </w:p>
    <w:p>
      <w:pPr>
        <w:spacing w:line="360"/>
        <w:ind w:firstLine="480"/>
        <w:jc w:val="both"/>
      </w:pPr>
      <w:r>
        <w:rPr>
          <w:rFonts w:ascii="Times New Roman" w:eastAsia="宋体" w:hAnsi="Times New Roman"/>
          <w:sz w:val="24"/>
          <w:szCs w:val="24"/>
        </w:rPr>
        <w:t xml:space="preserve">判定规则：α</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显著为正，支持H2b中“质押伴随资金占用上升”的部分；不显著则不支持。其他应收款中混有正常经营往来，OREC是资金占用的含噪代理变量，因此本文同时报告未经行业调整的原始口径；若能获取上市公司年报“控股股东及其他关联方占用资金情况”所披露的非经营性资金占用金额，则以其作为更直接的口径。需要说明的是，Pledge对OREC、OREC对Cash两条路径都可能受共同因素影响，本文不采用逐步回归法推断中介效应，仅将α</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作为掏空渠道是否存在的直接证据。</w:t>
      </w:r>
    </w:p>
    <w:p>
      <w:pPr>
        <w:spacing w:line="360"/>
        <w:ind w:firstLine="480"/>
        <w:jc w:val="both"/>
      </w:pPr>
      <w:r>
        <w:rPr>
          <w:rFonts w:ascii="Times New Roman" w:eastAsia="宋体" w:hAnsi="Times New Roman"/>
          <w:sz w:val="24"/>
          <w:szCs w:val="24"/>
        </w:rPr>
        <w:t xml:space="preserve">估计结果见表5-6。</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表5-6　股权质押与控股股东资金占用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被解释变量</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OREC</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OREC（未调整）</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非经营性占用</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OREC</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行业×年度固定效应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注：列(3)视非经营性资金占用数据的可得性决定是否报告。括号内为公司层面聚类稳健标准误；***、**、*分别表示1%、5%、10%显著水平；连续变量经上下1%缩尾。空白单元格待估计后填写。</w:t>
      </w:r>
    </w:p>
    <w:p>
      <w:pPr>
        <w:pStyle w:val="Heading3"/>
        <w:spacing w:after="120" w:before="240" w:line="360"/>
        <w:jc w:val="left"/>
      </w:pPr>
      <w:r>
        <w:rPr>
          <w:rFonts w:ascii="Times New Roman" w:eastAsia="黑体" w:hAnsi="Times New Roman"/>
          <w:b/>
          <w:bCs/>
          <w:sz w:val="24"/>
          <w:szCs w:val="24"/>
        </w:rPr>
        <w:t xml:space="preserve">5.3.3　现金边际价值</w:t>
      </w:r>
    </w:p>
    <w:p>
      <w:pPr>
        <w:spacing w:line="360"/>
        <w:ind w:firstLine="480"/>
        <w:jc w:val="both"/>
      </w:pPr>
      <w:r>
        <w:rPr>
          <w:rFonts w:ascii="Times New Roman" w:eastAsia="宋体" w:hAnsi="Times New Roman"/>
          <w:sz w:val="24"/>
          <w:szCs w:val="24"/>
        </w:rPr>
        <w:t xml:space="preserve">参照Faulkender和Wang（2006），将模型(4)展开为：</w:t>
      </w:r>
    </w:p>
    <w:p>
      <w:pPr>
        <w:keepNext/>
        <w:tabs>
          <w:tab w:val="center" w:pos="4153"/>
          <w:tab w:val="right" w:pos="8306"/>
        </w:tabs>
        <w:spacing w:after="0" w:before="60" w:line="360"/>
      </w:pPr>
      <w:r>
        <w:t xml:space="preserve">	</w:t>
      </w:r>
      <w:r>
        <w:rPr>
          <w:rFonts w:ascii="Times New Roman" w:eastAsia="宋体" w:hAnsi="Times New Roman"/>
          <w:sz w:val="24"/>
          <w:szCs w:val="24"/>
        </w:rPr>
        <w:t xml:space="preserve">r</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R</w:t>
      </w:r>
      <w:r>
        <w:rPr>
          <w:rFonts w:ascii="Times New Roman" w:eastAsia="宋体" w:hAnsi="Times New Roman"/>
          <w:sz w:val="24"/>
          <w:szCs w:val="24"/>
          <w:vertAlign w:val="superscript"/>
        </w:rPr>
        <w:t xml:space="preserve">B</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ΔC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ΔC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3</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4</w:t>
      </w:r>
      <w:r>
        <w:rPr>
          <w:rFonts w:ascii="Times New Roman" w:eastAsia="宋体" w:hAnsi="Times New Roman"/>
          <w:sz w:val="24"/>
          <w:szCs w:val="24"/>
        </w:rPr>
        <w:t xml:space="preserve">ΔE</w:t>
      </w:r>
      <w:r>
        <w:rPr>
          <w:rFonts w:ascii="Times New Roman" w:eastAsia="宋体" w:hAnsi="Times New Roman"/>
          <w:sz w:val="24"/>
          <w:szCs w:val="24"/>
          <w:vertAlign w:val="subscript"/>
        </w:rPr>
        <w:t xml:space="preserve">i,t</w:t>
      </w:r>
    </w:p>
    <w:p>
      <w:pPr>
        <w:keepNext/>
        <w:tabs>
          <w:tab w:val="center" w:pos="4153"/>
          <w:tab w:val="right" w:pos="8306"/>
        </w:tabs>
        <w:spacing w:after="0" w:before="0" w:line="360"/>
      </w:pPr>
      <w:r>
        <w:t xml:space="preserve">	</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5</w:t>
      </w:r>
      <w:r>
        <w:rPr>
          <w:rFonts w:ascii="Times New Roman" w:eastAsia="宋体" w:hAnsi="Times New Roman"/>
          <w:sz w:val="24"/>
          <w:szCs w:val="24"/>
        </w:rPr>
        <w:t xml:space="preserve">ΔNA</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6</w:t>
      </w:r>
      <w:r>
        <w:rPr>
          <w:rFonts w:ascii="Times New Roman" w:eastAsia="宋体" w:hAnsi="Times New Roman"/>
          <w:sz w:val="24"/>
          <w:szCs w:val="24"/>
        </w:rPr>
        <w:t xml:space="preserve">ΔRD</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7</w:t>
      </w:r>
      <w:r>
        <w:rPr>
          <w:rFonts w:ascii="Times New Roman" w:eastAsia="宋体" w:hAnsi="Times New Roman"/>
          <w:sz w:val="24"/>
          <w:szCs w:val="24"/>
        </w:rPr>
        <w:t xml:space="preserve">ΔI</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8</w:t>
      </w:r>
      <w:r>
        <w:rPr>
          <w:rFonts w:ascii="Times New Roman" w:eastAsia="宋体" w:hAnsi="Times New Roman"/>
          <w:sz w:val="24"/>
          <w:szCs w:val="24"/>
        </w:rPr>
        <w:t xml:space="preserve">ΔD</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9</w:t>
      </w:r>
      <w:r>
        <w:rPr>
          <w:rFonts w:ascii="Times New Roman" w:eastAsia="宋体" w:hAnsi="Times New Roman"/>
          <w:sz w:val="24"/>
          <w:szCs w:val="24"/>
        </w:rPr>
        <w:t xml:space="preserve">C</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10</w:t>
      </w:r>
      <w:r>
        <w:rPr>
          <w:rFonts w:ascii="Times New Roman" w:eastAsia="宋体" w:hAnsi="Times New Roman"/>
          <w:sz w:val="24"/>
          <w:szCs w:val="24"/>
        </w:rPr>
        <w:t xml:space="preserve">L</w:t>
      </w:r>
      <w:r>
        <w:rPr>
          <w:rFonts w:ascii="Times New Roman" w:eastAsia="宋体" w:hAnsi="Times New Roman"/>
          <w:sz w:val="24"/>
          <w:szCs w:val="24"/>
          <w:vertAlign w:val="subscript"/>
        </w:rPr>
        <w:t xml:space="preserve">i,t</w:t>
      </w:r>
    </w:p>
    <w:p>
      <w:pPr>
        <w:keepNext w:val="false"/>
        <w:tabs>
          <w:tab w:val="center" w:pos="4153"/>
          <w:tab w:val="right" w:pos="8306"/>
        </w:tabs>
        <w:spacing w:after="60" w:before="0" w:line="360"/>
      </w:pPr>
      <w:r>
        <w:t xml:space="preserve">	</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11</w:t>
      </w:r>
      <w:r>
        <w:rPr>
          <w:rFonts w:ascii="Times New Roman" w:eastAsia="宋体" w:hAnsi="Times New Roman"/>
          <w:sz w:val="24"/>
          <w:szCs w:val="24"/>
        </w:rPr>
        <w:t xml:space="preserve">NF</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12</w:t>
      </w:r>
      <w:r>
        <w:rPr>
          <w:rFonts w:ascii="Times New Roman" w:eastAsia="宋体" w:hAnsi="Times New Roman"/>
          <w:sz w:val="24"/>
          <w:szCs w:val="24"/>
        </w:rPr>
        <w:t xml:space="preserve">C</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×ΔC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γ</w:t>
      </w:r>
      <w:r>
        <w:rPr>
          <w:rFonts w:ascii="Times New Roman" w:eastAsia="宋体" w:hAnsi="Times New Roman"/>
          <w:sz w:val="24"/>
          <w:szCs w:val="24"/>
          <w:vertAlign w:val="subscript"/>
        </w:rPr>
        <w:t xml:space="preserve">13</w:t>
      </w:r>
      <w:r>
        <w:rPr>
          <w:rFonts w:ascii="Times New Roman" w:eastAsia="宋体" w:hAnsi="Times New Roman"/>
          <w:sz w:val="24"/>
          <w:szCs w:val="24"/>
        </w:rPr>
        <w:t xml:space="preserve">L</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×ΔC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(5-4)</w:t>
      </w:r>
    </w:p>
    <w:p>
      <w:pPr>
        <w:spacing w:line="360"/>
        <w:ind w:firstLine="480"/>
        <w:jc w:val="both"/>
      </w:pPr>
      <w:r>
        <w:rPr>
          <w:rFonts w:ascii="Times New Roman" w:eastAsia="宋体" w:hAnsi="Times New Roman"/>
          <w:sz w:val="24"/>
          <w:szCs w:val="24"/>
        </w:rPr>
        <w:t xml:space="preserve">其中，r</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为考虑现金红利再投资的股票年度回报率；R</w:t>
      </w:r>
      <w:r>
        <w:rPr>
          <w:rFonts w:ascii="Times New Roman" w:eastAsia="宋体" w:hAnsi="Times New Roman"/>
          <w:sz w:val="24"/>
          <w:szCs w:val="24"/>
          <w:vertAlign w:val="superscript"/>
        </w:rPr>
        <w:t xml:space="preserve">B</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为基准组合收益，于每年年初按规模与账面市值比将股票分为5×5共25个组合，取公司所属组合的市值加权收益；ΔX表示变量X由t−1年至t年的变动。C为现金及现金等价物，E为扣除非经常性损益前的息前利润，NA为扣除现金后的总资产，RD为研发支出（缺失记为0），I为利息费用，D为普通股现金股利，L为市场杠杆率（总负债/(总负债＋股权市值)），NF为净融资额（股权融资净额与债务融资净额之和）；除L外，各变量均除以t−1年末股权市值M</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w:t>
      </w:r>
    </w:p>
    <w:p>
      <w:pPr>
        <w:spacing w:line="360"/>
        <w:ind w:firstLine="480"/>
        <w:jc w:val="both"/>
      </w:pPr>
      <w:r>
        <w:rPr>
          <w:rFonts w:ascii="Times New Roman" w:eastAsia="宋体" w:hAnsi="Times New Roman"/>
          <w:sz w:val="24"/>
          <w:szCs w:val="24"/>
        </w:rPr>
        <w:t xml:space="preserve">判定规则：γ</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显著为负，说明市场对高质押公司新增现金给予折价，与现金面临被掏空风险的预测一致，支持H2b；γ</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不显著或为正，与H2a的预测一致。需要注意的是，“不显著”只是未能拒绝原假设，并不等于证明边际价值未下降，因此本文同时报告γ</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的95%置信区间，并据区间宽度判断该结论的信息量。</w:t>
      </w:r>
    </w:p>
    <w:p>
      <w:pPr>
        <w:spacing w:line="360"/>
        <w:ind w:firstLine="480"/>
        <w:jc w:val="both"/>
      </w:pPr>
      <w:r>
        <w:rPr>
          <w:rFonts w:ascii="Times New Roman" w:eastAsia="宋体" w:hAnsi="Times New Roman"/>
          <w:sz w:val="24"/>
          <w:szCs w:val="24"/>
        </w:rPr>
        <w:t xml:space="preserve">估计结果见表5-7。</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表5-7　股权质押与现金边际价值</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993"/>
        <w:gridCol w:w="1993"/>
        <w:gridCol w:w="1994"/>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993"/>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w:t>
            </w:r>
          </w:p>
        </w:tc>
        <w:tc>
          <w:tcPr>
            <w:tcW w:type="dxa" w:w="1993"/>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w:t>
            </w:r>
          </w:p>
        </w:tc>
        <w:tc>
          <w:tcPr>
            <w:tcW w:type="dxa" w:w="1994"/>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基准收益/质押口径</w:t>
            </w:r>
          </w:p>
        </w:tc>
        <w:tc>
          <w:tcPr>
            <w:tcW w:type="dxa" w:w="1993"/>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25组合/Pledge</w:t>
            </w:r>
          </w:p>
        </w:tc>
        <w:tc>
          <w:tcPr>
            <w:tcW w:type="dxa" w:w="1993"/>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三因子/Pledge</w:t>
            </w:r>
          </w:p>
        </w:tc>
        <w:tc>
          <w:tcPr>
            <w:tcW w:type="dxa" w:w="1994"/>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25组合/Pledge_Dum</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ΔC</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ΔC×质押</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质押</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γ</w:t>
            </w:r>
            <w:r>
              <w:rPr>
                <w:rFonts w:ascii="Times New Roman" w:eastAsia="宋体" w:hAnsi="Times New Roman"/>
                <w:sz w:val="20"/>
                <w:szCs w:val="20"/>
                <w:vertAlign w:val="subscript"/>
              </w:rPr>
              <w:t xml:space="preserve">2</w:t>
            </w:r>
            <w:r>
              <w:rPr>
                <w:rFonts w:ascii="Times New Roman" w:eastAsia="宋体" w:hAnsi="Times New Roman"/>
                <w:sz w:val="20"/>
                <w:szCs w:val="20"/>
              </w:rPr>
              <w:t xml:space="preserve">的95%置信区间</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Faulkender-Wang控制变量</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注：被解释变量为股票年度超额收益。括号内为公司层面聚类稳健标准误；***、**、*分别表示1%、5%、10%显著水平；连续变量经上下1%缩尾。空白单元格待估计后填写。</w:t>
      </w:r>
    </w:p>
    <w:p>
      <w:pPr>
        <w:pStyle w:val="Heading3"/>
        <w:spacing w:after="120" w:before="240" w:line="360"/>
        <w:jc w:val="left"/>
      </w:pPr>
      <w:r>
        <w:rPr>
          <w:rFonts w:ascii="Times New Roman" w:eastAsia="黑体" w:hAnsi="Times New Roman"/>
          <w:b/>
          <w:bCs/>
          <w:sz w:val="24"/>
          <w:szCs w:val="24"/>
        </w:rPr>
        <w:t xml:space="preserve">5.3.4　渠道检验小结</w:t>
      </w:r>
    </w:p>
    <w:p>
      <w:pPr>
        <w:spacing w:line="360"/>
        <w:ind w:firstLine="480"/>
        <w:jc w:val="both"/>
      </w:pPr>
      <w:r>
        <w:rPr>
          <w:rFonts w:ascii="Times New Roman" w:eastAsia="宋体" w:hAnsi="Times New Roman"/>
          <w:sz w:val="24"/>
          <w:szCs w:val="24"/>
        </w:rPr>
        <w:t xml:space="preserve">三项检验的结果按以下组合解读：若β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＞0、α</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＞0且γ</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＜0同时成立，说明两种机制并存，而基准回归中的负向净效应反映掏空渠道占优；若仅α</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＞0且γ</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＜0成立，说明负向效应主要来自掏空；若三项均不显著，则基准回归的负向关系难以归因于第三章所述的任一机制，需要从上市后募集资金的自然消耗等其他角度寻找解释（见5.8.3）。</w:t>
      </w:r>
      <w:r>
        <w:rPr>
          <w:rFonts w:ascii="Times New Roman" w:eastAsia="宋体" w:hAnsi="Times New Roman"/>
          <w:sz w:val="24"/>
          <w:szCs w:val="24"/>
          <w:highlight w:val="yellow"/>
          <w:highlightCs w:val="yellow"/>
        </w:rPr>
        <w:t xml:space="preserve">【待估计后按实际组合撰写，不得仅报告支持预设结论的部分。】</w:t>
      </w:r>
    </w:p>
    <w:p>
      <w:pPr>
        <w:pStyle w:val="Heading2"/>
        <w:spacing w:after="120" w:before="240" w:line="360"/>
        <w:jc w:val="left"/>
      </w:pPr>
      <w:r>
        <w:rPr>
          <w:rFonts w:ascii="Times New Roman" w:eastAsia="黑体" w:hAnsi="Times New Roman"/>
          <w:b/>
          <w:bCs/>
          <w:sz w:val="28"/>
          <w:szCs w:val="28"/>
        </w:rPr>
        <w:t xml:space="preserve">5.4　边界条件检验</w:t>
      </w:r>
    </w:p>
    <w:p>
      <w:pPr>
        <w:pStyle w:val="Heading3"/>
        <w:spacing w:after="120" w:before="240" w:line="360"/>
        <w:jc w:val="left"/>
      </w:pPr>
      <w:r>
        <w:rPr>
          <w:rFonts w:ascii="Times New Roman" w:eastAsia="黑体" w:hAnsi="Times New Roman"/>
          <w:b/>
          <w:bCs/>
          <w:sz w:val="24"/>
          <w:szCs w:val="24"/>
        </w:rPr>
        <w:t xml:space="preserve">5.4.1　融资约束（H3）</w:t>
      </w:r>
    </w:p>
    <w:p>
      <w:pPr>
        <w:spacing w:line="360"/>
        <w:ind w:firstLine="480"/>
        <w:jc w:val="both"/>
      </w:pPr>
      <w:r>
        <w:rPr>
          <w:rFonts w:ascii="Times New Roman" w:eastAsia="宋体" w:hAnsi="Times New Roman"/>
          <w:sz w:val="24"/>
          <w:szCs w:val="24"/>
        </w:rPr>
        <w:t xml:space="preserve">按模型(2)，以滞后一期SA指数高于当年中位数定义HighFC。这里需要特别处理一个问题：SA指数完全由企业规模与上市年限构成，而初步结果显示负向关系主要集中在上市时间较短的公司，因此Pledge×HighFC可能只是在重复捕捉上市年限的作用，而非融资约束本身。为此，本文在模型(2)的基础上加入质押与中心化的上市年限、企业规模的交乘项：</w:t>
      </w:r>
    </w:p>
    <w:p>
      <w:pPr>
        <w:keepNext/>
        <w:tabs>
          <w:tab w:val="center" w:pos="4153"/>
          <w:tab w:val="right" w:pos="8306"/>
        </w:tabs>
        <w:spacing w:after="0" w:before="60" w:line="360"/>
      </w:pPr>
      <w:r>
        <w:t xml:space="preserve">	</w:t>
      </w:r>
      <w:r>
        <w:rPr>
          <w:rFonts w:ascii="Times New Roman" w:eastAsia="宋体" w:hAnsi="Times New Roman"/>
          <w:sz w:val="24"/>
          <w:szCs w:val="24"/>
        </w:rPr>
        <w:t xml:space="preserve">Cash</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×HighFC</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3</w:t>
      </w:r>
      <w:r>
        <w:rPr>
          <w:rFonts w:ascii="Times New Roman" w:eastAsia="宋体" w:hAnsi="Times New Roman"/>
          <w:sz w:val="24"/>
          <w:szCs w:val="24"/>
        </w:rPr>
        <w:t xml:space="preserve">HighFC</w:t>
      </w:r>
      <w:r>
        <w:rPr>
          <w:rFonts w:ascii="Times New Roman" w:eastAsia="宋体" w:hAnsi="Times New Roman"/>
          <w:sz w:val="24"/>
          <w:szCs w:val="24"/>
          <w:vertAlign w:val="subscript"/>
        </w:rPr>
        <w:t xml:space="preserve">i,t−1</w:t>
      </w:r>
    </w:p>
    <w:p>
      <w:pPr>
        <w:keepNext w:val="false"/>
        <w:tabs>
          <w:tab w:val="center" w:pos="4153"/>
          <w:tab w:val="right" w:pos="8306"/>
        </w:tabs>
        <w:spacing w:after="60" w:before="0" w:line="360"/>
      </w:pPr>
      <w:r>
        <w:t xml:space="preserve">	</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4</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×Age</w:t>
      </w:r>
      <w:r>
        <w:rPr>
          <w:rFonts w:ascii="Times New Roman" w:eastAsia="宋体" w:hAnsi="Times New Roman"/>
          <w:sz w:val="24"/>
          <w:szCs w:val="24"/>
          <w:vertAlign w:val="superscript"/>
        </w:rPr>
        <w:t xml:space="preserve">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5</w:t>
      </w:r>
      <w:r>
        <w:rPr>
          <w:rFonts w:ascii="Times New Roman" w:eastAsia="宋体" w:hAnsi="Times New Roman"/>
          <w:sz w:val="24"/>
          <w:szCs w:val="24"/>
        </w:rPr>
        <w:t xml:space="preserve">Pledge</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×Size</w:t>
      </w:r>
      <w:r>
        <w:rPr>
          <w:rFonts w:ascii="Times New Roman" w:eastAsia="宋体" w:hAnsi="Times New Roman"/>
          <w:sz w:val="24"/>
          <w:szCs w:val="24"/>
          <w:vertAlign w:val="superscript"/>
        </w:rPr>
        <w:t xml:space="preserve">c</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β</w:t>
      </w:r>
      <w:r>
        <w:rPr>
          <w:rFonts w:ascii="Times New Roman" w:eastAsia="宋体" w:hAnsi="Times New Roman"/>
          <w:sz w:val="24"/>
          <w:szCs w:val="24"/>
          <w:vertAlign w:val="subscript"/>
        </w:rPr>
        <w:t xml:space="preserve">6</w:t>
      </w:r>
      <w:r>
        <w:rPr>
          <w:rFonts w:ascii="Times New Roman" w:eastAsia="宋体" w:hAnsi="Times New Roman"/>
          <w:sz w:val="24"/>
          <w:szCs w:val="24"/>
        </w:rPr>
        <w:t xml:space="preserve">Controls</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(5-5)</w:t>
      </w:r>
    </w:p>
    <w:p>
      <w:pPr>
        <w:spacing w:line="360"/>
        <w:ind w:firstLine="480"/>
        <w:jc w:val="both"/>
      </w:pPr>
      <w:r>
        <w:rPr>
          <w:rFonts w:ascii="Times New Roman" w:eastAsia="宋体" w:hAnsi="Times New Roman"/>
          <w:sz w:val="24"/>
          <w:szCs w:val="24"/>
        </w:rPr>
        <w:t xml:space="preserve">判定规则：β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与β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同号且显著（在负向基准效应下即β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显著为负），支持H3；若β</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在加入Pledge×Age</w:t>
      </w:r>
      <w:r>
        <w:rPr>
          <w:rFonts w:ascii="Times New Roman" w:eastAsia="宋体" w:hAnsi="Times New Roman"/>
          <w:sz w:val="24"/>
          <w:szCs w:val="24"/>
          <w:vertAlign w:val="superscript"/>
        </w:rPr>
        <w:t xml:space="preserve">c</w:t>
      </w:r>
      <w:r>
        <w:rPr>
          <w:rFonts w:ascii="Times New Roman" w:eastAsia="宋体" w:hAnsi="Times New Roman"/>
          <w:sz w:val="24"/>
          <w:szCs w:val="24"/>
        </w:rPr>
        <w:t xml:space="preserve">与Pledge×Size</w:t>
      </w:r>
      <w:r>
        <w:rPr>
          <w:rFonts w:ascii="Times New Roman" w:eastAsia="宋体" w:hAnsi="Times New Roman"/>
          <w:sz w:val="24"/>
          <w:szCs w:val="24"/>
          <w:vertAlign w:val="superscript"/>
        </w:rPr>
        <w:t xml:space="preserve">c</w:t>
      </w:r>
      <w:r>
        <w:rPr>
          <w:rFonts w:ascii="Times New Roman" w:eastAsia="宋体" w:hAnsi="Times New Roman"/>
          <w:sz w:val="24"/>
          <w:szCs w:val="24"/>
        </w:rPr>
        <w:t xml:space="preserve">后不再显著，则说明所谓融资约束的调节作用主要来自上市年限或规模，H3不成立。由于KZ指数、WW指数的构造不直接依赖上市年限，以其分组的结果作为重要的交叉验证。组间系数差异以全交互模型中交乘项的显著性检验，不以两组系数“一个显著、一个不显著”作为差异存在的依据。</w:t>
      </w:r>
    </w:p>
    <w:p>
      <w:pPr>
        <w:spacing w:line="360"/>
        <w:ind w:firstLine="480"/>
        <w:jc w:val="both"/>
      </w:pPr>
      <w:r>
        <w:rPr>
          <w:rFonts w:ascii="Times New Roman" w:eastAsia="宋体" w:hAnsi="Times New Roman"/>
          <w:sz w:val="24"/>
          <w:szCs w:val="24"/>
        </w:rPr>
        <w:t xml:space="preserve">估计结果见表5-8。</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表5-8　融资约束的边界作用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融资约束口径</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SA</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SA</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KZ</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WW</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Pledge×HighFC</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HighFC</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Pledge×Age</w:t>
            </w:r>
            <w:r>
              <w:rPr>
                <w:rFonts w:ascii="Times New Roman" w:eastAsia="宋体" w:hAnsi="Times New Roman"/>
                <w:sz w:val="20"/>
                <w:szCs w:val="20"/>
                <w:vertAlign w:val="superscript"/>
              </w:rPr>
              <w:t xml:space="preserve">c</w:t>
            </w:r>
            <w:r>
              <w:rPr>
                <w:rFonts w:ascii="Times New Roman" w:eastAsia="宋体" w:hAnsi="Times New Roman"/>
                <w:sz w:val="20"/>
                <w:szCs w:val="20"/>
              </w:rPr>
              <w:t xml:space="preserve">、Pledge×Size</w:t>
            </w:r>
            <w:r>
              <w:rPr>
                <w:rFonts w:ascii="Times New Roman" w:eastAsia="宋体" w:hAnsi="Times New Roman"/>
                <w:sz w:val="20"/>
                <w:szCs w:val="20"/>
                <w:vertAlign w:val="superscript"/>
              </w:rPr>
              <w:t xml:space="preserve">c</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注：被解释变量为Cash；HighFC为滞后一期融资约束指标高于当年中位数的虚拟变量。括号内为公司层面聚类稳健标准误；***、**、*分别表示1%、5%、10%显著水平；连续变量经上下1%缩尾。空白单元格待估计后填写。</w:t>
      </w:r>
    </w:p>
    <w:p>
      <w:pPr>
        <w:pStyle w:val="Heading3"/>
        <w:spacing w:after="120" w:before="240" w:line="360"/>
        <w:jc w:val="left"/>
      </w:pPr>
      <w:r>
        <w:rPr>
          <w:rFonts w:ascii="Times New Roman" w:eastAsia="黑体" w:hAnsi="Times New Roman"/>
          <w:b/>
          <w:bCs/>
          <w:sz w:val="24"/>
          <w:szCs w:val="24"/>
        </w:rPr>
        <w:t xml:space="preserve">5.4.2　产权性质（H4）</w:t>
      </w:r>
    </w:p>
    <w:p>
      <w:pPr>
        <w:spacing w:line="360"/>
        <w:ind w:firstLine="480"/>
        <w:jc w:val="both"/>
      </w:pPr>
      <w:r>
        <w:rPr>
          <w:rFonts w:ascii="Times New Roman" w:eastAsia="宋体" w:hAnsi="Times New Roman"/>
          <w:sz w:val="24"/>
          <w:szCs w:val="24"/>
        </w:rPr>
        <w:t xml:space="preserve">产权性质在多数公司中不随时间变化，其主效应被公司固定效应吸收，但Pledge×SOE的系数仍可识别。本文同时报告交乘项回归与分组回归，并按开题报告的计划，先报告两组的质押分布（表5-9），以判断国有企业组的组内变异是否足以支撑有效估计。</w:t>
      </w:r>
    </w:p>
    <w:p>
      <w:pPr>
        <w:spacing w:line="360"/>
        <w:ind w:firstLine="480"/>
        <w:jc w:val="both"/>
      </w:pPr>
      <w:r>
        <w:rPr>
          <w:rFonts w:ascii="Times New Roman" w:eastAsia="宋体" w:hAnsi="Times New Roman"/>
          <w:sz w:val="24"/>
          <w:szCs w:val="24"/>
        </w:rPr>
        <w:t xml:space="preserve">判定规则：Pledge×SOE的系数显著且与β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符号相反（即国有企业组的效应绝对值更小），支持H4。若国有企业组质押比例的组内标准差过小，则其组内系数不显著不能解读为效应不存在，本文将如实说明。</w:t>
      </w:r>
    </w:p>
    <w:p>
      <w:pPr>
        <w:spacing w:line="360"/>
        <w:ind w:firstLine="480"/>
        <w:jc w:val="both"/>
      </w:pPr>
      <w:r>
        <w:rPr>
          <w:rFonts w:ascii="Times New Roman" w:eastAsia="宋体" w:hAnsi="Times New Roman"/>
          <w:sz w:val="24"/>
          <w:szCs w:val="24"/>
        </w:rPr>
        <w:t xml:space="preserve">估计结果见表5-9、表5-10。</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表5-9　按产权性质分组的质押分布</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1052"/>
        <w:gridCol w:w="1052"/>
        <w:gridCol w:w="1052"/>
        <w:gridCol w:w="1052"/>
        <w:gridCol w:w="1052"/>
        <w:gridCol w:w="1053"/>
      </w:tblGrid>
      <w:tr>
        <w:trPr>
          <w:cantSplit/>
        </w:trPr>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组别</w:t>
            </w:r>
          </w:p>
        </w:tc>
        <w:tc>
          <w:tcPr>
            <w:tcW w:type="dxa" w:w="105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观测值</w:t>
            </w:r>
          </w:p>
        </w:tc>
        <w:tc>
          <w:tcPr>
            <w:tcW w:type="dxa" w:w="105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存在质押的比例</w:t>
            </w:r>
          </w:p>
        </w:tc>
        <w:tc>
          <w:tcPr>
            <w:tcW w:type="dxa" w:w="105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Pledge均值</w:t>
            </w:r>
          </w:p>
        </w:tc>
        <w:tc>
          <w:tcPr>
            <w:tcW w:type="dxa" w:w="105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Pledge组内标准差</w:t>
            </w:r>
          </w:p>
        </w:tc>
        <w:tc>
          <w:tcPr>
            <w:tcW w:type="dxa" w:w="105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P75</w:t>
            </w:r>
          </w:p>
        </w:tc>
        <w:tc>
          <w:tcPr>
            <w:tcW w:type="dxa" w:w="105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P90</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国有企业</w:t>
            </w:r>
          </w:p>
        </w:tc>
        <w:tc>
          <w:tcPr>
            <w:tcW w:type="dxa" w:w="10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0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0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0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05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05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民营企业</w:t>
            </w:r>
          </w:p>
        </w:tc>
        <w:tc>
          <w:tcPr>
            <w:tcW w:type="dxa" w:w="105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05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05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05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05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05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注：“组内标准差”为各公司Pledge减去其公司均值后的标准差，反映固定效应模型可利用的变异。</w:t>
      </w:r>
    </w:p>
    <w:p>
      <w:pPr>
        <w:keepNext/>
        <w:spacing w:after="80" w:before="200"/>
        <w:jc w:val="center"/>
      </w:pPr>
      <w:r>
        <w:rPr>
          <w:rFonts w:ascii="Times New Roman" w:eastAsia="黑体" w:hAnsi="Times New Roman"/>
          <w:b/>
          <w:bCs/>
          <w:sz w:val="21"/>
          <w:szCs w:val="21"/>
        </w:rPr>
        <w:t xml:space="preserve">表5-10　产权性质的边界作用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993"/>
        <w:gridCol w:w="1993"/>
        <w:gridCol w:w="1994"/>
      </w:tblGrid>
      <w:tr>
        <w:trPr>
          <w:cantSplit/>
        </w:trPr>
        <w:tc>
          <w:tcPr>
            <w:tcW w:type="dxa" w:w="232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 全样本</w:t>
            </w:r>
          </w:p>
        </w:tc>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 民营企业</w:t>
            </w:r>
          </w:p>
        </w:tc>
        <w:tc>
          <w:tcPr>
            <w:tcW w:type="dxa" w:w="1994"/>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 国有企业</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Pledge×SOE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注：被解释变量为Cash；列(1)中Pledge×SOE的系数即为两组效应差异的检验。括号内为公司层面聚类稳健标准误；***、**、*分别表示1%、5%、10%显著水平；连续变量经上下1%缩尾。空白单元格待估计后填写。</w:t>
      </w:r>
    </w:p>
    <w:p>
      <w:pPr>
        <w:pStyle w:val="Heading2"/>
        <w:spacing w:after="120" w:before="240" w:line="360"/>
        <w:jc w:val="left"/>
      </w:pPr>
      <w:r>
        <w:rPr>
          <w:rFonts w:ascii="Times New Roman" w:eastAsia="黑体" w:hAnsi="Times New Roman"/>
          <w:b/>
          <w:bCs/>
          <w:sz w:val="28"/>
          <w:szCs w:val="28"/>
        </w:rPr>
        <w:t xml:space="preserve">5.5　政策评估：2018年股票质押新规</w:t>
      </w:r>
    </w:p>
    <w:p>
      <w:pPr>
        <w:pStyle w:val="Heading3"/>
        <w:spacing w:after="120" w:before="240" w:line="360"/>
        <w:jc w:val="left"/>
      </w:pPr>
      <w:r>
        <w:rPr>
          <w:rFonts w:ascii="Times New Roman" w:eastAsia="黑体" w:hAnsi="Times New Roman"/>
          <w:b/>
          <w:bCs/>
          <w:sz w:val="24"/>
          <w:szCs w:val="24"/>
        </w:rPr>
        <w:t xml:space="preserve">5.5.1　样本与处理强度</w:t>
      </w:r>
    </w:p>
    <w:p>
      <w:pPr>
        <w:spacing w:line="360"/>
        <w:ind w:firstLine="480"/>
        <w:jc w:val="both"/>
      </w:pPr>
      <w:r>
        <w:rPr>
          <w:rFonts w:ascii="Times New Roman" w:eastAsia="宋体" w:hAnsi="Times New Roman"/>
          <w:sz w:val="24"/>
          <w:szCs w:val="24"/>
        </w:rPr>
        <w:t xml:space="preserve">双重差分样本限定为2016年之前上市、且在2016年与2017年至少有一年观测的公司。处理强度PledgePre</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为公司2016年与2017年年末大股东质押比例的均值，Post</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在2018年及以后取1。按模型(3)估计，并依次加入行业×年度与省份×年度固定效应，以吸收2018年同期的股市下跌、资管新规去杠杆与民营企业融资收紧等行业及地区层面冲击。控制变量可能受政策影响而成为“坏控制”，因此本文同时报告不加入时变控制变量的结果。</w:t>
      </w:r>
    </w:p>
    <w:p>
      <w:pPr>
        <w:pStyle w:val="Heading3"/>
        <w:spacing w:after="120" w:before="240" w:line="360"/>
        <w:jc w:val="left"/>
      </w:pPr>
      <w:r>
        <w:rPr>
          <w:rFonts w:ascii="Times New Roman" w:eastAsia="黑体" w:hAnsi="Times New Roman"/>
          <w:b/>
          <w:bCs/>
          <w:sz w:val="24"/>
          <w:szCs w:val="24"/>
        </w:rPr>
        <w:t xml:space="preserve">5.5.2　第一阶段：新规是否降低了高质押公司的质押风险</w:t>
      </w:r>
    </w:p>
    <w:p>
      <w:pPr>
        <w:spacing w:line="360"/>
        <w:ind w:firstLine="480"/>
        <w:jc w:val="both"/>
      </w:pPr>
      <w:r>
        <w:rPr>
          <w:rFonts w:ascii="Times New Roman" w:eastAsia="宋体" w:hAnsi="Times New Roman"/>
          <w:sz w:val="24"/>
          <w:szCs w:val="24"/>
        </w:rPr>
        <w:t xml:space="preserve">开题报告已指出，新规对存量高质押公司控制权转移风险的净影响在理论上并不确定，因此须先以质押比例、平仓压力与资金占用为被解释变量检验新规的“第一阶段”影响：</w:t>
      </w:r>
    </w:p>
    <w:p>
      <w:pPr>
        <w:keepNext w:val="false"/>
        <w:tabs>
          <w:tab w:val="center" w:pos="4153"/>
          <w:tab w:val="right" w:pos="8306"/>
        </w:tabs>
        <w:spacing w:after="60" w:before="60" w:line="360"/>
      </w:pPr>
      <w:r>
        <w:t xml:space="preserve">	</w:t>
      </w:r>
      <w:r>
        <w:rPr>
          <w:rFonts w:ascii="Times New Roman" w:eastAsia="宋体" w:hAnsi="Times New Roman"/>
          <w:sz w:val="24"/>
          <w:szCs w:val="24"/>
        </w:rPr>
        <w:t xml:space="preserve">Y</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δ</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δ</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PledgePre</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×Post</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δ</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Controls</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(5-6)</w:t>
      </w:r>
    </w:p>
    <w:p>
      <w:pPr>
        <w:spacing w:line="360"/>
        <w:ind w:firstLine="480"/>
        <w:jc w:val="both"/>
      </w:pPr>
      <w:r>
        <w:rPr>
          <w:rFonts w:ascii="Times New Roman" w:eastAsia="宋体" w:hAnsi="Times New Roman"/>
          <w:sz w:val="24"/>
          <w:szCs w:val="24"/>
        </w:rPr>
        <w:t xml:space="preserve">其中，Y分别取Pledge、Pressure与OREC。</w:t>
      </w:r>
    </w:p>
    <w:p>
      <w:pPr>
        <w:spacing w:line="360"/>
        <w:ind w:firstLine="480"/>
        <w:jc w:val="both"/>
      </w:pPr>
      <w:r>
        <w:rPr>
          <w:rFonts w:ascii="Times New Roman" w:eastAsia="宋体" w:hAnsi="Times New Roman"/>
          <w:sz w:val="24"/>
          <w:szCs w:val="24"/>
        </w:rPr>
        <w:t xml:space="preserve">以Pledge为被解释变量时存在均值回归问题：2016—2017年质押比例较高的公司，即便没有政策冲击，其后的质押比例也可能自然回落，δ</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将机械地为负。为区分政策效应与均值回归，本文构造“安慰剂队列”：以2012—2013年的平均质押比例作为处理强度、以2014年为虚拟政策时点、仅使用2012—2017年样本重复估计。若安慰剂队列中的δ</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与真实估计相近，说明后者主要反映均值回归而非政策效应。安慰剂队列的窗口包含2015年股市异常波动，其估计值可能同时受该次冲击影响，解读时一并说明。</w:t>
      </w:r>
    </w:p>
    <w:p>
      <w:pPr>
        <w:spacing w:line="360"/>
        <w:ind w:firstLine="480"/>
        <w:jc w:val="both"/>
      </w:pPr>
      <w:r>
        <w:rPr>
          <w:rFonts w:ascii="Times New Roman" w:eastAsia="宋体" w:hAnsi="Times New Roman"/>
          <w:sz w:val="24"/>
          <w:szCs w:val="24"/>
        </w:rPr>
        <w:t xml:space="preserve">估计结果见表5-11。</w:t>
      </w:r>
      <w:r>
        <w:rPr>
          <w:rFonts w:ascii="Times New Roman" w:eastAsia="宋体" w:hAnsi="Times New Roman"/>
          <w:sz w:val="24"/>
          <w:szCs w:val="24"/>
          <w:highlight w:val="yellow"/>
          <w:highlightCs w:val="yellow"/>
        </w:rPr>
        <w:t xml:space="preserve">【待估计后撰写：新规实施后高质押公司的质押比例、平仓压力与资金占用是否相对下降，下降幅度是否超过安慰剂队列的均值回归幅度。】</w:t>
      </w:r>
    </w:p>
    <w:p>
      <w:pPr>
        <w:keepNext/>
        <w:spacing w:after="80" w:before="200"/>
        <w:jc w:val="center"/>
      </w:pPr>
      <w:r>
        <w:rPr>
          <w:rFonts w:ascii="Times New Roman" w:eastAsia="黑体" w:hAnsi="Times New Roman"/>
          <w:b/>
          <w:bCs/>
          <w:sz w:val="21"/>
          <w:szCs w:val="21"/>
        </w:rPr>
        <w:t xml:space="preserve">表5-11　2018年新规的第一阶段检验</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被解释变量</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Pledge</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Pledge（安慰剂队列）</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Pressure</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OREC</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PledgePre×Post</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样本期间</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2007—2025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2012—2017</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2007—2025</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2007—2025</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列(2)以2012—2013年平均质押比例为处理强度、2014年为虚拟政策时点。样本期间可依据数据情况调整，调整后在此注明。括号内为公司层面聚类稳健标准误；***、**、*分别表示1%、5%、10%显著水平；连续变量经上下1%缩尾。空白单元格待估计后填写。</w:t>
      </w:r>
    </w:p>
    <w:p>
      <w:pPr>
        <w:pStyle w:val="Heading3"/>
        <w:spacing w:after="120" w:before="240" w:line="360"/>
        <w:jc w:val="left"/>
      </w:pPr>
      <w:r>
        <w:rPr>
          <w:rFonts w:ascii="Times New Roman" w:eastAsia="黑体" w:hAnsi="Times New Roman"/>
          <w:b/>
          <w:bCs/>
          <w:sz w:val="24"/>
          <w:szCs w:val="24"/>
        </w:rPr>
        <w:t xml:space="preserve">5.5.3　新规对现金持有的影响</w:t>
      </w:r>
    </w:p>
    <w:p>
      <w:pPr>
        <w:spacing w:line="360"/>
        <w:ind w:firstLine="480"/>
        <w:jc w:val="both"/>
      </w:pPr>
      <w:r>
        <w:rPr>
          <w:rFonts w:ascii="Times New Roman" w:eastAsia="宋体" w:hAnsi="Times New Roman"/>
          <w:sz w:val="24"/>
          <w:szCs w:val="24"/>
        </w:rPr>
        <w:t xml:space="preserve">判定规则（与第一阶段结果联合解读）：（1）若第一阶段显示高质押公司的质押风险与资金占用相对下降，且模型(3)中β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显著为正，说明新规抑制了掏空、高质押公司现金相对回升，与基准回归的H1b结论相互印证；（2）若第一阶段显示平仓压力相对上升，且β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显著为正，则更符合风险规避渠道下的预防性储备；（3）若第一阶段不显著，则β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无法归因于新规改变了质押风险，只作描述性报告。</w:t>
      </w:r>
    </w:p>
    <w:p>
      <w:pPr>
        <w:spacing w:line="360"/>
        <w:ind w:firstLine="480"/>
        <w:jc w:val="both"/>
      </w:pPr>
      <w:r>
        <w:rPr>
          <w:rFonts w:ascii="Times New Roman" w:eastAsia="宋体" w:hAnsi="Times New Roman"/>
          <w:sz w:val="24"/>
          <w:szCs w:val="24"/>
        </w:rPr>
        <w:t xml:space="preserve">估计结果见表5-12。</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表5-12　2018年股票质押新规与现金持有</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1262"/>
        <w:gridCol w:w="1262"/>
        <w:gridCol w:w="1262"/>
        <w:gridCol w:w="1262"/>
        <w:gridCol w:w="1265"/>
      </w:tblGrid>
      <w:tr>
        <w:trPr>
          <w:cantSplit/>
        </w:trPr>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26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w:t>
            </w:r>
          </w:p>
        </w:tc>
        <w:tc>
          <w:tcPr>
            <w:tcW w:type="dxa" w:w="126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w:t>
            </w:r>
          </w:p>
        </w:tc>
        <w:tc>
          <w:tcPr>
            <w:tcW w:type="dxa" w:w="126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w:t>
            </w:r>
          </w:p>
        </w:tc>
        <w:tc>
          <w:tcPr>
            <w:tcW w:type="dxa" w:w="1262"/>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w:t>
            </w:r>
          </w:p>
        </w:tc>
        <w:tc>
          <w:tcPr>
            <w:tcW w:type="dxa" w:w="126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(5)</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PledgePre×Post</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Treat×Post</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行业×年度固定效应</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省份×年度固定效应</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剔除2018年</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26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被解释变量为Cash；列(1)—(4)使用连续处理强度PledgePre，列(5)以PledgePre是否高于样本中位数定义Treat。括号内为公司层面聚类稳健标准误；***、**、*分别表示1%、5%、10%显著水平；连续变量经上下1%缩尾。空白单元格待估计后填写。</w:t>
      </w:r>
    </w:p>
    <w:p>
      <w:pPr>
        <w:pStyle w:val="Heading3"/>
        <w:spacing w:after="120" w:before="240" w:line="360"/>
        <w:jc w:val="left"/>
      </w:pPr>
      <w:r>
        <w:rPr>
          <w:rFonts w:ascii="Times New Roman" w:eastAsia="黑体" w:hAnsi="Times New Roman"/>
          <w:b/>
          <w:bCs/>
          <w:sz w:val="24"/>
          <w:szCs w:val="24"/>
        </w:rPr>
        <w:t xml:space="preserve">5.5.4　动态效应与平行趋势</w:t>
      </w:r>
    </w:p>
    <w:p>
      <w:pPr>
        <w:spacing w:line="360"/>
        <w:ind w:firstLine="480"/>
        <w:jc w:val="both"/>
      </w:pPr>
      <w:r>
        <w:rPr>
          <w:rFonts w:ascii="Times New Roman" w:eastAsia="宋体" w:hAnsi="Times New Roman"/>
          <w:sz w:val="24"/>
          <w:szCs w:val="24"/>
        </w:rPr>
        <w:t xml:space="preserve">以2017年为基期，估计事件研究模型：</w:t>
      </w:r>
    </w:p>
    <w:p>
      <w:pPr>
        <w:keepNext w:val="false"/>
        <w:tabs>
          <w:tab w:val="center" w:pos="4153"/>
          <w:tab w:val="right" w:pos="8306"/>
        </w:tabs>
        <w:spacing w:after="60" w:before="60" w:line="360"/>
      </w:pPr>
      <w:r>
        <w:t xml:space="preserve">	</w:t>
      </w:r>
      <w:r>
        <w:rPr>
          <w:rFonts w:ascii="Times New Roman" w:eastAsia="宋体" w:hAnsi="Times New Roman"/>
          <w:sz w:val="24"/>
          <w:szCs w:val="24"/>
        </w:rPr>
        <w:t xml:space="preserve">Cash</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Σ</w:t>
      </w:r>
      <w:r>
        <w:rPr>
          <w:rFonts w:ascii="Times New Roman" w:eastAsia="宋体" w:hAnsi="Times New Roman"/>
          <w:sz w:val="24"/>
          <w:szCs w:val="24"/>
          <w:vertAlign w:val="subscript"/>
        </w:rPr>
        <w:t xml:space="preserve">k≠2017</w:t>
      </w:r>
      <w:r>
        <w:rPr>
          <w:rFonts w:ascii="Times New Roman" w:eastAsia="宋体" w:hAnsi="Times New Roman"/>
          <w:sz w:val="24"/>
          <w:szCs w:val="24"/>
        </w:rPr>
        <w:t xml:space="preserve"> θ</w:t>
      </w:r>
      <w:r>
        <w:rPr>
          <w:rFonts w:ascii="Times New Roman" w:eastAsia="宋体" w:hAnsi="Times New Roman"/>
          <w:sz w:val="24"/>
          <w:szCs w:val="24"/>
          <w:vertAlign w:val="subscript"/>
        </w:rPr>
        <w:t xml:space="preserve">k</w:t>
      </w:r>
      <w:r>
        <w:rPr>
          <w:rFonts w:ascii="Times New Roman" w:eastAsia="宋体" w:hAnsi="Times New Roman"/>
          <w:sz w:val="24"/>
          <w:szCs w:val="24"/>
        </w:rPr>
        <w:t xml:space="preserve">PledgePre</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×1(t=k) + Controls</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λ</w:t>
      </w:r>
      <w:r>
        <w:rPr>
          <w:rFonts w:ascii="Times New Roman" w:eastAsia="宋体" w:hAnsi="Times New Roman"/>
          <w:sz w:val="24"/>
          <w:szCs w:val="24"/>
          <w:vertAlign w:val="subscript"/>
        </w:rPr>
        <w:t xml:space="preserve">t</w:t>
      </w:r>
      <w:r>
        <w:rPr>
          <w:rFonts w:ascii="Times New Roman" w:eastAsia="宋体" w:hAnsi="Times New Roman"/>
          <w:sz w:val="24"/>
          <w:szCs w:val="24"/>
        </w:rPr>
        <w:t xml:space="preserve"> + μ</w:t>
      </w:r>
      <w:r>
        <w:rPr>
          <w:rFonts w:ascii="Times New Roman" w:eastAsia="宋体" w:hAnsi="Times New Roman"/>
          <w:sz w:val="24"/>
          <w:szCs w:val="24"/>
          <w:vertAlign w:val="subscript"/>
        </w:rPr>
        <w:t xml:space="preserve">i</w:t>
      </w:r>
      <w:r>
        <w:rPr>
          <w:rFonts w:ascii="Times New Roman" w:eastAsia="宋体" w:hAnsi="Times New Roman"/>
          <w:sz w:val="24"/>
          <w:szCs w:val="24"/>
        </w:rPr>
        <w:t xml:space="preserve">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(5-7)</w:t>
      </w:r>
    </w:p>
    <w:p>
      <w:pPr>
        <w:spacing w:line="360"/>
        <w:ind w:firstLine="480"/>
        <w:jc w:val="both"/>
      </w:pPr>
      <w:r>
        <w:rPr>
          <w:rFonts w:ascii="Times New Roman" w:eastAsia="宋体" w:hAnsi="Times New Roman"/>
          <w:sz w:val="24"/>
          <w:szCs w:val="24"/>
        </w:rPr>
        <w:t xml:space="preserve">将θ</w:t>
      </w:r>
      <w:r>
        <w:rPr>
          <w:rFonts w:ascii="Times New Roman" w:eastAsia="宋体" w:hAnsi="Times New Roman"/>
          <w:sz w:val="24"/>
          <w:szCs w:val="24"/>
          <w:vertAlign w:val="subscript"/>
        </w:rPr>
        <w:t xml:space="preserve">k</w:t>
      </w:r>
      <w:r>
        <w:rPr>
          <w:rFonts w:ascii="Times New Roman" w:eastAsia="宋体" w:hAnsi="Times New Roman"/>
          <w:sz w:val="24"/>
          <w:szCs w:val="24"/>
        </w:rPr>
        <w:t xml:space="preserve">及其95%置信区间绘于图5-1。解读时需注意两点：其一，2016年属于处理强度的定义窗口，其系数不宜作为平行趋势的证据，平行趋势主要依据2007—2015年的系数判断；其二，2015年股市异常波动本身会引起高质押公司的平仓风险集中暴露，该年系数若偏离零，应结合当年的平仓压力数据讨论，而不宜简单归为趋势差异。若政策前系数整体显著偏离零，按开题报告的预案，采用倾向得分匹配后的样本或加入处理强度与线性时间趋势的交乘项重新估计，并报告原始结果。</w:t>
      </w:r>
    </w:p>
    <w:p>
      <w:pPr>
        <w:spacing w:after="160" w:before="120"/>
        <w:jc w:val="center"/>
      </w:pPr>
      <w:r>
        <w:rPr>
          <w:rFonts w:ascii="Times New Roman" w:eastAsia="宋体" w:hAnsi="Times New Roman"/>
          <w:sz w:val="21"/>
          <w:szCs w:val="21"/>
        </w:rPr>
        <w:t xml:space="preserve">图5-1　2018年新规的动态效应　</w:t>
      </w:r>
      <w:r>
        <w:rPr>
          <w:rFonts w:ascii="Times New Roman" w:eastAsia="宋体" w:hAnsi="Times New Roman"/>
          <w:sz w:val="21"/>
          <w:szCs w:val="21"/>
          <w:highlight w:val="yellow"/>
          <w:highlightCs w:val="yellow"/>
        </w:rPr>
        <w:t xml:space="preserve">【待估计后绘制】</w:t>
      </w:r>
    </w:p>
    <w:p>
      <w:pPr>
        <w:pStyle w:val="Heading3"/>
        <w:spacing w:after="120" w:before="240" w:line="360"/>
        <w:jc w:val="left"/>
      </w:pPr>
      <w:r>
        <w:rPr>
          <w:rFonts w:ascii="Times New Roman" w:eastAsia="黑体" w:hAnsi="Times New Roman"/>
          <w:b/>
          <w:bCs/>
          <w:sz w:val="24"/>
          <w:szCs w:val="24"/>
        </w:rPr>
        <w:t xml:space="preserve">5.5.5　安慰剂检验</w:t>
      </w:r>
    </w:p>
    <w:p>
      <w:pPr>
        <w:spacing w:line="360"/>
        <w:ind w:firstLine="480"/>
        <w:jc w:val="both"/>
      </w:pPr>
      <w:r>
        <w:rPr>
          <w:rFonts w:ascii="Times New Roman" w:eastAsia="宋体" w:hAnsi="Times New Roman"/>
          <w:sz w:val="24"/>
          <w:szCs w:val="24"/>
        </w:rPr>
        <w:t xml:space="preserve">一是虚构政策时点：仅使用2018年以前的样本，分别以2014年、2015年为虚拟政策时点（处理强度相应取前两年均值）重复估计；二是随机置换处理强度：将PledgePre在公司间随机重新分配500次，每次估计β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，将真实估计值与500次置换估计值的分布进行比较（图5-2），报告真实值在置换分布中所处的分位数。</w:t>
      </w:r>
    </w:p>
    <w:p>
      <w:pPr>
        <w:spacing w:after="160" w:before="120"/>
        <w:jc w:val="center"/>
      </w:pPr>
      <w:r>
        <w:rPr>
          <w:rFonts w:ascii="Times New Roman" w:eastAsia="宋体" w:hAnsi="Times New Roman"/>
          <w:sz w:val="21"/>
          <w:szCs w:val="21"/>
        </w:rPr>
        <w:t xml:space="preserve">图5-2　随机置换处理强度的安慰剂检验　</w:t>
      </w:r>
      <w:r>
        <w:rPr>
          <w:rFonts w:ascii="Times New Roman" w:eastAsia="宋体" w:hAnsi="Times New Roman"/>
          <w:sz w:val="21"/>
          <w:szCs w:val="21"/>
          <w:highlight w:val="yellow"/>
          <w:highlightCs w:val="yellow"/>
        </w:rPr>
        <w:t xml:space="preserve">【待估计后绘制】</w:t>
      </w:r>
    </w:p>
    <w:p>
      <w:pPr>
        <w:pStyle w:val="Heading3"/>
        <w:spacing w:after="120" w:before="240" w:line="360"/>
        <w:jc w:val="left"/>
      </w:pPr>
      <w:r>
        <w:rPr>
          <w:rFonts w:ascii="Times New Roman" w:eastAsia="黑体" w:hAnsi="Times New Roman"/>
          <w:b/>
          <w:bCs/>
          <w:sz w:val="24"/>
          <w:szCs w:val="24"/>
        </w:rPr>
        <w:t xml:space="preserve">5.5.6　补充检验：省级纾困计划</w:t>
      </w:r>
    </w:p>
    <w:p>
      <w:pPr>
        <w:spacing w:line="360"/>
        <w:ind w:firstLine="480"/>
        <w:jc w:val="both"/>
      </w:pPr>
      <w:r>
        <w:rPr>
          <w:rFonts w:ascii="Times New Roman" w:eastAsia="宋体" w:hAnsi="Times New Roman"/>
          <w:sz w:val="24"/>
          <w:szCs w:val="24"/>
        </w:rPr>
        <w:t xml:space="preserve">以公司注册地省份的地方政府纾困基金设立时点构造交错处理变量Relief，采用Callaway和Sant’Anna（2021）的估计量，以未设立地方政府纾困基金的省份及尚未处理的省份为对照组。由于处理在省份层面分配，标准误在省份层面聚类，并以野自助法（wild cluster bootstrap）进行推断以应对聚类数较少的问题。考虑到纾困资金主要针对高质押公司，分别在PledgePre高、低两组中估计。若对照组样本不足，按开题报告预案改用纾困力度变量ReliefInt进行估计，该部分结果定位为辅助证据。</w:t>
      </w:r>
    </w:p>
    <w:p>
      <w:pPr>
        <w:spacing w:line="360"/>
        <w:ind w:firstLine="480"/>
        <w:jc w:val="both"/>
      </w:pPr>
      <w:r>
        <w:rPr>
          <w:rFonts w:ascii="Times New Roman" w:eastAsia="宋体" w:hAnsi="Times New Roman"/>
          <w:sz w:val="24"/>
          <w:szCs w:val="24"/>
        </w:rPr>
        <w:t xml:space="preserve">判定规则：若H1a成立，纾困实施后高质押公司现金持有应相对回落；若掏空渠道占优且纾困抑制了资金占用（毛捷和管星华，2022），则高质押公司现金持有应相对上升。</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表5-13　省级纾困计划与现金持有</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left"/>
            </w:pP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 全样本</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 高PledgePre</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 低PledgePre</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 ReliefInt</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ATT／系数</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估计方法</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CS(2021)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CS(2021)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CS(2021)</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双向固定效应</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推断方法</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省份聚类＋野自助</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省份聚类＋野自助</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省份聚类＋野自助</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省份聚类＋野自助</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处理省份数／对照省份数</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注：被解释变量为Cash；括号内为省份层面聚类标准误，野自助法p值另行报告。空白单元格待估计后填写。</w:t>
      </w:r>
    </w:p>
    <w:p>
      <w:pPr>
        <w:pStyle w:val="Heading2"/>
        <w:spacing w:after="120" w:before="240" w:line="360"/>
        <w:jc w:val="left"/>
      </w:pPr>
      <w:r>
        <w:rPr>
          <w:rFonts w:ascii="Times New Roman" w:eastAsia="黑体" w:hAnsi="Times New Roman"/>
          <w:b/>
          <w:bCs/>
          <w:sz w:val="28"/>
          <w:szCs w:val="28"/>
        </w:rPr>
        <w:t xml:space="preserve">5.6　被解释变量的计量可靠性</w:t>
      </w:r>
    </w:p>
    <w:p>
      <w:pPr>
        <w:spacing w:line="360"/>
        <w:ind w:firstLine="480"/>
        <w:jc w:val="both"/>
      </w:pPr>
      <w:r>
        <w:rPr>
          <w:rFonts w:ascii="Times New Roman" w:eastAsia="宋体" w:hAnsi="Times New Roman"/>
          <w:sz w:val="24"/>
          <w:szCs w:val="24"/>
        </w:rPr>
        <w:t xml:space="preserve">杨国超等（2025）发现账面现金可能被虚增。需要先明确这一问题对本文结论的影响方向：若虚增现金集中发生在高质押公司，则观测到的现金被高估，β</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偏向正值；初步结果为负，因此现金操纵更可能削弱而非制造负向结论。但若虚增现金集中在低质押公司，则同样可能放大负向关系，因此仍需逐项检验。</w:t>
      </w:r>
    </w:p>
    <w:p>
      <w:pPr>
        <w:spacing w:line="360"/>
        <w:ind w:firstLine="480"/>
        <w:jc w:val="both"/>
      </w:pPr>
      <w:r>
        <w:rPr>
          <w:rFonts w:ascii="Times New Roman" w:eastAsia="宋体" w:hAnsi="Times New Roman"/>
          <w:sz w:val="24"/>
          <w:szCs w:val="24"/>
        </w:rPr>
        <w:t xml:space="preserve">具体做法包括：（1）以非受限现金Cash3替代Cash；（2）剔除“存贷双高”样本，判定口径沿用杨国超等（2025）原文的定义；（3）剔除因货币资金相关会计违规被证监会或交易所处罚的公司；（4）在模型中控制受限资金占比RestCash；（5）以资金收益率CashRet为被解释变量，检验高质押公司账面现金的收益率是否系统性偏低。需要说明的是，2018年以前的利润表格式未单列“利息收入”，该年度以前的数据须取自财务费用附注，若附注数据缺失较多，第（5）项检验的样本将相应缩小，届时在表注中说明。另外，质押资金投向上市公司的记录仅约占2%，按资金用途的分组比较仅作补充说明，不单独成表。</w:t>
      </w:r>
    </w:p>
    <w:p>
      <w:pPr>
        <w:spacing w:line="360"/>
        <w:ind w:firstLine="480"/>
        <w:jc w:val="both"/>
      </w:pPr>
      <w:r>
        <w:rPr>
          <w:rFonts w:ascii="Times New Roman" w:eastAsia="宋体" w:hAnsi="Times New Roman"/>
          <w:sz w:val="24"/>
          <w:szCs w:val="24"/>
        </w:rPr>
        <w:t xml:space="preserve">估计结果见表5-14。</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表5-14　被解释变量计量可靠性检验</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1262"/>
        <w:gridCol w:w="1262"/>
        <w:gridCol w:w="1262"/>
        <w:gridCol w:w="1262"/>
        <w:gridCol w:w="1265"/>
      </w:tblGrid>
      <w:tr>
        <w:trPr>
          <w:cantSplit/>
        </w:trPr>
        <w:tc>
          <w:tcPr>
            <w:tcW w:type="dxa" w:w="1993"/>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262"/>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w:t>
            </w:r>
          </w:p>
        </w:tc>
        <w:tc>
          <w:tcPr>
            <w:tcW w:type="dxa" w:w="1262"/>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w:t>
            </w:r>
          </w:p>
        </w:tc>
        <w:tc>
          <w:tcPr>
            <w:tcW w:type="dxa" w:w="1262"/>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w:t>
            </w:r>
          </w:p>
        </w:tc>
        <w:tc>
          <w:tcPr>
            <w:tcW w:type="dxa" w:w="1262"/>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w:t>
            </w:r>
          </w:p>
        </w:tc>
        <w:tc>
          <w:tcPr>
            <w:tcW w:type="dxa" w:w="126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(5)</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被解释变量</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Cash3</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Cash</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Cash</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Cash</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CashRet</w:t>
            </w:r>
          </w:p>
        </w:tc>
      </w:tr>
      <w:tr>
        <w:trPr>
          <w:cantSplit/>
        </w:trPr>
        <w:tc>
          <w:tcPr>
            <w:tcW w:type="dxa" w:w="1993"/>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样本／设定</w:t>
            </w:r>
          </w:p>
        </w:tc>
        <w:tc>
          <w:tcPr>
            <w:tcW w:type="dxa" w:w="1262"/>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全样本</w:t>
            </w:r>
          </w:p>
        </w:tc>
        <w:tc>
          <w:tcPr>
            <w:tcW w:type="dxa" w:w="1262"/>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剔除存贷双高</w:t>
            </w:r>
          </w:p>
        </w:tc>
        <w:tc>
          <w:tcPr>
            <w:tcW w:type="dxa" w:w="1262"/>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剔除违规公司</w:t>
            </w:r>
          </w:p>
        </w:tc>
        <w:tc>
          <w:tcPr>
            <w:tcW w:type="dxa" w:w="1262"/>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控制RestCash</w:t>
            </w:r>
          </w:p>
        </w:tc>
        <w:tc>
          <w:tcPr>
            <w:tcW w:type="dxa" w:w="126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全样本</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26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262"/>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26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注：括号内为公司层面聚类稳健标准误；***、**、*分别表示1%、5%、10%显著水平；连续变量经上下1%缩尾。空白单元格待估计后填写。</w:t>
      </w:r>
    </w:p>
    <w:p>
      <w:pPr>
        <w:pStyle w:val="Heading2"/>
        <w:spacing w:after="120" w:before="240" w:line="360"/>
        <w:jc w:val="left"/>
      </w:pPr>
      <w:r>
        <w:rPr>
          <w:rFonts w:ascii="Times New Roman" w:eastAsia="黑体" w:hAnsi="Times New Roman"/>
          <w:b/>
          <w:bCs/>
          <w:sz w:val="28"/>
          <w:szCs w:val="28"/>
        </w:rPr>
        <w:t xml:space="preserve">5.7　拓展分析：股权质押与企业投资</w:t>
      </w:r>
    </w:p>
    <w:p>
      <w:pPr>
        <w:spacing w:line="360"/>
        <w:ind w:firstLine="480"/>
        <w:jc w:val="both"/>
      </w:pPr>
      <w:r>
        <w:rPr>
          <w:rFonts w:ascii="Times New Roman" w:eastAsia="宋体" w:hAnsi="Times New Roman"/>
          <w:sz w:val="24"/>
          <w:szCs w:val="24"/>
        </w:rPr>
        <w:t xml:space="preserve">开题报告原设想检验质押是否“通过提高现金储备”挤出投资，该设想以质押提高现金持有为前提。初步结果显示质押与现金持有负相关，这一前提不再成立，因此本节调整为直接检验质押对企业投资的影响，并依据前文渠道检验的结论加以解读：若掏空渠道占优，资源被转移可能同时压低现金与投资；若风险规避渠道在高平仓压力情形下显现，则投资挤出应集中在高压力样本中。</w:t>
      </w:r>
    </w:p>
    <w:p>
      <w:pPr>
        <w:spacing w:line="360"/>
        <w:ind w:firstLine="480"/>
        <w:jc w:val="both"/>
      </w:pPr>
      <w:r>
        <w:rPr>
          <w:rFonts w:ascii="Times New Roman" w:eastAsia="宋体" w:hAnsi="Times New Roman"/>
          <w:sz w:val="24"/>
          <w:szCs w:val="24"/>
        </w:rPr>
        <w:t xml:space="preserve">被解释变量包括资本支出Capex、研发投入强度RD，以及参照Richardson（2006）测算的投资效率。Richardson模型为：</w:t>
      </w:r>
    </w:p>
    <w:p>
      <w:pPr>
        <w:keepNext/>
        <w:tabs>
          <w:tab w:val="center" w:pos="4153"/>
          <w:tab w:val="right" w:pos="8306"/>
        </w:tabs>
        <w:spacing w:after="0" w:before="60" w:line="360"/>
      </w:pPr>
      <w:r>
        <w:t xml:space="preserve">	</w:t>
      </w:r>
      <w:r>
        <w:rPr>
          <w:rFonts w:ascii="Times New Roman" w:eastAsia="宋体" w:hAnsi="Times New Roman"/>
          <w:sz w:val="24"/>
          <w:szCs w:val="24"/>
        </w:rPr>
        <w:t xml:space="preserve">I</w:t>
      </w:r>
      <w:r>
        <w:rPr>
          <w:rFonts w:ascii="Times New Roman" w:eastAsia="宋体" w:hAnsi="Times New Roman"/>
          <w:sz w:val="24"/>
          <w:szCs w:val="24"/>
          <w:vertAlign w:val="superscript"/>
        </w:rPr>
        <w:t xml:space="preserve">new</w:t>
      </w:r>
      <w:r>
        <w:rPr>
          <w:rFonts w:ascii="Times New Roman" w:eastAsia="宋体" w:hAnsi="Times New Roman"/>
          <w:sz w:val="24"/>
          <w:szCs w:val="24"/>
          <w:vertAlign w:val="subscript"/>
        </w:rPr>
        <w:t xml:space="preserve">i,t</w:t>
      </w:r>
      <w:r>
        <w:rPr>
          <w:rFonts w:ascii="Times New Roman" w:eastAsia="宋体" w:hAnsi="Times New Roman"/>
          <w:sz w:val="24"/>
          <w:szCs w:val="24"/>
        </w:rPr>
        <w:t xml:space="preserve"> = φ</w:t>
      </w:r>
      <w:r>
        <w:rPr>
          <w:rFonts w:ascii="Times New Roman" w:eastAsia="宋体" w:hAnsi="Times New Roman"/>
          <w:sz w:val="24"/>
          <w:szCs w:val="24"/>
          <w:vertAlign w:val="subscript"/>
        </w:rPr>
        <w:t xml:space="preserve">0</w:t>
      </w:r>
      <w:r>
        <w:rPr>
          <w:rFonts w:ascii="Times New Roman" w:eastAsia="宋体" w:hAnsi="Times New Roman"/>
          <w:sz w:val="24"/>
          <w:szCs w:val="24"/>
        </w:rPr>
        <w:t xml:space="preserve"> + φ</w:t>
      </w:r>
      <w:r>
        <w:rPr>
          <w:rFonts w:ascii="Times New Roman" w:eastAsia="宋体" w:hAnsi="Times New Roman"/>
          <w:sz w:val="24"/>
          <w:szCs w:val="24"/>
          <w:vertAlign w:val="subscript"/>
        </w:rPr>
        <w:t xml:space="preserve">1</w:t>
      </w:r>
      <w:r>
        <w:rPr>
          <w:rFonts w:ascii="Times New Roman" w:eastAsia="宋体" w:hAnsi="Times New Roman"/>
          <w:sz w:val="24"/>
          <w:szCs w:val="24"/>
        </w:rPr>
        <w:t xml:space="preserve">Q</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 + φ</w:t>
      </w:r>
      <w:r>
        <w:rPr>
          <w:rFonts w:ascii="Times New Roman" w:eastAsia="宋体" w:hAnsi="Times New Roman"/>
          <w:sz w:val="24"/>
          <w:szCs w:val="24"/>
          <w:vertAlign w:val="subscript"/>
        </w:rPr>
        <w:t xml:space="preserve">2</w:t>
      </w:r>
      <w:r>
        <w:rPr>
          <w:rFonts w:ascii="Times New Roman" w:eastAsia="宋体" w:hAnsi="Times New Roman"/>
          <w:sz w:val="24"/>
          <w:szCs w:val="24"/>
        </w:rPr>
        <w:t xml:space="preserve">Lev</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 + φ</w:t>
      </w:r>
      <w:r>
        <w:rPr>
          <w:rFonts w:ascii="Times New Roman" w:eastAsia="宋体" w:hAnsi="Times New Roman"/>
          <w:sz w:val="24"/>
          <w:szCs w:val="24"/>
          <w:vertAlign w:val="subscript"/>
        </w:rPr>
        <w:t xml:space="preserve">3</w:t>
      </w:r>
      <w:r>
        <w:rPr>
          <w:rFonts w:ascii="Times New Roman" w:eastAsia="宋体" w:hAnsi="Times New Roman"/>
          <w:sz w:val="24"/>
          <w:szCs w:val="24"/>
        </w:rPr>
        <w:t xml:space="preserve">Cash</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 + φ</w:t>
      </w:r>
      <w:r>
        <w:rPr>
          <w:rFonts w:ascii="Times New Roman" w:eastAsia="宋体" w:hAnsi="Times New Roman"/>
          <w:sz w:val="24"/>
          <w:szCs w:val="24"/>
          <w:vertAlign w:val="subscript"/>
        </w:rPr>
        <w:t xml:space="preserve">4</w:t>
      </w:r>
      <w:r>
        <w:rPr>
          <w:rFonts w:ascii="Times New Roman" w:eastAsia="宋体" w:hAnsi="Times New Roman"/>
          <w:sz w:val="24"/>
          <w:szCs w:val="24"/>
        </w:rPr>
        <w:t xml:space="preserve">Age</w:t>
      </w:r>
      <w:r>
        <w:rPr>
          <w:rFonts w:ascii="Times New Roman" w:eastAsia="宋体" w:hAnsi="Times New Roman"/>
          <w:sz w:val="24"/>
          <w:szCs w:val="24"/>
          <w:vertAlign w:val="subscript"/>
        </w:rPr>
        <w:t xml:space="preserve">i,t−1</w:t>
      </w:r>
    </w:p>
    <w:p>
      <w:pPr>
        <w:keepNext w:val="false"/>
        <w:tabs>
          <w:tab w:val="center" w:pos="4153"/>
          <w:tab w:val="right" w:pos="8306"/>
        </w:tabs>
        <w:spacing w:after="60" w:before="0" w:line="360"/>
      </w:pPr>
      <w:r>
        <w:t xml:space="preserve">	</w:t>
      </w:r>
      <w:r>
        <w:rPr>
          <w:rFonts w:ascii="Times New Roman" w:eastAsia="宋体" w:hAnsi="Times New Roman"/>
          <w:sz w:val="24"/>
          <w:szCs w:val="24"/>
        </w:rPr>
        <w:t xml:space="preserve"> + φ</w:t>
      </w:r>
      <w:r>
        <w:rPr>
          <w:rFonts w:ascii="Times New Roman" w:eastAsia="宋体" w:hAnsi="Times New Roman"/>
          <w:sz w:val="24"/>
          <w:szCs w:val="24"/>
          <w:vertAlign w:val="subscript"/>
        </w:rPr>
        <w:t xml:space="preserve">5</w:t>
      </w:r>
      <w:r>
        <w:rPr>
          <w:rFonts w:ascii="Times New Roman" w:eastAsia="宋体" w:hAnsi="Times New Roman"/>
          <w:sz w:val="24"/>
          <w:szCs w:val="24"/>
        </w:rPr>
        <w:t xml:space="preserve">Size</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 + φ</w:t>
      </w:r>
      <w:r>
        <w:rPr>
          <w:rFonts w:ascii="Times New Roman" w:eastAsia="宋体" w:hAnsi="Times New Roman"/>
          <w:sz w:val="24"/>
          <w:szCs w:val="24"/>
          <w:vertAlign w:val="subscript"/>
        </w:rPr>
        <w:t xml:space="preserve">6</w:t>
      </w:r>
      <w:r>
        <w:rPr>
          <w:rFonts w:ascii="Times New Roman" w:eastAsia="宋体" w:hAnsi="Times New Roman"/>
          <w:sz w:val="24"/>
          <w:szCs w:val="24"/>
        </w:rPr>
        <w:t xml:space="preserve">Ret</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 + φ</w:t>
      </w:r>
      <w:r>
        <w:rPr>
          <w:rFonts w:ascii="Times New Roman" w:eastAsia="宋体" w:hAnsi="Times New Roman"/>
          <w:sz w:val="24"/>
          <w:szCs w:val="24"/>
          <w:vertAlign w:val="subscript"/>
        </w:rPr>
        <w:t xml:space="preserve">7</w:t>
      </w:r>
      <w:r>
        <w:rPr>
          <w:rFonts w:ascii="Times New Roman" w:eastAsia="宋体" w:hAnsi="Times New Roman"/>
          <w:sz w:val="24"/>
          <w:szCs w:val="24"/>
        </w:rPr>
        <w:t xml:space="preserve">I</w:t>
      </w:r>
      <w:r>
        <w:rPr>
          <w:rFonts w:ascii="Times New Roman" w:eastAsia="宋体" w:hAnsi="Times New Roman"/>
          <w:sz w:val="24"/>
          <w:szCs w:val="24"/>
          <w:vertAlign w:val="superscript"/>
        </w:rPr>
        <w:t xml:space="preserve">new</w:t>
      </w:r>
      <w:r>
        <w:rPr>
          <w:rFonts w:ascii="Times New Roman" w:eastAsia="宋体" w:hAnsi="Times New Roman"/>
          <w:sz w:val="24"/>
          <w:szCs w:val="24"/>
          <w:vertAlign w:val="subscript"/>
        </w:rPr>
        <w:t xml:space="preserve">i,t−1</w:t>
      </w:r>
      <w:r>
        <w:rPr>
          <w:rFonts w:ascii="Times New Roman" w:eastAsia="宋体" w:hAnsi="Times New Roman"/>
          <w:sz w:val="24"/>
          <w:szCs w:val="24"/>
        </w:rPr>
        <w:t xml:space="preserve"> + Ind + Year + ε</w:t>
      </w:r>
      <w:r>
        <w:rPr>
          <w:rFonts w:ascii="Times New Roman" w:eastAsia="宋体" w:hAnsi="Times New Roman"/>
          <w:sz w:val="24"/>
          <w:szCs w:val="24"/>
          <w:vertAlign w:val="subscript"/>
        </w:rPr>
        <w:t xml:space="preserve">i,t</w:t>
      </w:r>
      <w:r>
        <w:rPr>
          <w:rFonts w:ascii="Times New Roman" w:cs="Times New Roman" w:eastAsia="Times New Roman" w:hAnsi="Times New Roman"/>
          <w:sz w:val="24"/>
          <w:szCs w:val="24"/>
        </w:rPr>
        <w:t xml:space="preserve">	(5-8)</w:t>
      </w:r>
    </w:p>
    <w:p>
      <w:pPr>
        <w:spacing w:line="360"/>
        <w:ind w:firstLine="480"/>
        <w:jc w:val="both"/>
      </w:pPr>
      <w:r>
        <w:rPr>
          <w:rFonts w:ascii="Times New Roman" w:eastAsia="宋体" w:hAnsi="Times New Roman"/>
          <w:sz w:val="24"/>
          <w:szCs w:val="24"/>
        </w:rPr>
        <w:t xml:space="preserve">其中，新增投资I</w:t>
      </w:r>
      <w:r>
        <w:rPr>
          <w:rFonts w:ascii="Times New Roman" w:eastAsia="宋体" w:hAnsi="Times New Roman"/>
          <w:sz w:val="24"/>
          <w:szCs w:val="24"/>
          <w:vertAlign w:val="superscript"/>
        </w:rPr>
        <w:t xml:space="preserve">new</w:t>
      </w:r>
      <w:r>
        <w:rPr>
          <w:rFonts w:ascii="Times New Roman" w:eastAsia="宋体" w:hAnsi="Times New Roman"/>
          <w:sz w:val="24"/>
          <w:szCs w:val="24"/>
        </w:rPr>
        <w:t xml:space="preserve">为资本支出、并购支出与研发支出之和减去处置长期资产收回的现金，再减去折旧与摊销（维持性投资），除以总资产。以式(5-8)的正残差衡量过度投资、负残差的绝对值衡量投资不足，分别作为被解释变量。</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表5-15　股权质押与企业投资</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 Capex</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 RD</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 过度投资</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 投资不足</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注：列(3)、(4)分别使用式(5-8)残差为正、为负的子样本。括号内为公司层面聚类稳健标准误；***、**、*分别表示1%、5%、10%显著水平；连续变量经上下1%缩尾。空白单元格待估计后填写。</w:t>
      </w:r>
    </w:p>
    <w:p>
      <w:pPr>
        <w:pStyle w:val="Heading2"/>
        <w:spacing w:after="120" w:before="240" w:line="360"/>
        <w:jc w:val="left"/>
      </w:pPr>
      <w:r>
        <w:rPr>
          <w:rFonts w:ascii="Times New Roman" w:eastAsia="黑体" w:hAnsi="Times New Roman"/>
          <w:b/>
          <w:bCs/>
          <w:sz w:val="28"/>
          <w:szCs w:val="28"/>
        </w:rPr>
        <w:t xml:space="preserve">5.8　稳健性检验与内生性处理</w:t>
      </w:r>
    </w:p>
    <w:p>
      <w:pPr>
        <w:pStyle w:val="Heading3"/>
        <w:spacing w:after="120" w:before="240" w:line="360"/>
        <w:jc w:val="left"/>
      </w:pPr>
      <w:r>
        <w:rPr>
          <w:rFonts w:ascii="Times New Roman" w:eastAsia="黑体" w:hAnsi="Times New Roman"/>
          <w:b/>
          <w:bCs/>
          <w:sz w:val="24"/>
          <w:szCs w:val="24"/>
        </w:rPr>
        <w:t xml:space="preserve">5.8.1　替换核心变量</w:t>
      </w:r>
    </w:p>
    <w:p>
      <w:pPr>
        <w:spacing w:line="360"/>
        <w:ind w:firstLine="480"/>
        <w:jc w:val="both"/>
      </w:pPr>
      <w:r>
        <w:rPr>
          <w:rFonts w:ascii="Times New Roman" w:eastAsia="宋体" w:hAnsi="Times New Roman"/>
          <w:sz w:val="24"/>
          <w:szCs w:val="24"/>
        </w:rPr>
        <w:t xml:space="preserve">以Cash2替换被解释变量，以Pledge_Dum、Pledge_Ratio2与明细表口径的质押比例替换解释变量，重新估计模型(1)。</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表5-16　稳健性检验：替换核心变量</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替换内容</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Cash2</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Pledge_Dum</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Pledge_Ratio2</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明细表口径</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质押变量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注：括号内为公司层面聚类稳健标准误；***、**、*分别表示1%、5%、10%显著水平；连续变量经上下1%缩尾。空白单元格待估计后填写。</w:t>
      </w:r>
    </w:p>
    <w:p>
      <w:pPr>
        <w:pStyle w:val="Heading3"/>
        <w:spacing w:after="120" w:before="240" w:line="360"/>
        <w:jc w:val="left"/>
      </w:pPr>
      <w:r>
        <w:rPr>
          <w:rFonts w:ascii="Times New Roman" w:eastAsia="黑体" w:hAnsi="Times New Roman"/>
          <w:b/>
          <w:bCs/>
          <w:sz w:val="24"/>
          <w:szCs w:val="24"/>
        </w:rPr>
        <w:t xml:space="preserve">5.8.2　调整样本与设定</w:t>
      </w:r>
    </w:p>
    <w:p>
      <w:pPr>
        <w:spacing w:line="360"/>
        <w:ind w:firstLine="480"/>
        <w:jc w:val="both"/>
      </w:pPr>
      <w:r>
        <w:rPr>
          <w:rFonts w:ascii="Times New Roman" w:eastAsia="宋体" w:hAnsi="Times New Roman"/>
          <w:sz w:val="24"/>
          <w:szCs w:val="24"/>
        </w:rPr>
        <w:t xml:space="preserve">一是加入现金股利Div；二是剔除2008年、2015年两个市场剧烈波动年度及2020年；三是剔除上市当年及其后两年的观测；四是将标准误改为公司与行业×年度双向聚类。</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表5-17　稳健性检验：调整样本与设定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w:t>
            </w:r>
          </w:p>
        </w:tc>
        <w:tc>
          <w:tcPr>
            <w:tcW w:type="dxa" w:w="1495"/>
            <w:tcBorders>
              <w:top w:val="single" w:color="000000" w:sz="12"/>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w:t>
            </w:r>
          </w:p>
        </w:tc>
      </w:tr>
      <w:tr>
        <w:trPr>
          <w:cantSplit/>
        </w:trPr>
        <w:tc>
          <w:tcPr>
            <w:tcW w:type="dxa" w:w="2326"/>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调整内容</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加入Div</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剔除2008、2015、2020年</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剔除上市前三年</w:t>
            </w:r>
          </w:p>
        </w:tc>
        <w:tc>
          <w:tcPr>
            <w:tcW w:type="dxa" w:w="1495"/>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双向聚类</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注：括号内为公司层面聚类稳健标准误；***、**、*分别表示1%、5%、10%显著水平；连续变量经上下1%缩尾。空白单元格待估计后填写。</w:t>
      </w:r>
    </w:p>
    <w:p>
      <w:pPr>
        <w:pStyle w:val="Heading3"/>
        <w:spacing w:after="120" w:before="240" w:line="360"/>
        <w:jc w:val="left"/>
      </w:pPr>
      <w:r>
        <w:rPr>
          <w:rFonts w:ascii="Times New Roman" w:eastAsia="黑体" w:hAnsi="Times New Roman"/>
          <w:b/>
          <w:bCs/>
          <w:sz w:val="24"/>
          <w:szCs w:val="24"/>
        </w:rPr>
        <w:t xml:space="preserve">5.8.3　公司生命周期与上市募集资金</w:t>
      </w:r>
    </w:p>
    <w:p>
      <w:pPr>
        <w:spacing w:line="360"/>
        <w:ind w:firstLine="480"/>
        <w:jc w:val="both"/>
      </w:pPr>
      <w:r>
        <w:rPr>
          <w:rFonts w:ascii="Times New Roman" w:eastAsia="宋体" w:hAnsi="Times New Roman"/>
          <w:sz w:val="24"/>
          <w:szCs w:val="24"/>
        </w:rPr>
        <w:t xml:space="preserve">初步结果显示负向关系集中在上市时间较短的公司，需要排除如下替代解释：公司上市时募集大量现金，此后随投资逐年消耗；同时大股东的质押比例往往随上市时间推移而上升。两者在同一公司内部同时变化，即使没有任何因果联系，也会形成质押与现金的负相关。上市年数固定效应只能控制平均的消耗路径，而不同公司的募资规模差异很大，消耗路径并不相同。为此，本文一是按上市1—3年、4—6年、7年及以上分组估计；二是在全样本中加入“IPO募集资金净额占上市前一年总资产的比例×上市年数虚拟变量”，允许募资规模不同的公司拥有不同的现金消耗路径。若加入后Pledge的系数明显衰减，说明基准回归的负向关系有相当部分来自上市后募资现金的自然消耗。</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表5-18　公司生命周期与上市募集资金</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495"/>
        <w:gridCol w:w="1495"/>
        <w:gridCol w:w="1495"/>
        <w:gridCol w:w="1495"/>
      </w:tblGrid>
      <w:tr>
        <w:trPr>
          <w:cantSplit/>
        </w:trPr>
        <w:tc>
          <w:tcPr>
            <w:tcW w:type="dxa" w:w="232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 上市1—3年</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 上市4—6年</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 上市7年及以上</w:t>
            </w:r>
          </w:p>
        </w:tc>
        <w:tc>
          <w:tcPr>
            <w:tcW w:type="dxa" w:w="1495"/>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(4) 全样本</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IPO募资比例×上市年数</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否</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调整R²</w:t>
            </w: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495"/>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注：括号内为公司层面聚类稳健标准误；***、**、*分别表示1%、5%、10%显著水平；连续变量经上下1%缩尾。空白单元格待估计后填写。</w:t>
      </w:r>
    </w:p>
    <w:p>
      <w:pPr>
        <w:pStyle w:val="Heading3"/>
        <w:spacing w:after="120" w:before="240" w:line="360"/>
        <w:jc w:val="left"/>
      </w:pPr>
      <w:r>
        <w:rPr>
          <w:rFonts w:ascii="Times New Roman" w:eastAsia="黑体" w:hAnsi="Times New Roman"/>
          <w:b/>
          <w:bCs/>
          <w:sz w:val="24"/>
          <w:szCs w:val="24"/>
        </w:rPr>
        <w:t xml:space="preserve">5.8.4　内生性处理</w:t>
      </w:r>
    </w:p>
    <w:p>
      <w:pPr>
        <w:spacing w:line="360"/>
        <w:ind w:firstLine="480"/>
        <w:jc w:val="both"/>
      </w:pPr>
      <w:r>
        <w:rPr>
          <w:rFonts w:ascii="Times New Roman" w:eastAsia="宋体" w:hAnsi="Times New Roman"/>
          <w:sz w:val="24"/>
          <w:szCs w:val="24"/>
        </w:rPr>
        <w:t xml:space="preserve">一是将Pledge滞后一期；二是以Pledge_Dum为处理变量、以控制变量为协变量逐年进行1:1近邻匹配（卡尺0.05），报告匹配前后各协变量的标准化偏差，在匹配样本中重新估计；三是以同行业同年度（剔除本公司）的平均质押比例作为工具变量进行两阶段最小二乘估计，报告Kleibergen-Paap rk Wald F统计量。如开题报告所述，该工具变量的排他性约束较弱，且在加入行业×年度固定效应后无法使用，因此只作辅助性检验，其结果不作为因果推断的主要依据。</w:t>
      </w:r>
      <w:r>
        <w:rPr>
          <w:rFonts w:ascii="Times New Roman" w:eastAsia="宋体" w:hAnsi="Times New Roman"/>
          <w:sz w:val="24"/>
          <w:szCs w:val="24"/>
          <w:highlight w:val="yellow"/>
          <w:highlightCs w:val="yellow"/>
        </w:rPr>
        <w:t xml:space="preserve">【待估计后撰写。】</w:t>
      </w:r>
    </w:p>
    <w:p>
      <w:pPr>
        <w:keepNext/>
        <w:spacing w:after="80" w:before="200"/>
        <w:jc w:val="center"/>
      </w:pPr>
      <w:r>
        <w:rPr>
          <w:rFonts w:ascii="Times New Roman" w:eastAsia="黑体" w:hAnsi="Times New Roman"/>
          <w:b/>
          <w:bCs/>
          <w:sz w:val="21"/>
          <w:szCs w:val="21"/>
        </w:rPr>
        <w:t xml:space="preserve">表5-19　内生性处理</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6"/>
        <w:gridCol w:w="1993"/>
        <w:gridCol w:w="1993"/>
        <w:gridCol w:w="1994"/>
      </w:tblGrid>
      <w:tr>
        <w:trPr>
          <w:cantSplit/>
        </w:trPr>
        <w:tc>
          <w:tcPr>
            <w:tcW w:type="dxa" w:w="232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变量</w:t>
            </w:r>
          </w:p>
        </w:tc>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(1) 滞后一期</w:t>
            </w:r>
          </w:p>
        </w:tc>
        <w:tc>
          <w:tcPr>
            <w:tcW w:type="dxa" w:w="1993"/>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 PSM样本</w:t>
            </w:r>
          </w:p>
        </w:tc>
        <w:tc>
          <w:tcPr>
            <w:tcW w:type="dxa" w:w="1994"/>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(3) 2SLS</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Pledge／L.Pledge</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Kleibergen-Paap F统计量</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控制变量</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公司与年度固定效应</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3"/>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c>
          <w:tcPr>
            <w:tcW w:type="dxa" w:w="1994"/>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是</w:t>
            </w:r>
          </w:p>
        </w:tc>
      </w:tr>
      <w:tr>
        <w:trPr>
          <w:cantSplit/>
        </w:trPr>
        <w:tc>
          <w:tcPr>
            <w:tcW w:type="dxa" w:w="232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观测值</w:t>
            </w: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993"/>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c>
          <w:tcPr>
            <w:tcW w:type="dxa" w:w="1994"/>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p>
        </w:tc>
      </w:tr>
    </w:tbl>
    <w:p>
      <w:pPr>
        <w:spacing w:after="160" w:line="300"/>
        <w:jc w:val="both"/>
      </w:pPr>
      <w:r>
        <w:rPr>
          <w:rFonts w:ascii="Times New Roman" w:eastAsia="宋体" w:hAnsi="Times New Roman"/>
          <w:sz w:val="18"/>
          <w:szCs w:val="18"/>
        </w:rPr>
        <w:t xml:space="preserve">注：列(3)报告第二阶段结果，第一阶段结果另附。括号内为公司层面聚类稳健标准误；***、**、*分别表示1%、5%、10%显著水平；连续变量经上下1%缩尾。空白单元格待估计后填写。</w:t>
      </w:r>
    </w:p>
    <w:p>
      <w:pPr>
        <w:pStyle w:val="Heading2"/>
        <w:spacing w:after="120" w:before="240" w:line="360"/>
        <w:jc w:val="left"/>
      </w:pPr>
      <w:r>
        <w:rPr>
          <w:rFonts w:ascii="Times New Roman" w:eastAsia="黑体" w:hAnsi="Times New Roman"/>
          <w:b/>
          <w:bCs/>
          <w:sz w:val="28"/>
          <w:szCs w:val="28"/>
        </w:rPr>
        <w:t xml:space="preserve">附：各项检验所需数据清单</w:t>
      </w:r>
    </w:p>
    <w:p>
      <w:pPr>
        <w:spacing w:line="360"/>
        <w:ind w:firstLine="480"/>
        <w:jc w:val="both"/>
      </w:pPr>
      <w:r>
        <w:rPr>
          <w:rFonts w:ascii="Times New Roman" w:eastAsia="宋体" w:hAnsi="Times New Roman"/>
          <w:sz w:val="24"/>
          <w:szCs w:val="24"/>
        </w:rPr>
        <w:t xml:space="preserve">状态一栏依据开题报告第四部分（一）的表述填写；“须提供”指须从原始文献或数据库导出、不能由推算补全的数据。</w:t>
      </w:r>
    </w:p>
    <w:p>
      <w:pPr>
        <w:keepNext/>
        <w:spacing w:after="80" w:before="200"/>
        <w:jc w:val="center"/>
      </w:pPr>
      <w:r>
        <w:rPr>
          <w:rFonts w:ascii="Times New Roman" w:eastAsia="黑体" w:hAnsi="Times New Roman"/>
          <w:b/>
          <w:bCs/>
          <w:sz w:val="21"/>
          <w:szCs w:val="21"/>
        </w:rPr>
        <w:t xml:space="preserve">附表　各项检验所需数据</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3706"/>
        <w:gridCol w:w="1900"/>
        <w:gridCol w:w="1200"/>
      </w:tblGrid>
      <w:tr>
        <w:trPr>
          <w:cantSplit/>
        </w:trPr>
        <w:tc>
          <w:tcPr>
            <w:tcW w:type="dxa" w:w="15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检验</w:t>
            </w:r>
          </w:p>
        </w:tc>
        <w:tc>
          <w:tcPr>
            <w:tcW w:type="dxa" w:w="3706"/>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所需数据</w:t>
            </w:r>
          </w:p>
        </w:tc>
        <w:tc>
          <w:tcPr>
            <w:tcW w:type="dxa" w:w="19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来源</w:t>
            </w:r>
          </w:p>
        </w:tc>
        <w:tc>
          <w:tcPr>
            <w:tcW w:type="dxa" w:w="1200"/>
            <w:tcBorders>
              <w:top w:val="single" w:color="000000" w:sz="12"/>
              <w:left w:val="none" w:color="FFFFFF" w:sz="0"/>
              <w:bottom w:val="single" w:color="000000" w:sz="6"/>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状态</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5.3.1 平仓压力</w:t>
            </w:r>
          </w:p>
        </w:tc>
        <w:tc>
          <w:tcPr>
            <w:tcW w:type="dxa" w:w="37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第一大股东逐笔质押的起始日、解除日、质押股数，预警线／平仓线字段（若有）；月个股回报率（考虑现金红利再投资）；综合A股市场月回报率（考虑现金红利再投资）</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CSMAR质押明细表；股票市场交易库</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质押与个股回报已有；市场月回报待确认</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5.3.2 资金占用</w:t>
            </w:r>
          </w:p>
        </w:tc>
        <w:tc>
          <w:tcPr>
            <w:tcW w:type="dxa" w:w="37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其他应收款、其他应付款；可选：年报披露的控股股东及其关联方非经营性资金占用金额</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CSMAR财务报表；关联交易库或年报专项说明</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主口径已有；可选口径须下载</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5.3.3 现金边际价值</w:t>
            </w:r>
          </w:p>
        </w:tc>
        <w:tc>
          <w:tcPr>
            <w:tcW w:type="dxa" w:w="37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年个股回报率、年初市值与账面权益（构造25组合）；非经常性损益、利息费用、研发支出、现金股利、筹资活动各项现金流（吸收投资、取得借款、偿还债务）</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CSMAR财务报表与交易库</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回报与市值已有；其余须补充</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5.4.1 融资约束</w:t>
            </w:r>
          </w:p>
        </w:tc>
        <w:tc>
          <w:tcPr>
            <w:tcW w:type="dxa" w:w="37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KZ：现金股利；WW：长期借款、应付债券、行业营业收入增长率</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CSMAR财务报表；分配文件</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须补充</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5.5 新规DID</w:t>
            </w:r>
          </w:p>
        </w:tc>
        <w:tc>
          <w:tcPr>
            <w:tcW w:type="dxa" w:w="37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2007—2025年逐年质押比例、上市日期、注册地省份</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现有面板</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已有</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5.5.6 纾困</w:t>
            </w:r>
          </w:p>
        </w:tc>
        <w:tc>
          <w:tcPr>
            <w:tcW w:type="dxa" w:w="37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各省（区、市）地方政府纾困基金的设立时间</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毛捷和管星华（2022）原文表格</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须提供</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5.6 可靠性</w:t>
            </w:r>
          </w:p>
        </w:tc>
        <w:tc>
          <w:tcPr>
            <w:tcW w:type="dxa" w:w="37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使用受限的货币资金；利息收入；“存贷双高”判定口径；货币资金相关违规处罚记录</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CSMAR财务报表附注、违规处理库；杨国超等（2025）原文</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须下载／须提供</w:t>
            </w:r>
          </w:p>
        </w:tc>
      </w:tr>
      <w:tr>
        <w:trPr>
          <w:cantSplit/>
        </w:trP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5.7 投资</w:t>
            </w:r>
          </w:p>
        </w:tc>
        <w:tc>
          <w:tcPr>
            <w:tcW w:type="dxa" w:w="3706"/>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研发支出；固定资产折旧、无形资产与长期待摊费用摊销；处置长期资产收回的现金；取得子公司支付的现金</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CSMAR现金流量表及补充资料、研发投入表</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须补充</w:t>
            </w:r>
          </w:p>
        </w:tc>
      </w:tr>
      <w:tr>
        <w:trPr>
          <w:cantSplit/>
        </w:trPr>
        <w:tc>
          <w:tcPr>
            <w:tcW w:type="dxa" w:w="15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left"/>
            </w:pPr>
            <w:r>
              <w:rPr>
                <w:rFonts w:ascii="Times New Roman" w:eastAsia="宋体" w:hAnsi="Times New Roman"/>
                <w:sz w:val="20"/>
                <w:szCs w:val="20"/>
              </w:rPr>
              <w:t xml:space="preserve">5.8.3 生命周期</w:t>
            </w:r>
          </w:p>
        </w:tc>
        <w:tc>
          <w:tcPr>
            <w:tcW w:type="dxa" w:w="3706"/>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IPO募集资金净额</w:t>
            </w:r>
          </w:p>
        </w:tc>
        <w:tc>
          <w:tcPr>
            <w:tcW w:type="dxa" w:w="19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CSMAR首次公开发行文件</w:t>
            </w:r>
          </w:p>
        </w:tc>
        <w:tc>
          <w:tcPr>
            <w:tcW w:type="dxa" w:w="1200"/>
            <w:tcBorders>
              <w:top w:val="none" w:color="FFFFFF" w:sz="0"/>
              <w:left w:val="none" w:color="FFFFFF" w:sz="0"/>
              <w:bottom w:val="single" w:color="000000" w:sz="12"/>
              <w:right w:val="none" w:color="FFFFFF" w:sz="0"/>
            </w:tcBorders>
            <w:tcMar>
              <w:top w:type="dxa" w:w="30"/>
              <w:left w:type="dxa" w:w="60"/>
              <w:bottom w:type="dxa" w:w="30"/>
              <w:right w:type="dxa" w:w="60"/>
            </w:tcMar>
            <w:vAlign w:val="center"/>
          </w:tcPr>
          <w:p>
            <w:pPr>
              <w:jc w:val="center"/>
            </w:pPr>
            <w:r>
              <w:rPr>
                <w:rFonts w:ascii="Times New Roman" w:eastAsia="宋体" w:hAnsi="Times New Roman"/>
                <w:sz w:val="20"/>
                <w:szCs w:val="20"/>
              </w:rPr>
              <w:t xml:space="preserve">须下载</w:t>
            </w:r>
          </w:p>
        </w:tc>
      </w:tr>
    </w:tbl>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eastAsia="黑体" w:hAnsi="Times New Roman"/>
      <w:b/>
      <w:bCs/>
      <w:color w:val="000000"/>
    </w:rPr>
  </w:style>
  <w:style w:type="paragraph" w:styleId="Heading2">
    <w:name w:val="Heading 2"/>
    <w:basedOn w:val="Normal"/>
    <w:next w:val="Normal"/>
    <w:qFormat/>
    <w:pPr>
      <w:outlineLvl w:val="1"/>
    </w:pPr>
    <w:rPr>
      <w:rFonts w:ascii="Times New Roman" w:eastAsia="黑体" w:hAnsi="Times New Roman"/>
      <w:b/>
      <w:bCs/>
      <w:color w:val="000000"/>
    </w:rPr>
  </w:style>
  <w:style w:type="paragraph" w:styleId="Heading3">
    <w:name w:val="Heading 3"/>
    <w:basedOn w:val="Normal"/>
    <w:next w:val="Normal"/>
    <w:qFormat/>
    <w:pPr>
      <w:outlineLvl w:val="2"/>
    </w:pPr>
    <w:rPr>
      <w:rFonts w:ascii="Times New Roman" w:eastAsia="黑体" w:hAnsi="Times New Roman"/>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2026-10-07T06:38:43.181Z</dcterms:created>
  <dcterms:modified xsi:type="dcterms:W3CDTF">2026-10-07T06:38:43.183Z</dcterms:modified>
</cp:coreProperties>
</file>

<file path=docProps/custom.xml><?xml version="1.0" encoding="utf-8"?>
<Properties xmlns="http://schemas.openxmlformats.org/officeDocument/2006/custom-properties" xmlns:vt="http://schemas.openxmlformats.org/officeDocument/2006/docPropsVTypes"/>
</file>