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eastAsia="黑体" w:hAnsi="Arial"/>
          <w:b/>
          <w:bCs/>
          <w:color w:val="000000"/>
          <w:sz w:val="30"/>
          <w:szCs w:val="30"/>
        </w:rPr>
        <w:t xml:space="preserve">附　　录</w:t>
      </w:r>
    </w:p>
    <w:p>
      <w:pPr>
        <w:spacing w:after="320"/>
        <w:jc w:val="center"/>
      </w:pPr>
      <w:r>
        <w:rPr>
          <w:rFonts w:ascii="Times New Roman" w:eastAsia="宋体" w:hAnsi="Times New Roman"/>
          <w:b w:val="false"/>
          <w:bCs w:val="false"/>
          <w:color w:val="595959"/>
          <w:sz w:val="19"/>
          <w:szCs w:val="19"/>
        </w:rPr>
        <w:t xml:space="preserve">《国家战略功能约束下西藏高质量发展的三元协调评价》</w:t>
      </w:r>
    </w:p>
    <w:p>
      <w:pPr>
        <w:keepNext/>
        <w:spacing w:after="120" w:before="300"/>
        <w:jc w:val="center"/>
      </w:pPr>
      <w:r>
        <w:rPr>
          <w:rFonts w:ascii="Arial" w:eastAsia="黑体" w:hAnsi="Arial"/>
          <w:b/>
          <w:bCs/>
          <w:color w:val="000000"/>
          <w:sz w:val="21"/>
          <w:szCs w:val="21"/>
        </w:rPr>
        <w:t xml:space="preserve">附表A1　13项指标留一法（LOO）稳健性检验完整结果</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5408"/>
        <w:gridCol w:w="2060"/>
        <w:gridCol w:w="2189"/>
        <w:gridCol w:w="2189"/>
        <w:gridCol w:w="2833"/>
      </w:tblGrid>
      <w:tr>
        <w:trPr>
          <w:tblHeader/>
        </w:trPr>
        <w:tc>
          <w:tcPr>
            <w:tcW w:type="dxa" w:w="5408"/>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剔除指标</w:t>
            </w:r>
          </w:p>
        </w:tc>
        <w:tc>
          <w:tcPr>
            <w:tcW w:type="dxa" w:w="2060"/>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所属子系统</w:t>
            </w:r>
          </w:p>
        </w:tc>
        <w:tc>
          <w:tcPr>
            <w:tcW w:type="dxa" w:w="2189"/>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DMPI(2016)</w:t>
            </w:r>
          </w:p>
        </w:tc>
        <w:tc>
          <w:tcPr>
            <w:tcW w:type="dxa" w:w="2189"/>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DMPI(2025)</w:t>
            </w:r>
          </w:p>
        </w:tc>
        <w:tc>
          <w:tcPr>
            <w:tcW w:type="dxa" w:w="2833"/>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发展最弱年数（共10年）</w:t>
            </w:r>
          </w:p>
        </w:tc>
      </w:tr>
      <w:tr>
        <w:tc>
          <w:tcPr>
            <w:tcW w:type="dxa" w:w="540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S1 人均一般公共预算收入</w:t>
            </w:r>
          </w:p>
        </w:tc>
        <w:tc>
          <w:tcPr>
            <w:tcW w:type="dxa" w:w="206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安全 S</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0.400</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0.755</w:t>
            </w:r>
          </w:p>
        </w:tc>
        <w:tc>
          <w:tcPr>
            <w:tcW w:type="dxa" w:w="283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w:t>
            </w:r>
          </w:p>
        </w:tc>
      </w:tr>
      <w:tr>
        <w:tc>
          <w:tcPr>
            <w:tcW w:type="dxa" w:w="540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S2 城乡居民收入比与全国差距</w:t>
            </w:r>
          </w:p>
        </w:tc>
        <w:tc>
          <w:tcPr>
            <w:tcW w:type="dxa" w:w="206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安全 S</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0.392</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0.769</w:t>
            </w:r>
          </w:p>
        </w:tc>
        <w:tc>
          <w:tcPr>
            <w:tcW w:type="dxa" w:w="283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w:t>
            </w:r>
          </w:p>
        </w:tc>
      </w:tr>
      <w:tr>
        <w:tc>
          <w:tcPr>
            <w:tcW w:type="dxa" w:w="540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S3 居民医保人均财政补助标准</w:t>
            </w:r>
          </w:p>
        </w:tc>
        <w:tc>
          <w:tcPr>
            <w:tcW w:type="dxa" w:w="206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安全 S</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0.402</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0.766</w:t>
            </w:r>
          </w:p>
        </w:tc>
        <w:tc>
          <w:tcPr>
            <w:tcW w:type="dxa" w:w="283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w:t>
            </w:r>
          </w:p>
        </w:tc>
      </w:tr>
      <w:tr>
        <w:tc>
          <w:tcPr>
            <w:tcW w:type="dxa" w:w="540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S4 基本养老保险参保率</w:t>
            </w:r>
          </w:p>
        </w:tc>
        <w:tc>
          <w:tcPr>
            <w:tcW w:type="dxa" w:w="206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安全 S</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0.370</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0.722</w:t>
            </w:r>
          </w:p>
        </w:tc>
        <w:tc>
          <w:tcPr>
            <w:tcW w:type="dxa" w:w="283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w:t>
            </w:r>
          </w:p>
        </w:tc>
      </w:tr>
      <w:tr>
        <w:tc>
          <w:tcPr>
            <w:tcW w:type="dxa" w:w="540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D1 人均GDP相对全国水平</w:t>
            </w:r>
          </w:p>
        </w:tc>
        <w:tc>
          <w:tcPr>
            <w:tcW w:type="dxa" w:w="206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发展 D</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0.378</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0.745</w:t>
            </w:r>
          </w:p>
        </w:tc>
        <w:tc>
          <w:tcPr>
            <w:tcW w:type="dxa" w:w="283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w:t>
            </w:r>
          </w:p>
        </w:tc>
      </w:tr>
      <w:tr>
        <w:tc>
          <w:tcPr>
            <w:tcW w:type="dxa" w:w="540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D2 农村居民人均收入相对全国水平</w:t>
            </w:r>
          </w:p>
        </w:tc>
        <w:tc>
          <w:tcPr>
            <w:tcW w:type="dxa" w:w="206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发展 D</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0.371</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0.732</w:t>
            </w:r>
          </w:p>
        </w:tc>
        <w:tc>
          <w:tcPr>
            <w:tcW w:type="dxa" w:w="283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w:t>
            </w:r>
          </w:p>
        </w:tc>
      </w:tr>
      <w:tr>
        <w:tc>
          <w:tcPr>
            <w:tcW w:type="dxa" w:w="540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D3 外向度</w:t>
            </w:r>
          </w:p>
        </w:tc>
        <w:tc>
          <w:tcPr>
            <w:tcW w:type="dxa" w:w="206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发展 D</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0.395</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0.791</w:t>
            </w:r>
          </w:p>
        </w:tc>
        <w:tc>
          <w:tcPr>
            <w:tcW w:type="dxa" w:w="283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w:t>
            </w:r>
          </w:p>
        </w:tc>
      </w:tr>
      <w:tr>
        <w:tc>
          <w:tcPr>
            <w:tcW w:type="dxa" w:w="540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D4 人均接待游客</w:t>
            </w:r>
          </w:p>
        </w:tc>
        <w:tc>
          <w:tcPr>
            <w:tcW w:type="dxa" w:w="206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发展 D</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0.405</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0.751</w:t>
            </w:r>
          </w:p>
        </w:tc>
        <w:tc>
          <w:tcPr>
            <w:tcW w:type="dxa" w:w="283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w:t>
            </w:r>
          </w:p>
        </w:tc>
      </w:tr>
      <w:tr>
        <w:tc>
          <w:tcPr>
            <w:tcW w:type="dxa" w:w="540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D5 发电量</w:t>
            </w:r>
          </w:p>
        </w:tc>
        <w:tc>
          <w:tcPr>
            <w:tcW w:type="dxa" w:w="206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发展 D</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0.408</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0.746</w:t>
            </w:r>
          </w:p>
        </w:tc>
        <w:tc>
          <w:tcPr>
            <w:tcW w:type="dxa" w:w="283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w:t>
            </w:r>
          </w:p>
        </w:tc>
      </w:tr>
      <w:tr>
        <w:tc>
          <w:tcPr>
            <w:tcW w:type="dxa" w:w="540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E1 单位GDP能耗指数</w:t>
            </w:r>
          </w:p>
        </w:tc>
        <w:tc>
          <w:tcPr>
            <w:tcW w:type="dxa" w:w="206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生态 E</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0.426</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0.770</w:t>
            </w:r>
          </w:p>
        </w:tc>
        <w:tc>
          <w:tcPr>
            <w:tcW w:type="dxa" w:w="283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w:t>
            </w:r>
          </w:p>
        </w:tc>
      </w:tr>
      <w:tr>
        <w:tc>
          <w:tcPr>
            <w:tcW w:type="dxa" w:w="540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E2 森林覆盖率</w:t>
            </w:r>
          </w:p>
        </w:tc>
        <w:tc>
          <w:tcPr>
            <w:tcW w:type="dxa" w:w="206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生态 E</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0.439</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0.740</w:t>
            </w:r>
          </w:p>
        </w:tc>
        <w:tc>
          <w:tcPr>
            <w:tcW w:type="dxa" w:w="283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w:t>
            </w:r>
          </w:p>
        </w:tc>
      </w:tr>
      <w:tr>
        <w:tc>
          <w:tcPr>
            <w:tcW w:type="dxa" w:w="540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E3 空气质量优良天数比例</w:t>
            </w:r>
          </w:p>
        </w:tc>
        <w:tc>
          <w:tcPr>
            <w:tcW w:type="dxa" w:w="206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生态 E</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0.205</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0.741</w:t>
            </w:r>
          </w:p>
        </w:tc>
        <w:tc>
          <w:tcPr>
            <w:tcW w:type="dxa" w:w="283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w:t>
            </w:r>
          </w:p>
        </w:tc>
      </w:tr>
      <w:tr>
        <w:tc>
          <w:tcPr>
            <w:tcW w:type="dxa" w:w="540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E4 草原综合植被盖度</w:t>
            </w:r>
          </w:p>
        </w:tc>
        <w:tc>
          <w:tcPr>
            <w:tcW w:type="dxa" w:w="206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生态 E</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0.439</w:t>
            </w:r>
          </w:p>
        </w:tc>
        <w:tc>
          <w:tcPr>
            <w:tcW w:type="dxa" w:w="2189"/>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0.762</w:t>
            </w:r>
          </w:p>
        </w:tc>
        <w:tc>
          <w:tcPr>
            <w:tcW w:type="dxa" w:w="283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w:t>
            </w:r>
          </w:p>
        </w:tc>
      </w:tr>
    </w:tbl>
    <w:p>
      <w:pPr>
        <w:spacing w:after="200" w:before="60"/>
      </w:pPr>
      <w:r>
        <w:rPr>
          <w:rFonts w:ascii="Times New Roman" w:eastAsia="宋体" w:hAnsi="Times New Roman"/>
          <w:b w:val="false"/>
          <w:bCs w:val="false"/>
          <w:color w:val="404040"/>
          <w:sz w:val="16"/>
          <w:szCs w:val="16"/>
        </w:rPr>
        <w:t xml:space="preserve">注：逐一剔除13项指标中的一项后，子系统内部对其余指标仍按等权重新计算US、UD、UE，再按式（4）重算MPI协调指数。13项设定中有11项发展最弱年数不少于3年，仅剔除S4、D3两项设定下降至2年，年数区间为2—9年。本表S1、S4、D3、E2、E4五项与正文表6所列节选值逐项一致。数据来源：历年《西藏自治区国民经济和社会发展统计公报》、财政决算资料、人力资源和社会保障统计资料、生态环境状况公报及林草公报。</w:t>
      </w:r>
    </w:p>
    <w:p>
      <w:pPr>
        <w:keepNext/>
        <w:spacing w:after="120" w:before="300"/>
        <w:jc w:val="center"/>
      </w:pPr>
      <w:r>
        <w:rPr>
          <w:rFonts w:ascii="Arial" w:eastAsia="黑体" w:hAnsi="Arial"/>
          <w:b/>
          <w:bCs/>
          <w:color w:val="000000"/>
          <w:sz w:val="21"/>
          <w:szCs w:val="21"/>
        </w:rPr>
        <w:t xml:space="preserve">附表A2　2016—2025年人均化与相对全国水平处理所用辅助基础序列</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8"/>
        <w:gridCol w:w="3565"/>
        <w:gridCol w:w="3565"/>
        <w:gridCol w:w="3565"/>
        <w:gridCol w:w="2516"/>
      </w:tblGrid>
      <w:tr>
        <w:trPr>
          <w:tblHeader/>
        </w:trPr>
        <w:tc>
          <w:tcPr>
            <w:tcW w:type="dxa" w:w="1468"/>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年份</w:t>
            </w:r>
          </w:p>
        </w:tc>
        <w:tc>
          <w:tcPr>
            <w:tcW w:type="dxa" w:w="3565"/>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西藏自治区年末常住人口（万人）</w:t>
            </w:r>
          </w:p>
        </w:tc>
        <w:tc>
          <w:tcPr>
            <w:tcW w:type="dxa" w:w="3565"/>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全国城镇居民人均可支配收入（元）</w:t>
            </w:r>
          </w:p>
        </w:tc>
        <w:tc>
          <w:tcPr>
            <w:tcW w:type="dxa" w:w="3565"/>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全国农村居民人均可支配收入（元）</w:t>
            </w:r>
          </w:p>
        </w:tc>
        <w:tc>
          <w:tcPr>
            <w:tcW w:type="dxa" w:w="2516"/>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全国城乡居民收入比</w:t>
            </w:r>
          </w:p>
        </w:tc>
      </w:tr>
      <w:tr>
        <w:tc>
          <w:tcPr>
            <w:tcW w:type="dxa" w:w="146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2016</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330.54</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33,616</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12,363</w:t>
            </w:r>
          </w:p>
        </w:tc>
        <w:tc>
          <w:tcPr>
            <w:tcW w:type="dxa" w:w="251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2.72</w:t>
            </w:r>
          </w:p>
        </w:tc>
      </w:tr>
      <w:tr>
        <w:tc>
          <w:tcPr>
            <w:tcW w:type="dxa" w:w="146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2017</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337.15</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36,396</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13,432</w:t>
            </w:r>
          </w:p>
        </w:tc>
        <w:tc>
          <w:tcPr>
            <w:tcW w:type="dxa" w:w="251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2.71</w:t>
            </w:r>
          </w:p>
        </w:tc>
      </w:tr>
      <w:tr>
        <w:tc>
          <w:tcPr>
            <w:tcW w:type="dxa" w:w="146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2018</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343.82</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39,251</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14,617</w:t>
            </w:r>
          </w:p>
        </w:tc>
        <w:tc>
          <w:tcPr>
            <w:tcW w:type="dxa" w:w="251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2.69</w:t>
            </w:r>
          </w:p>
        </w:tc>
      </w:tr>
      <w:tr>
        <w:tc>
          <w:tcPr>
            <w:tcW w:type="dxa" w:w="146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2019</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350.56</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42,359</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16,021</w:t>
            </w:r>
          </w:p>
        </w:tc>
        <w:tc>
          <w:tcPr>
            <w:tcW w:type="dxa" w:w="251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2.64</w:t>
            </w:r>
          </w:p>
        </w:tc>
      </w:tr>
      <w:tr>
        <w:tc>
          <w:tcPr>
            <w:tcW w:type="dxa" w:w="146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2020</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364.81</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43,834</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17,131</w:t>
            </w:r>
          </w:p>
        </w:tc>
        <w:tc>
          <w:tcPr>
            <w:tcW w:type="dxa" w:w="251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2.56</w:t>
            </w:r>
          </w:p>
        </w:tc>
      </w:tr>
      <w:tr>
        <w:tc>
          <w:tcPr>
            <w:tcW w:type="dxa" w:w="146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2021</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366.00</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47,412</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18,931</w:t>
            </w:r>
          </w:p>
        </w:tc>
        <w:tc>
          <w:tcPr>
            <w:tcW w:type="dxa" w:w="251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2.50</w:t>
            </w:r>
          </w:p>
        </w:tc>
      </w:tr>
      <w:tr>
        <w:tc>
          <w:tcPr>
            <w:tcW w:type="dxa" w:w="146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2022</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364.00</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49,283</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20,133</w:t>
            </w:r>
          </w:p>
        </w:tc>
        <w:tc>
          <w:tcPr>
            <w:tcW w:type="dxa" w:w="251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2.45</w:t>
            </w:r>
          </w:p>
        </w:tc>
      </w:tr>
      <w:tr>
        <w:tc>
          <w:tcPr>
            <w:tcW w:type="dxa" w:w="146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2023</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365.00</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51,821</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21,691</w:t>
            </w:r>
          </w:p>
        </w:tc>
        <w:tc>
          <w:tcPr>
            <w:tcW w:type="dxa" w:w="251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2.39</w:t>
            </w:r>
          </w:p>
        </w:tc>
      </w:tr>
      <w:tr>
        <w:tc>
          <w:tcPr>
            <w:tcW w:type="dxa" w:w="146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2024</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370.00</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54,188</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23,119</w:t>
            </w:r>
          </w:p>
        </w:tc>
        <w:tc>
          <w:tcPr>
            <w:tcW w:type="dxa" w:w="251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2.34</w:t>
            </w:r>
          </w:p>
        </w:tc>
      </w:tr>
      <w:tr>
        <w:tc>
          <w:tcPr>
            <w:tcW w:type="dxa" w:w="146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2025</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374.00</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56,502</w:t>
            </w:r>
          </w:p>
        </w:tc>
        <w:tc>
          <w:tcPr>
            <w:tcW w:type="dxa" w:w="356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24,456</w:t>
            </w:r>
          </w:p>
        </w:tc>
        <w:tc>
          <w:tcPr>
            <w:tcW w:type="dxa" w:w="251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2.31</w:t>
            </w:r>
          </w:p>
        </w:tc>
      </w:tr>
    </w:tbl>
    <w:p>
      <w:pPr>
        <w:spacing w:after="200" w:before="60"/>
      </w:pPr>
      <w:r>
        <w:rPr>
          <w:rFonts w:ascii="Times New Roman" w:eastAsia="宋体" w:hAnsi="Times New Roman"/>
          <w:b w:val="false"/>
          <w:bCs w:val="false"/>
          <w:color w:val="404040"/>
          <w:sz w:val="16"/>
          <w:szCs w:val="16"/>
        </w:rPr>
        <w:t xml:space="preserve">注：西藏自治区年末常住人口取自历年《西藏自治区国民经济和社会发展统计公报》，其中2020年为第七次全国人口普查数；全国城镇、农村居民人均可支配收入取自国家统计局历年发布的《居民收入和消费支出情况》。城乡居民收入比＝城镇居民人均可支配收入／农村居民人均可支配收入，样本期内逐年下降，反映全国城乡收入差距持续收窄。该三条序列用于S1（人均化）、S2（与全国差距）、D2（相对全国水平）、D4（人均化）四项指标的换算。</w:t>
      </w:r>
    </w:p>
    <w:p>
      <w:pPr>
        <w:keepNext/>
        <w:spacing w:after="120" w:before="300"/>
        <w:jc w:val="center"/>
      </w:pPr>
      <w:r>
        <w:rPr>
          <w:rFonts w:ascii="Arial" w:eastAsia="黑体" w:hAnsi="Arial"/>
          <w:b/>
          <w:bCs/>
          <w:color w:val="000000"/>
          <w:sz w:val="21"/>
          <w:szCs w:val="21"/>
        </w:rPr>
        <w:t xml:space="preserve">附表A3　2024年西藏七地市经济规模、财政自给率与文旅发展</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39"/>
        <w:gridCol w:w="1430"/>
        <w:gridCol w:w="1811"/>
        <w:gridCol w:w="2002"/>
        <w:gridCol w:w="1430"/>
        <w:gridCol w:w="1430"/>
        <w:gridCol w:w="1906"/>
        <w:gridCol w:w="1906"/>
        <w:gridCol w:w="1525"/>
      </w:tblGrid>
      <w:tr>
        <w:trPr>
          <w:tblHeader/>
        </w:trPr>
        <w:tc>
          <w:tcPr>
            <w:tcW w:type="dxa" w:w="1239"/>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地市</w:t>
            </w:r>
          </w:p>
        </w:tc>
        <w:tc>
          <w:tcPr>
            <w:tcW w:type="dxa" w:w="1430"/>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GDP（亿元）</w:t>
            </w:r>
          </w:p>
        </w:tc>
        <w:tc>
          <w:tcPr>
            <w:tcW w:type="dxa" w:w="1811"/>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占七地市合计比重（%）</w:t>
            </w:r>
          </w:p>
        </w:tc>
        <w:tc>
          <w:tcPr>
            <w:tcW w:type="dxa" w:w="2002"/>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一般公共预算收入（亿元）</w:t>
            </w:r>
          </w:p>
        </w:tc>
        <w:tc>
          <w:tcPr>
            <w:tcW w:type="dxa" w:w="1430"/>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财政自给率（%）</w:t>
            </w:r>
          </w:p>
        </w:tc>
        <w:tc>
          <w:tcPr>
            <w:tcW w:type="dxa" w:w="1430"/>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第三产业比重（%）</w:t>
            </w:r>
          </w:p>
        </w:tc>
        <w:tc>
          <w:tcPr>
            <w:tcW w:type="dxa" w:w="1906"/>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城镇居民人均可支配收入（元）</w:t>
            </w:r>
          </w:p>
        </w:tc>
        <w:tc>
          <w:tcPr>
            <w:tcW w:type="dxa" w:w="1906"/>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农村居民人均可支配收入（元）</w:t>
            </w:r>
          </w:p>
        </w:tc>
        <w:tc>
          <w:tcPr>
            <w:tcW w:type="dxa" w:w="1525"/>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接待游客（万人次）</w:t>
            </w:r>
          </w:p>
        </w:tc>
      </w:tr>
      <w:tr>
        <w:tc>
          <w:tcPr>
            <w:tcW w:type="dxa" w:w="123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拉萨市</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990.04</w:t>
            </w:r>
          </w:p>
        </w:tc>
        <w:tc>
          <w:tcPr>
            <w:tcW w:type="dxa" w:w="1811"/>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35.81</w:t>
            </w:r>
          </w:p>
        </w:tc>
        <w:tc>
          <w:tcPr>
            <w:tcW w:type="dxa" w:w="200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120.64</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36.19</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57.60</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58,171</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27,151</w:t>
            </w:r>
          </w:p>
        </w:tc>
        <w:tc>
          <w:tcPr>
            <w:tcW w:type="dxa" w:w="152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4,324.44</w:t>
            </w:r>
          </w:p>
        </w:tc>
      </w:tr>
      <w:tr>
        <w:tc>
          <w:tcPr>
            <w:tcW w:type="dxa" w:w="123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日喀则市</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464.30</w:t>
            </w:r>
          </w:p>
        </w:tc>
        <w:tc>
          <w:tcPr>
            <w:tcW w:type="dxa" w:w="1811"/>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16.79</w:t>
            </w:r>
          </w:p>
        </w:tc>
        <w:tc>
          <w:tcPr>
            <w:tcW w:type="dxa" w:w="200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32.07</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5.41</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54.26</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48,930</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19,103</w:t>
            </w:r>
          </w:p>
        </w:tc>
        <w:tc>
          <w:tcPr>
            <w:tcW w:type="dxa" w:w="152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1,114.50</w:t>
            </w:r>
          </w:p>
        </w:tc>
      </w:tr>
      <w:tr>
        <w:tc>
          <w:tcPr>
            <w:tcW w:type="dxa" w:w="123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昌都市</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386.01</w:t>
            </w:r>
          </w:p>
        </w:tc>
        <w:tc>
          <w:tcPr>
            <w:tcW w:type="dxa" w:w="1811"/>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13.96</w:t>
            </w:r>
          </w:p>
        </w:tc>
        <w:tc>
          <w:tcPr>
            <w:tcW w:type="dxa" w:w="200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24.38</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10.02</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42.03</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46,204</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18,310</w:t>
            </w:r>
          </w:p>
        </w:tc>
        <w:tc>
          <w:tcPr>
            <w:tcW w:type="dxa" w:w="152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371.40</w:t>
            </w:r>
          </w:p>
        </w:tc>
      </w:tr>
      <w:tr>
        <w:tc>
          <w:tcPr>
            <w:tcW w:type="dxa" w:w="123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山南市</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304.42</w:t>
            </w:r>
          </w:p>
        </w:tc>
        <w:tc>
          <w:tcPr>
            <w:tcW w:type="dxa" w:w="1811"/>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11.01</w:t>
            </w:r>
          </w:p>
        </w:tc>
        <w:tc>
          <w:tcPr>
            <w:tcW w:type="dxa" w:w="200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19.25</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7.76</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46.40</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47,562</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22,945</w:t>
            </w:r>
          </w:p>
        </w:tc>
        <w:tc>
          <w:tcPr>
            <w:tcW w:type="dxa" w:w="152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705.58</w:t>
            </w:r>
          </w:p>
        </w:tc>
      </w:tr>
      <w:tr>
        <w:tc>
          <w:tcPr>
            <w:tcW w:type="dxa" w:w="123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林芝市</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267.78</w:t>
            </w:r>
          </w:p>
        </w:tc>
        <w:tc>
          <w:tcPr>
            <w:tcW w:type="dxa" w:w="1811"/>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9.68</w:t>
            </w:r>
          </w:p>
        </w:tc>
        <w:tc>
          <w:tcPr>
            <w:tcW w:type="dxa" w:w="200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15.65</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8.29</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56.21</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46,650</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26,450</w:t>
            </w:r>
          </w:p>
        </w:tc>
        <w:tc>
          <w:tcPr>
            <w:tcW w:type="dxa" w:w="152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1,417.89</w:t>
            </w:r>
          </w:p>
        </w:tc>
      </w:tr>
      <w:tr>
        <w:tc>
          <w:tcPr>
            <w:tcW w:type="dxa" w:w="123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那曲市</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246.34</w:t>
            </w:r>
          </w:p>
        </w:tc>
        <w:tc>
          <w:tcPr>
            <w:tcW w:type="dxa" w:w="1811"/>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8.91</w:t>
            </w:r>
          </w:p>
        </w:tc>
        <w:tc>
          <w:tcPr>
            <w:tcW w:type="dxa" w:w="200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11.43</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3.58</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49.98</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49,602</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17,542</w:t>
            </w:r>
          </w:p>
        </w:tc>
        <w:tc>
          <w:tcPr>
            <w:tcW w:type="dxa" w:w="152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232.06</w:t>
            </w:r>
          </w:p>
        </w:tc>
      </w:tr>
      <w:tr>
        <w:tc>
          <w:tcPr>
            <w:tcW w:type="dxa" w:w="123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阿里地区</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105.85</w:t>
            </w:r>
          </w:p>
        </w:tc>
        <w:tc>
          <w:tcPr>
            <w:tcW w:type="dxa" w:w="1811"/>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3.83</w:t>
            </w:r>
          </w:p>
        </w:tc>
        <w:tc>
          <w:tcPr>
            <w:tcW w:type="dxa" w:w="200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10.45</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6.60</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54.90</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53,101</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18,924</w:t>
            </w:r>
          </w:p>
        </w:tc>
        <w:tc>
          <w:tcPr>
            <w:tcW w:type="dxa" w:w="152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258.37</w:t>
            </w:r>
          </w:p>
        </w:tc>
      </w:tr>
      <w:tr>
        <w:tc>
          <w:tcPr>
            <w:tcW w:type="dxa" w:w="123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全区合计</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2,764.74</w:t>
            </w:r>
          </w:p>
        </w:tc>
        <w:tc>
          <w:tcPr>
            <w:tcW w:type="dxa" w:w="1811"/>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99.99</w:t>
            </w:r>
          </w:p>
        </w:tc>
        <w:tc>
          <w:tcPr>
            <w:tcW w:type="dxa" w:w="200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w:t>
            </w:r>
          </w:p>
        </w:tc>
        <w:tc>
          <w:tcPr>
            <w:tcW w:type="dxa" w:w="143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w:t>
            </w:r>
          </w:p>
        </w:tc>
        <w:tc>
          <w:tcPr>
            <w:tcW w:type="dxa" w:w="19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w:t>
            </w:r>
          </w:p>
        </w:tc>
        <w:tc>
          <w:tcPr>
            <w:tcW w:type="dxa" w:w="1525"/>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w:t>
            </w:r>
          </w:p>
        </w:tc>
      </w:tr>
    </w:tbl>
    <w:p>
      <w:pPr>
        <w:spacing w:after="200" w:before="60"/>
      </w:pPr>
      <w:r>
        <w:rPr>
          <w:rFonts w:ascii="Times New Roman" w:eastAsia="宋体" w:hAnsi="Times New Roman"/>
          <w:b w:val="false"/>
          <w:bCs w:val="false"/>
          <w:color w:val="404040"/>
          <w:sz w:val="16"/>
          <w:szCs w:val="16"/>
        </w:rPr>
        <w:t xml:space="preserve">注：财政自给率＝一般公共预算收入／一般公共预算支出。除拉萨市外，其余六个地市（地区）财政自给率均低于11%。表末合计行为七地市（地区）加总值，与2024年全区统计公报所载地区生产总值（2764.94亿元）及正文D3分母所用的含第五次全国经济普查修订口径（2789.07亿元）均不相同，比重列的分母为七地市合计。数据来源：西藏自治区及七地市2024年国民经济和社会发展统计公报、财政决算资料。各分项占比之和与100%的微小误差为四舍五入所致。</w:t>
      </w:r>
    </w:p>
    <w:p>
      <w:pPr>
        <w:keepNext/>
        <w:spacing w:after="120" w:before="300"/>
        <w:jc w:val="center"/>
      </w:pPr>
      <w:r>
        <w:rPr>
          <w:rFonts w:ascii="Arial" w:eastAsia="黑体" w:hAnsi="Arial"/>
          <w:b/>
          <w:bCs/>
          <w:color w:val="000000"/>
          <w:sz w:val="21"/>
          <w:szCs w:val="21"/>
        </w:rPr>
        <w:t xml:space="preserve">附表A4　2016—2024年74个区县层面经济规模空间分异</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598"/>
        <w:gridCol w:w="4393"/>
        <w:gridCol w:w="4393"/>
        <w:gridCol w:w="4294"/>
      </w:tblGrid>
      <w:tr>
        <w:trPr>
          <w:tblHeader/>
        </w:trPr>
        <w:tc>
          <w:tcPr>
            <w:tcW w:type="dxa" w:w="1598"/>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年份</w:t>
            </w:r>
          </w:p>
        </w:tc>
        <w:tc>
          <w:tcPr>
            <w:tcW w:type="dxa" w:w="4393"/>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总量口径泰尔指数（74区县）</w:t>
            </w:r>
          </w:p>
        </w:tc>
        <w:tc>
          <w:tcPr>
            <w:tcW w:type="dxa" w:w="4393"/>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剔除城关区后泰尔指数（73区县）</w:t>
            </w:r>
          </w:p>
        </w:tc>
        <w:tc>
          <w:tcPr>
            <w:tcW w:type="dxa" w:w="4294"/>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总量—人均秩相关系数（户籍口径）</w:t>
            </w:r>
          </w:p>
        </w:tc>
      </w:tr>
      <w:tr>
        <w:tc>
          <w:tcPr>
            <w:tcW w:type="dxa" w:w="159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2016</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0.704</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0.362</w:t>
            </w:r>
          </w:p>
        </w:tc>
        <w:tc>
          <w:tcPr>
            <w:tcW w:type="dxa" w:w="429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0.344</w:t>
            </w:r>
          </w:p>
        </w:tc>
      </w:tr>
      <w:tr>
        <w:tc>
          <w:tcPr>
            <w:tcW w:type="dxa" w:w="159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2017</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0.676</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0.350</w:t>
            </w:r>
          </w:p>
        </w:tc>
        <w:tc>
          <w:tcPr>
            <w:tcW w:type="dxa" w:w="429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0.302</w:t>
            </w:r>
          </w:p>
        </w:tc>
      </w:tr>
      <w:tr>
        <w:tc>
          <w:tcPr>
            <w:tcW w:type="dxa" w:w="159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2018</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0.690</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0.384</w:t>
            </w:r>
          </w:p>
        </w:tc>
        <w:tc>
          <w:tcPr>
            <w:tcW w:type="dxa" w:w="429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0.270</w:t>
            </w:r>
          </w:p>
        </w:tc>
      </w:tr>
      <w:tr>
        <w:tc>
          <w:tcPr>
            <w:tcW w:type="dxa" w:w="159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2019</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0.770</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0.430</w:t>
            </w:r>
          </w:p>
        </w:tc>
        <w:tc>
          <w:tcPr>
            <w:tcW w:type="dxa" w:w="429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0.235</w:t>
            </w:r>
          </w:p>
        </w:tc>
      </w:tr>
      <w:tr>
        <w:tc>
          <w:tcPr>
            <w:tcW w:type="dxa" w:w="159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2020</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0.695</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0.420</w:t>
            </w:r>
          </w:p>
        </w:tc>
        <w:tc>
          <w:tcPr>
            <w:tcW w:type="dxa" w:w="429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0.210</w:t>
            </w:r>
          </w:p>
        </w:tc>
      </w:tr>
      <w:tr>
        <w:tc>
          <w:tcPr>
            <w:tcW w:type="dxa" w:w="159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2021</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0.667</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0.410</w:t>
            </w:r>
          </w:p>
        </w:tc>
        <w:tc>
          <w:tcPr>
            <w:tcW w:type="dxa" w:w="429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0.238</w:t>
            </w:r>
          </w:p>
        </w:tc>
      </w:tr>
      <w:tr>
        <w:tc>
          <w:tcPr>
            <w:tcW w:type="dxa" w:w="159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2022</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0.641</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0.395</w:t>
            </w:r>
          </w:p>
        </w:tc>
        <w:tc>
          <w:tcPr>
            <w:tcW w:type="dxa" w:w="429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0.240</w:t>
            </w:r>
          </w:p>
        </w:tc>
      </w:tr>
      <w:tr>
        <w:tc>
          <w:tcPr>
            <w:tcW w:type="dxa" w:w="159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2023</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0.628</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0.389</w:t>
            </w:r>
          </w:p>
        </w:tc>
        <w:tc>
          <w:tcPr>
            <w:tcW w:type="dxa" w:w="429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0.226</w:t>
            </w:r>
          </w:p>
        </w:tc>
      </w:tr>
      <w:tr>
        <w:tc>
          <w:tcPr>
            <w:tcW w:type="dxa" w:w="1598"/>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2024</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0.621</w:t>
            </w:r>
          </w:p>
        </w:tc>
        <w:tc>
          <w:tcPr>
            <w:tcW w:type="dxa" w:w="439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0.412</w:t>
            </w:r>
          </w:p>
        </w:tc>
        <w:tc>
          <w:tcPr>
            <w:tcW w:type="dxa" w:w="429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0.178</w:t>
            </w:r>
          </w:p>
        </w:tc>
      </w:tr>
    </w:tbl>
    <w:p>
      <w:pPr>
        <w:spacing w:after="200" w:before="60"/>
      </w:pPr>
      <w:r>
        <w:rPr>
          <w:rFonts w:ascii="Times New Roman" w:eastAsia="宋体" w:hAnsi="Times New Roman"/>
          <w:b w:val="false"/>
          <w:bCs w:val="false"/>
          <w:color w:val="404040"/>
          <w:sz w:val="16"/>
          <w:szCs w:val="16"/>
        </w:rPr>
        <w:t xml:space="preserve">注：泰尔指数采用份额熵形式 T=Σ(GDP_i/GDP)×ln[(GDP_i/GDP)×n]（n为区县数）。总量口径泰尔指数于2019年达到峰值0.770，2024年降至0.621；剔除城关区后的73区县泰尔指数由2016年0.362升至2024年0.412，表明总量口径差距的收窄主要由城关区份额下降所驱动。秩相关系数为各区县地区生产总值排名与人均地区生产总值（以户籍人口为基数）排名的斯皮尔曼秩相关系数，由2016年的0.344降至2024年的0.178，与正文§5(四)所引一致，反映经济总量分布与人均分布的一致性趋于减弱。2024年城关区按户籍口径人均地区生产总值在74个区县中排名第5位，常住口径下排名第14位。数据来源：74个区县2016—2024年统计资料及历年国民经济和社会发展统计公报。</w:t>
      </w:r>
    </w:p>
    <w:p>
      <w:pPr>
        <w:keepNext/>
        <w:spacing w:after="120" w:before="300"/>
        <w:jc w:val="center"/>
      </w:pPr>
      <w:r>
        <w:rPr>
          <w:rFonts w:ascii="Arial" w:eastAsia="黑体" w:hAnsi="Arial"/>
          <w:b/>
          <w:bCs/>
          <w:color w:val="000000"/>
          <w:sz w:val="21"/>
          <w:szCs w:val="21"/>
        </w:rPr>
        <w:t xml:space="preserve">附表A5　13项指标标准化前取值（2016—2025年）</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600"/>
        <w:gridCol w:w="3402"/>
        <w:gridCol w:w="620"/>
        <w:gridCol w:w="1006"/>
        <w:gridCol w:w="1006"/>
        <w:gridCol w:w="1006"/>
        <w:gridCol w:w="1006"/>
        <w:gridCol w:w="1006"/>
        <w:gridCol w:w="1006"/>
        <w:gridCol w:w="1006"/>
        <w:gridCol w:w="1006"/>
        <w:gridCol w:w="1006"/>
        <w:gridCol w:w="1006"/>
      </w:tblGrid>
      <w:tr>
        <w:trPr>
          <w:tblHeader/>
        </w:trPr>
        <w:tc>
          <w:tcPr>
            <w:tcW w:type="dxa" w:w="600"/>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编码</w:t>
            </w:r>
          </w:p>
        </w:tc>
        <w:tc>
          <w:tcPr>
            <w:tcW w:type="dxa" w:w="3402"/>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三级指标</w:t>
            </w:r>
          </w:p>
        </w:tc>
        <w:tc>
          <w:tcPr>
            <w:tcW w:type="dxa" w:w="620"/>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方向</w:t>
            </w:r>
          </w:p>
        </w:tc>
        <w:tc>
          <w:tcPr>
            <w:tcW w:type="dxa" w:w="1006"/>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2016</w:t>
            </w:r>
          </w:p>
        </w:tc>
        <w:tc>
          <w:tcPr>
            <w:tcW w:type="dxa" w:w="1006"/>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2017</w:t>
            </w:r>
          </w:p>
        </w:tc>
        <w:tc>
          <w:tcPr>
            <w:tcW w:type="dxa" w:w="1006"/>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2018</w:t>
            </w:r>
          </w:p>
        </w:tc>
        <w:tc>
          <w:tcPr>
            <w:tcW w:type="dxa" w:w="1006"/>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2019</w:t>
            </w:r>
          </w:p>
        </w:tc>
        <w:tc>
          <w:tcPr>
            <w:tcW w:type="dxa" w:w="1006"/>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2020</w:t>
            </w:r>
          </w:p>
        </w:tc>
        <w:tc>
          <w:tcPr>
            <w:tcW w:type="dxa" w:w="1006"/>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2021</w:t>
            </w:r>
          </w:p>
        </w:tc>
        <w:tc>
          <w:tcPr>
            <w:tcW w:type="dxa" w:w="1006"/>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2022</w:t>
            </w:r>
          </w:p>
        </w:tc>
        <w:tc>
          <w:tcPr>
            <w:tcW w:type="dxa" w:w="1006"/>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2023</w:t>
            </w:r>
          </w:p>
        </w:tc>
        <w:tc>
          <w:tcPr>
            <w:tcW w:type="dxa" w:w="1006"/>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2024</w:t>
            </w:r>
          </w:p>
        </w:tc>
        <w:tc>
          <w:tcPr>
            <w:tcW w:type="dxa" w:w="1006"/>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2025</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S1</w:t>
            </w:r>
          </w:p>
        </w:tc>
        <w:tc>
          <w:tcPr>
            <w:tcW w:type="dxa" w:w="3402"/>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人均一般公共预算收入（元/人）</w:t>
            </w:r>
          </w:p>
        </w:tc>
        <w:tc>
          <w:tcPr>
            <w:tcW w:type="dxa" w:w="62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正向</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4719</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5512</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6700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6332</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6058</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5891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4935</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6483</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7492</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8500</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S2</w:t>
            </w:r>
          </w:p>
        </w:tc>
        <w:tc>
          <w:tcPr>
            <w:tcW w:type="dxa" w:w="3402"/>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城乡居民收入比与全国差距（倍）</w:t>
            </w:r>
          </w:p>
        </w:tc>
        <w:tc>
          <w:tcPr>
            <w:tcW w:type="dxa" w:w="62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逆向</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0.338</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0.260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0.266</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0.245</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0.261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0.241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0.230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0.216</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0.226</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0.226</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S3</w:t>
            </w:r>
          </w:p>
        </w:tc>
        <w:tc>
          <w:tcPr>
            <w:tcW w:type="dxa" w:w="3402"/>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居民医保人均财政补助标准（元/人年）</w:t>
            </w:r>
          </w:p>
        </w:tc>
        <w:tc>
          <w:tcPr>
            <w:tcW w:type="dxa" w:w="62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正向</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420.0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450.0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515.0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515.0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550.0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580.0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615.0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675.0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705.0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735.0</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S4</w:t>
            </w:r>
          </w:p>
        </w:tc>
        <w:tc>
          <w:tcPr>
            <w:tcW w:type="dxa" w:w="3402"/>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基本养老保险参保率（%）</w:t>
            </w:r>
          </w:p>
        </w:tc>
        <w:tc>
          <w:tcPr>
            <w:tcW w:type="dxa" w:w="62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正向</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85.50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89.30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91.15</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92.60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94.10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95.20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95.50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95.80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96.31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96.50</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D1</w:t>
            </w:r>
          </w:p>
        </w:tc>
        <w:tc>
          <w:tcPr>
            <w:tcW w:type="dxa" w:w="3402"/>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人均GDP相对全国水平（%）</w:t>
            </w:r>
          </w:p>
        </w:tc>
        <w:tc>
          <w:tcPr>
            <w:tcW w:type="dxa" w:w="62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正向</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65.42</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65.89</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66.22</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69.78</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72.88</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68.38</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68.50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73.44</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78.58</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81.77</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D2</w:t>
            </w:r>
          </w:p>
        </w:tc>
        <w:tc>
          <w:tcPr>
            <w:tcW w:type="dxa" w:w="3402"/>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农村居民人均收入相对全国水平（%）</w:t>
            </w:r>
          </w:p>
        </w:tc>
        <w:tc>
          <w:tcPr>
            <w:tcW w:type="dxa" w:w="62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正向</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73.56</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76.91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78.33</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80.84</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85.21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89.46</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90.44</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91.85</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93.33</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94.80</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D3</w:t>
            </w:r>
          </w:p>
        </w:tc>
        <w:tc>
          <w:tcPr>
            <w:tcW w:type="dxa" w:w="3402"/>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外向度（进出口总额/GDP，%）</w:t>
            </w:r>
          </w:p>
        </w:tc>
        <w:tc>
          <w:tcPr>
            <w:tcW w:type="dxa" w:w="62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正向</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4.315</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4.286</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3.001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2.786</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1.090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1.872</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2.058</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4.334</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4.543</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2.797</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D4</w:t>
            </w:r>
          </w:p>
        </w:tc>
        <w:tc>
          <w:tcPr>
            <w:tcW w:type="dxa" w:w="3402"/>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人均接待游客（万人次/万人）</w:t>
            </w:r>
          </w:p>
        </w:tc>
        <w:tc>
          <w:tcPr>
            <w:tcW w:type="dxa" w:w="62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正向</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7.006</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7.597</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9.798</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11.45</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9.608</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11.35</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8.249</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15.12</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17.27</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18.91</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D5</w:t>
            </w:r>
          </w:p>
        </w:tc>
        <w:tc>
          <w:tcPr>
            <w:tcW w:type="dxa" w:w="3402"/>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发电量（亿千瓦时）</w:t>
            </w:r>
          </w:p>
        </w:tc>
        <w:tc>
          <w:tcPr>
            <w:tcW w:type="dxa" w:w="62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正向</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46.34</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50.24</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61.26</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70.87</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69.12</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84.32</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114.8</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137.4</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144.1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162.1</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E1</w:t>
            </w:r>
          </w:p>
        </w:tc>
        <w:tc>
          <w:tcPr>
            <w:tcW w:type="dxa" w:w="3402"/>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单位GDP能耗指数</w:t>
            </w:r>
          </w:p>
        </w:tc>
        <w:tc>
          <w:tcPr>
            <w:tcW w:type="dxa" w:w="62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逆向</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96.80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93.41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90.51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87.98</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86.66</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84.06</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81.20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78.85</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76.41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73.89</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E2</w:t>
            </w:r>
          </w:p>
        </w:tc>
        <w:tc>
          <w:tcPr>
            <w:tcW w:type="dxa" w:w="3402"/>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森林覆盖率（%）</w:t>
            </w:r>
          </w:p>
        </w:tc>
        <w:tc>
          <w:tcPr>
            <w:tcW w:type="dxa" w:w="62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正向</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11.98</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12.14</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12.14</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12.14</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12.31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12.31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12.31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12.31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12.31</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12.54</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E3</w:t>
            </w:r>
          </w:p>
        </w:tc>
        <w:tc>
          <w:tcPr>
            <w:tcW w:type="dxa" w:w="3402"/>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空气质量优良天数比例（%）</w:t>
            </w:r>
          </w:p>
        </w:tc>
        <w:tc>
          <w:tcPr>
            <w:tcW w:type="dxa" w:w="62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正向</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96.80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97.30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98.90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99.60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99.40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99.20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99.00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99.40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99.50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99.60</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E4</w:t>
            </w:r>
          </w:p>
        </w:tc>
        <w:tc>
          <w:tcPr>
            <w:tcW w:type="dxa" w:w="3402"/>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草原综合植被盖度（%）</w:t>
            </w:r>
          </w:p>
        </w:tc>
        <w:tc>
          <w:tcPr>
            <w:tcW w:type="dxa" w:w="62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正向</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42.30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44.20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45.90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46.70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46.90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47.14</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47.50</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47.78</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48.02</w:t>
            </w:r>
          </w:p>
        </w:tc>
        <w:tc>
          <w:tcPr>
            <w:tcW w:type="dxa" w:w="1006"/>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48.07</w:t>
            </w:r>
          </w:p>
        </w:tc>
      </w:tr>
    </w:tbl>
    <w:p>
      <w:pPr>
        <w:spacing w:after="200" w:before="60"/>
      </w:pPr>
      <w:r>
        <w:rPr>
          <w:rFonts w:ascii="Times New Roman" w:eastAsia="宋体" w:hAnsi="Times New Roman"/>
          <w:b w:val="false"/>
          <w:bCs w:val="false"/>
          <w:color w:val="404040"/>
          <w:sz w:val="16"/>
          <w:szCs w:val="16"/>
        </w:rPr>
        <w:t xml:space="preserve">注：各项取值口径见正文表1。S1、D2、D3、D4为按附表A2辅助序列换算所得；D3分母的地区生产总值采用含第五次全国经济普查修订的最新核算口径；D5取统计公报「规上工业主要产品产量」所载发电量（见正文表1注③）。</w:t>
      </w:r>
    </w:p>
    <w:p>
      <w:pPr>
        <w:keepNext/>
        <w:spacing w:after="120" w:before="300"/>
        <w:jc w:val="center"/>
      </w:pPr>
      <w:r>
        <w:rPr>
          <w:rFonts w:ascii="Arial" w:eastAsia="黑体" w:hAnsi="Arial"/>
          <w:b/>
          <w:bCs/>
          <w:color w:val="000000"/>
          <w:sz w:val="21"/>
          <w:szCs w:val="21"/>
        </w:rPr>
        <w:t xml:space="preserve">附表A6　13项指标标准化后取值</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700"/>
        <w:gridCol w:w="700"/>
        <w:gridCol w:w="968"/>
        <w:gridCol w:w="968"/>
        <w:gridCol w:w="968"/>
        <w:gridCol w:w="968"/>
        <w:gridCol w:w="968"/>
        <w:gridCol w:w="968"/>
        <w:gridCol w:w="968"/>
        <w:gridCol w:w="968"/>
        <w:gridCol w:w="968"/>
        <w:gridCol w:w="968"/>
      </w:tblGrid>
      <w:tr>
        <w:trPr>
          <w:tblHeader/>
        </w:trPr>
        <w:tc>
          <w:tcPr>
            <w:tcW w:type="dxa" w:w="600"/>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编码</w:t>
            </w:r>
          </w:p>
        </w:tc>
        <w:tc>
          <w:tcPr>
            <w:tcW w:type="dxa" w:w="3000"/>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三级指标</w:t>
            </w:r>
          </w:p>
        </w:tc>
        <w:tc>
          <w:tcPr>
            <w:tcW w:type="dxa" w:w="700"/>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下限</w:t>
            </w:r>
          </w:p>
        </w:tc>
        <w:tc>
          <w:tcPr>
            <w:tcW w:type="dxa" w:w="700"/>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上限</w:t>
            </w:r>
          </w:p>
        </w:tc>
        <w:tc>
          <w:tcPr>
            <w:tcW w:type="dxa" w:w="968"/>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2016</w:t>
            </w:r>
          </w:p>
        </w:tc>
        <w:tc>
          <w:tcPr>
            <w:tcW w:type="dxa" w:w="968"/>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2017</w:t>
            </w:r>
          </w:p>
        </w:tc>
        <w:tc>
          <w:tcPr>
            <w:tcW w:type="dxa" w:w="968"/>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2018</w:t>
            </w:r>
          </w:p>
        </w:tc>
        <w:tc>
          <w:tcPr>
            <w:tcW w:type="dxa" w:w="968"/>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2019</w:t>
            </w:r>
          </w:p>
        </w:tc>
        <w:tc>
          <w:tcPr>
            <w:tcW w:type="dxa" w:w="968"/>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2020</w:t>
            </w:r>
          </w:p>
        </w:tc>
        <w:tc>
          <w:tcPr>
            <w:tcW w:type="dxa" w:w="968"/>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2021</w:t>
            </w:r>
          </w:p>
        </w:tc>
        <w:tc>
          <w:tcPr>
            <w:tcW w:type="dxa" w:w="968"/>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2022</w:t>
            </w:r>
          </w:p>
        </w:tc>
        <w:tc>
          <w:tcPr>
            <w:tcW w:type="dxa" w:w="968"/>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2023</w:t>
            </w:r>
          </w:p>
        </w:tc>
        <w:tc>
          <w:tcPr>
            <w:tcW w:type="dxa" w:w="968"/>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2024</w:t>
            </w:r>
          </w:p>
        </w:tc>
        <w:tc>
          <w:tcPr>
            <w:tcW w:type="dxa" w:w="968"/>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2025</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S1</w:t>
            </w:r>
          </w:p>
        </w:tc>
        <w:tc>
          <w:tcPr>
            <w:tcW w:type="dxa" w:w="30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人均一般公共预算收入（元/人）</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12000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0.3954</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0.4601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0.5571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0.5271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0.5047</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0.4911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0.4130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0.5394</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0.6218</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0.7042</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S2</w:t>
            </w:r>
          </w:p>
        </w:tc>
        <w:tc>
          <w:tcPr>
            <w:tcW w:type="dxa" w:w="30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城乡居民收入比与全国差距（倍）</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0.5529</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0.5786</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0.5763</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0.5834</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0.5782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0.5844</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0.5884</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0.5928</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0.5896</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0.5896</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S3</w:t>
            </w:r>
          </w:p>
        </w:tc>
        <w:tc>
          <w:tcPr>
            <w:tcW w:type="dxa" w:w="30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居民医保人均财政补助标准（元/人年）</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1200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0.3530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0.3775</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0.4306</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0.4306</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0.4592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0.4837</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0.5122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0.5613</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0.5857</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0.6103</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S4</w:t>
            </w:r>
          </w:p>
        </w:tc>
        <w:tc>
          <w:tcPr>
            <w:tcW w:type="dxa" w:w="30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基本养老保险参保率（%）</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100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0.8479</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0.8851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0.9033</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0.9175</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0.9322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0.9430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0.9459</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0.9488</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0.9538</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0.9557</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D1</w:t>
            </w:r>
          </w:p>
        </w:tc>
        <w:tc>
          <w:tcPr>
            <w:tcW w:type="dxa" w:w="30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人均GDP相对全国水平（%）</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100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0.6511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0.6558</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0.6590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0.6939</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0.7242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0.6801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0.6813</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0.7297</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0.7801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0.8113</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D2</w:t>
            </w:r>
          </w:p>
        </w:tc>
        <w:tc>
          <w:tcPr>
            <w:tcW w:type="dxa" w:w="30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农村居民人均收入相对全国水平（%）</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100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0.7309</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0.7637</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0.7777</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0.8022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0.8451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0.8867</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0.8963</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0.9102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0.9247</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0.9390</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D3</w:t>
            </w:r>
          </w:p>
        </w:tc>
        <w:tc>
          <w:tcPr>
            <w:tcW w:type="dxa" w:w="30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外向度（进出口总额/GDP，%）</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0.4329</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0.4300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0.3041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0.2830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0.1168</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0.1935</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0.2117</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0.4348</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0.4553</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0.2841</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D4</w:t>
            </w:r>
          </w:p>
        </w:tc>
        <w:tc>
          <w:tcPr>
            <w:tcW w:type="dxa" w:w="30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人均接待游客（万人次/万人）</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25</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0.2847</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0.3078</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0.3941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0.4586</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0.3866</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0.4548</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0.3334</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0.6025</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0.6869</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0.7514</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D5</w:t>
            </w:r>
          </w:p>
        </w:tc>
        <w:tc>
          <w:tcPr>
            <w:tcW w:type="dxa" w:w="30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发电量（亿千瓦时）</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200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0.2371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0.2562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0.3102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0.3573</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0.3487</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0.4232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0.5723</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0.6832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0.7161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0.8042</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E1</w:t>
            </w:r>
          </w:p>
        </w:tc>
        <w:tc>
          <w:tcPr>
            <w:tcW w:type="dxa" w:w="30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单位GDP能耗指数</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60</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100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0.0884</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0.1715</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0.2425</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0.3045</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0.3368</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0.4005</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0.4706</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0.5282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0.5880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0.6497</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E2</w:t>
            </w:r>
          </w:p>
        </w:tc>
        <w:tc>
          <w:tcPr>
            <w:tcW w:type="dxa" w:w="30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森林覆盖率（%）</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11.98</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12.51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0.0100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0.3058</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0.3058</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0.3058</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0.6202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0.6202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0.6202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0.6202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0.6202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0.9900</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E3</w:t>
            </w:r>
          </w:p>
        </w:tc>
        <w:tc>
          <w:tcPr>
            <w:tcW w:type="dxa" w:w="30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空气质量优良天数比例（%）</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100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0.9586</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0.9635</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0.9792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0.9861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0.9841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0.9822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0.9802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0.9841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0.9851</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0.9861</w:t>
            </w:r>
          </w:p>
        </w:tc>
      </w:tr>
      <w:tr>
        <w:tc>
          <w:tcPr>
            <w:tcW w:type="dxa" w:w="6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E4</w:t>
            </w:r>
          </w:p>
        </w:tc>
        <w:tc>
          <w:tcPr>
            <w:tcW w:type="dxa" w:w="3000"/>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草原综合植被盖度（%）</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42.3</w:t>
            </w:r>
          </w:p>
        </w:tc>
        <w:tc>
          <w:tcPr>
            <w:tcW w:type="dxa" w:w="70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0.0100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0.2518</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0.4682</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0.5700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0.5955</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0.6260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0.6718</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0.7075</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0.7380</w:t>
            </w:r>
          </w:p>
        </w:tc>
        <w:tc>
          <w:tcPr>
            <w:tcW w:type="dxa" w:w="968"/>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0.7444</w:t>
            </w:r>
          </w:p>
        </w:tc>
      </w:tr>
    </w:tbl>
    <w:p>
      <w:pPr>
        <w:spacing w:after="200" w:before="60"/>
      </w:pPr>
      <w:r>
        <w:rPr>
          <w:rFonts w:ascii="Times New Roman" w:eastAsia="宋体" w:hAnsi="Times New Roman"/>
          <w:b w:val="false"/>
          <w:bCs w:val="false"/>
          <w:color w:val="404040"/>
          <w:sz w:val="16"/>
          <w:szCs w:val="16"/>
        </w:rPr>
        <w:t xml:space="preserve">注：按正文式(1)（正向）或式(2)（逆向）以固定基准标准化，超出[0,1]的部分截断，再按式(3) x′=0.98x*+0.01 平移压缩至[0.01,0.99]。子系统指数为各子系统内标准化值的等权平均。</w:t>
      </w:r>
    </w:p>
    <w:p>
      <w:pPr>
        <w:keepNext/>
        <w:spacing w:after="120" w:before="300"/>
        <w:jc w:val="center"/>
      </w:pPr>
      <w:r>
        <w:rPr>
          <w:rFonts w:ascii="Arial" w:eastAsia="黑体" w:hAnsi="Arial"/>
          <w:b/>
          <w:bCs/>
          <w:color w:val="000000"/>
          <w:sz w:val="21"/>
          <w:szCs w:val="21"/>
        </w:rPr>
        <w:t xml:space="preserve">附表A7　CRITIC—熵值组合权重与结构性贡献缺口完整结果</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683"/>
        <w:gridCol w:w="4779"/>
        <w:gridCol w:w="1934"/>
        <w:gridCol w:w="1934"/>
        <w:gridCol w:w="1934"/>
        <w:gridCol w:w="3413"/>
      </w:tblGrid>
      <w:tr>
        <w:trPr>
          <w:tblHeader/>
        </w:trPr>
        <w:tc>
          <w:tcPr>
            <w:tcW w:type="dxa" w:w="683"/>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编码</w:t>
            </w:r>
          </w:p>
        </w:tc>
        <w:tc>
          <w:tcPr>
            <w:tcW w:type="dxa" w:w="4779"/>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三级指标</w:t>
            </w:r>
          </w:p>
        </w:tc>
        <w:tc>
          <w:tcPr>
            <w:tcW w:type="dxa" w:w="1934"/>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熵值权重</w:t>
            </w:r>
          </w:p>
        </w:tc>
        <w:tc>
          <w:tcPr>
            <w:tcW w:type="dxa" w:w="1934"/>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CRITIC权重</w:t>
            </w:r>
          </w:p>
        </w:tc>
        <w:tc>
          <w:tcPr>
            <w:tcW w:type="dxa" w:w="1934"/>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组合权重</w:t>
            </w:r>
          </w:p>
        </w:tc>
        <w:tc>
          <w:tcPr>
            <w:tcW w:type="dxa" w:w="3413"/>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结构性贡献缺口（样本期均值）</w:t>
            </w:r>
          </w:p>
        </w:tc>
      </w:tr>
      <w:tr>
        <w:tc>
          <w:tcPr>
            <w:tcW w:type="dxa" w:w="683"/>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S1</w:t>
            </w:r>
          </w:p>
        </w:tc>
        <w:tc>
          <w:tcPr>
            <w:tcW w:type="dxa" w:w="477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人均一般公共预算收入（元/人）</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0.0214</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0.0688</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0.0116</w:t>
            </w:r>
          </w:p>
        </w:tc>
        <w:tc>
          <w:tcPr>
            <w:tcW w:type="dxa" w:w="341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1.05%</w:t>
            </w:r>
          </w:p>
        </w:tc>
      </w:tr>
      <w:tr>
        <w:tc>
          <w:tcPr>
            <w:tcW w:type="dxa" w:w="683"/>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S2</w:t>
            </w:r>
          </w:p>
        </w:tc>
        <w:tc>
          <w:tcPr>
            <w:tcW w:type="dxa" w:w="477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城乡居民收入比与全国差距（倍）</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0.0003</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0.0071</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0.0000</w:t>
            </w:r>
          </w:p>
        </w:tc>
        <w:tc>
          <w:tcPr>
            <w:tcW w:type="dxa" w:w="341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w:t>
            </w:r>
          </w:p>
        </w:tc>
      </w:tr>
      <w:tr>
        <w:tc>
          <w:tcPr>
            <w:tcW w:type="dxa" w:w="683"/>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S3</w:t>
            </w:r>
          </w:p>
        </w:tc>
        <w:tc>
          <w:tcPr>
            <w:tcW w:type="dxa" w:w="477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居民医保人均财政补助标准（元/人年）</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0.0225</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0.0346</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0.0061</w:t>
            </w:r>
          </w:p>
        </w:tc>
        <w:tc>
          <w:tcPr>
            <w:tcW w:type="dxa" w:w="341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0.60%</w:t>
            </w:r>
          </w:p>
        </w:tc>
      </w:tr>
      <w:tr>
        <w:tc>
          <w:tcPr>
            <w:tcW w:type="dxa" w:w="683"/>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S4</w:t>
            </w:r>
          </w:p>
        </w:tc>
        <w:tc>
          <w:tcPr>
            <w:tcW w:type="dxa" w:w="477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基本养老保险参保率（%）</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0.0010</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0.0178</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0.0001</w:t>
            </w:r>
          </w:p>
        </w:tc>
        <w:tc>
          <w:tcPr>
            <w:tcW w:type="dxa" w:w="341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w:t>
            </w:r>
          </w:p>
        </w:tc>
      </w:tr>
      <w:tr>
        <w:tc>
          <w:tcPr>
            <w:tcW w:type="dxa" w:w="683"/>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D1</w:t>
            </w:r>
          </w:p>
        </w:tc>
        <w:tc>
          <w:tcPr>
            <w:tcW w:type="dxa" w:w="477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人均GDP相对全国水平（%）</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0.0040</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0.0304</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0.0010</w:t>
            </w:r>
          </w:p>
        </w:tc>
        <w:tc>
          <w:tcPr>
            <w:tcW w:type="dxa" w:w="341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0.05%</w:t>
            </w:r>
          </w:p>
        </w:tc>
      </w:tr>
      <w:tr>
        <w:tc>
          <w:tcPr>
            <w:tcW w:type="dxa" w:w="683"/>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D2</w:t>
            </w:r>
          </w:p>
        </w:tc>
        <w:tc>
          <w:tcPr>
            <w:tcW w:type="dxa" w:w="477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农村居民人均收入相对全国水平（%）</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0.0053</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0.0348</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0.0015</w:t>
            </w:r>
          </w:p>
        </w:tc>
        <w:tc>
          <w:tcPr>
            <w:tcW w:type="dxa" w:w="341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0.04%</w:t>
            </w:r>
          </w:p>
        </w:tc>
      </w:tr>
      <w:tr>
        <w:tc>
          <w:tcPr>
            <w:tcW w:type="dxa" w:w="683"/>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D3</w:t>
            </w:r>
          </w:p>
        </w:tc>
        <w:tc>
          <w:tcPr>
            <w:tcW w:type="dxa" w:w="477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外向度（进出口总额/GDP，%）</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0.1058</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0.2730</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0.2286</w:t>
            </w:r>
          </w:p>
        </w:tc>
        <w:tc>
          <w:tcPr>
            <w:tcW w:type="dxa" w:w="341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31.10%</w:t>
            </w:r>
          </w:p>
        </w:tc>
      </w:tr>
      <w:tr>
        <w:tc>
          <w:tcPr>
            <w:tcW w:type="dxa" w:w="683"/>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D4</w:t>
            </w:r>
          </w:p>
        </w:tc>
        <w:tc>
          <w:tcPr>
            <w:tcW w:type="dxa" w:w="477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人均接待游客（万人次/万人）</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0.0796</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0.0839</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0.0528</w:t>
            </w:r>
          </w:p>
        </w:tc>
        <w:tc>
          <w:tcPr>
            <w:tcW w:type="dxa" w:w="341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5.13%</w:t>
            </w:r>
          </w:p>
        </w:tc>
      </w:tr>
      <w:tr>
        <w:tc>
          <w:tcPr>
            <w:tcW w:type="dxa" w:w="683"/>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D5</w:t>
            </w:r>
          </w:p>
        </w:tc>
        <w:tc>
          <w:tcPr>
            <w:tcW w:type="dxa" w:w="477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发电量（亿千瓦时）</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0.1296</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0.0961</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0.0985</w:t>
            </w:r>
          </w:p>
        </w:tc>
        <w:tc>
          <w:tcPr>
            <w:tcW w:type="dxa" w:w="341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9.19%</w:t>
            </w:r>
          </w:p>
        </w:tc>
      </w:tr>
      <w:tr>
        <w:tc>
          <w:tcPr>
            <w:tcW w:type="dxa" w:w="683"/>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E1</w:t>
            </w:r>
          </w:p>
        </w:tc>
        <w:tc>
          <w:tcPr>
            <w:tcW w:type="dxa" w:w="477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单位GDP能耗指数</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0.1765</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0.0724</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0.1011</w:t>
            </w:r>
          </w:p>
        </w:tc>
        <w:tc>
          <w:tcPr>
            <w:tcW w:type="dxa" w:w="341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11.45%</w:t>
            </w:r>
          </w:p>
        </w:tc>
      </w:tr>
      <w:tr>
        <w:tc>
          <w:tcPr>
            <w:tcW w:type="dxa" w:w="683"/>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E2</w:t>
            </w:r>
          </w:p>
        </w:tc>
        <w:tc>
          <w:tcPr>
            <w:tcW w:type="dxa" w:w="477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森林覆盖率（%）</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0.2538</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0.1510</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0.3033</w:t>
            </w:r>
          </w:p>
        </w:tc>
        <w:tc>
          <w:tcPr>
            <w:tcW w:type="dxa" w:w="341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25.57%</w:t>
            </w:r>
          </w:p>
        </w:tc>
      </w:tr>
      <w:tr>
        <w:tc>
          <w:tcPr>
            <w:tcW w:type="dxa" w:w="683"/>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E3</w:t>
            </w:r>
          </w:p>
        </w:tc>
        <w:tc>
          <w:tcPr>
            <w:tcW w:type="dxa" w:w="477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空气质量优良天数比例（%）</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0.0001</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0.0068</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0.0000</w:t>
            </w:r>
          </w:p>
        </w:tc>
        <w:tc>
          <w:tcPr>
            <w:tcW w:type="dxa" w:w="341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w:t>
            </w:r>
          </w:p>
        </w:tc>
      </w:tr>
      <w:tr>
        <w:tc>
          <w:tcPr>
            <w:tcW w:type="dxa" w:w="683"/>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E4</w:t>
            </w:r>
          </w:p>
        </w:tc>
        <w:tc>
          <w:tcPr>
            <w:tcW w:type="dxa" w:w="4779"/>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草原综合植被盖度（%）</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0.2002</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0.1233</w:t>
            </w:r>
          </w:p>
        </w:tc>
        <w:tc>
          <w:tcPr>
            <w:tcW w:type="dxa" w:w="193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0.1953</w:t>
            </w:r>
          </w:p>
        </w:tc>
        <w:tc>
          <w:tcPr>
            <w:tcW w:type="dxa" w:w="3413"/>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15.82%</w:t>
            </w:r>
          </w:p>
        </w:tc>
      </w:tr>
    </w:tbl>
    <w:p>
      <w:pPr>
        <w:spacing w:after="200" w:before="60"/>
      </w:pPr>
      <w:r>
        <w:rPr>
          <w:rFonts w:ascii="Times New Roman" w:eastAsia="宋体" w:hAnsi="Times New Roman"/>
          <w:b w:val="false"/>
          <w:bCs w:val="false"/>
          <w:color w:val="404040"/>
          <w:sz w:val="16"/>
          <w:szCs w:val="16"/>
        </w:rPr>
        <w:t xml:space="preserve">注：组合权重由熵值权重与CRITIC权重相乘后归一得出，仅用于结构性贡献缺口诊断与稳健性对照，不参与子系统合成（子系统内为等权）。前四项组合权重合计0.8283，其余九项合计0.1717，安全类四项权重均低于1.2%。结构性贡献缺口为各指标组合权重与其偏离度(1−x′)之积占当年13项该乘积之和的比重，逐年计算后取样本期均值，合计为100%。前六位与正文表4所列一致。</w:t>
      </w:r>
    </w:p>
    <w:p>
      <w:pPr>
        <w:keepNext/>
        <w:spacing w:after="120" w:before="300"/>
        <w:jc w:val="center"/>
      </w:pPr>
      <w:r>
        <w:rPr>
          <w:rFonts w:ascii="Arial" w:eastAsia="黑体" w:hAnsi="Arial"/>
          <w:b/>
          <w:bCs/>
          <w:color w:val="000000"/>
          <w:sz w:val="21"/>
          <w:szCs w:val="21"/>
        </w:rPr>
        <w:t xml:space="preserve">附表A8　三子系统综合指数与MPI协调指数（正文表3的四位小数版）</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355"/>
        <w:gridCol w:w="2032"/>
        <w:gridCol w:w="2032"/>
        <w:gridCol w:w="2032"/>
        <w:gridCol w:w="2032"/>
        <w:gridCol w:w="2484"/>
        <w:gridCol w:w="2710"/>
      </w:tblGrid>
      <w:tr>
        <w:trPr>
          <w:tblHeader/>
        </w:trPr>
        <w:tc>
          <w:tcPr>
            <w:tcW w:type="dxa" w:w="1355"/>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年份</w:t>
            </w:r>
          </w:p>
        </w:tc>
        <w:tc>
          <w:tcPr>
            <w:tcW w:type="dxa" w:w="2032"/>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安全 US</w:t>
            </w:r>
          </w:p>
        </w:tc>
        <w:tc>
          <w:tcPr>
            <w:tcW w:type="dxa" w:w="2032"/>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发展 UD</w:t>
            </w:r>
          </w:p>
        </w:tc>
        <w:tc>
          <w:tcPr>
            <w:tcW w:type="dxa" w:w="2032"/>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生态 UE</w:t>
            </w:r>
          </w:p>
        </w:tc>
        <w:tc>
          <w:tcPr>
            <w:tcW w:type="dxa" w:w="2032"/>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M 均值</w:t>
            </w:r>
          </w:p>
        </w:tc>
        <w:tc>
          <w:tcPr>
            <w:tcW w:type="dxa" w:w="2484"/>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S² 总体方差</w:t>
            </w:r>
          </w:p>
        </w:tc>
        <w:tc>
          <w:tcPr>
            <w:tcW w:type="dxa" w:w="2710"/>
            <w:shd w:fill="DCE6F1" w:color="auto" w:val="clear"/>
            <w:tcMar>
              <w:top w:type="dxa" w:w="40"/>
              <w:left w:type="dxa" w:w="70"/>
              <w:bottom w:type="dxa" w:w="40"/>
              <w:right w:type="dxa" w:w="70"/>
            </w:tcMar>
            <w:vAlign w:val="center"/>
          </w:tcPr>
          <w:p>
            <w:pPr>
              <w:spacing w:after="0" w:before="0" w:line="220"/>
              <w:jc w:val="center"/>
            </w:pPr>
            <w:r>
              <w:rPr>
                <w:rFonts w:ascii="Times New Roman" w:eastAsia="宋体" w:hAnsi="Times New Roman"/>
                <w:b/>
                <w:bCs/>
                <w:color w:val="000000"/>
                <w:sz w:val="16"/>
                <w:szCs w:val="16"/>
              </w:rPr>
              <w:t xml:space="preserve">MPI协调指数 D</w:t>
            </w:r>
          </w:p>
        </w:tc>
      </w:tr>
      <w:tr>
        <w:tc>
          <w:tcPr>
            <w:tcW w:type="dxa" w:w="1355"/>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2016</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0.5373</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0.4673</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0.2668</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0.4238</w:t>
            </w:r>
          </w:p>
        </w:tc>
        <w:tc>
          <w:tcPr>
            <w:tcW w:type="dxa" w:w="248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0.013141</w:t>
            </w:r>
          </w:p>
        </w:tc>
        <w:tc>
          <w:tcPr>
            <w:tcW w:type="dxa" w:w="271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0.3928</w:t>
            </w:r>
          </w:p>
        </w:tc>
      </w:tr>
      <w:tr>
        <w:tc>
          <w:tcPr>
            <w:tcW w:type="dxa" w:w="1355"/>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2017</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0.5753</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0.4827</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0.4232</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0.4937</w:t>
            </w:r>
          </w:p>
        </w:tc>
        <w:tc>
          <w:tcPr>
            <w:tcW w:type="dxa" w:w="248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0.003917</w:t>
            </w:r>
          </w:p>
        </w:tc>
        <w:tc>
          <w:tcPr>
            <w:tcW w:type="dxa" w:w="271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0.4858</w:t>
            </w:r>
          </w:p>
        </w:tc>
      </w:tr>
      <w:tr>
        <w:tc>
          <w:tcPr>
            <w:tcW w:type="dxa" w:w="1355"/>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2018</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0.6168</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0.4890</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0.4989</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0.5349</w:t>
            </w:r>
          </w:p>
        </w:tc>
        <w:tc>
          <w:tcPr>
            <w:tcW w:type="dxa" w:w="248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0.003370</w:t>
            </w:r>
          </w:p>
        </w:tc>
        <w:tc>
          <w:tcPr>
            <w:tcW w:type="dxa" w:w="271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0.5286</w:t>
            </w:r>
          </w:p>
        </w:tc>
      </w:tr>
      <w:tr>
        <w:tc>
          <w:tcPr>
            <w:tcW w:type="dxa" w:w="1355"/>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2019</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0.6147</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0.5190</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0.5416</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0.5584</w:t>
            </w:r>
          </w:p>
        </w:tc>
        <w:tc>
          <w:tcPr>
            <w:tcW w:type="dxa" w:w="248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0.001668</w:t>
            </w:r>
          </w:p>
        </w:tc>
        <w:tc>
          <w:tcPr>
            <w:tcW w:type="dxa" w:w="271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0.5554</w:t>
            </w:r>
          </w:p>
        </w:tc>
      </w:tr>
      <w:tr>
        <w:tc>
          <w:tcPr>
            <w:tcW w:type="dxa" w:w="1355"/>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2020</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0.6186</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0.4843</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0.6341</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0.5790</w:t>
            </w:r>
          </w:p>
        </w:tc>
        <w:tc>
          <w:tcPr>
            <w:tcW w:type="dxa" w:w="248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0.004524</w:t>
            </w:r>
          </w:p>
        </w:tc>
        <w:tc>
          <w:tcPr>
            <w:tcW w:type="dxa" w:w="271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0.5712</w:t>
            </w:r>
          </w:p>
        </w:tc>
      </w:tr>
      <w:tr>
        <w:tc>
          <w:tcPr>
            <w:tcW w:type="dxa" w:w="1355"/>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2021</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0.6255</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0.5277</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0.6572</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0.6035</w:t>
            </w:r>
          </w:p>
        </w:tc>
        <w:tc>
          <w:tcPr>
            <w:tcW w:type="dxa" w:w="248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0.003038</w:t>
            </w:r>
          </w:p>
        </w:tc>
        <w:tc>
          <w:tcPr>
            <w:tcW w:type="dxa" w:w="271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0.5984</w:t>
            </w:r>
          </w:p>
        </w:tc>
      </w:tr>
      <w:tr>
        <w:tc>
          <w:tcPr>
            <w:tcW w:type="dxa" w:w="1355"/>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2022</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0.6149</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0.5390</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0.6857</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0.6132</w:t>
            </w:r>
          </w:p>
        </w:tc>
        <w:tc>
          <w:tcPr>
            <w:tcW w:type="dxa" w:w="248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0.003588</w:t>
            </w:r>
          </w:p>
        </w:tc>
        <w:tc>
          <w:tcPr>
            <w:tcW w:type="dxa" w:w="271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0.6073</w:t>
            </w:r>
          </w:p>
        </w:tc>
      </w:tr>
      <w:tr>
        <w:tc>
          <w:tcPr>
            <w:tcW w:type="dxa" w:w="1355"/>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2023</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0.6606</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0.6721</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0.7100</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0.6809</w:t>
            </w:r>
          </w:p>
        </w:tc>
        <w:tc>
          <w:tcPr>
            <w:tcW w:type="dxa" w:w="248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0.000445</w:t>
            </w:r>
          </w:p>
        </w:tc>
        <w:tc>
          <w:tcPr>
            <w:tcW w:type="dxa" w:w="271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0.6802</w:t>
            </w:r>
          </w:p>
        </w:tc>
      </w:tr>
      <w:tr>
        <w:tc>
          <w:tcPr>
            <w:tcW w:type="dxa" w:w="1355"/>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2024</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0.6878</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0.7126</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0.7328</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0.7111</w:t>
            </w:r>
          </w:p>
        </w:tc>
        <w:tc>
          <w:tcPr>
            <w:tcW w:type="dxa" w:w="248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0.000339</w:t>
            </w:r>
          </w:p>
        </w:tc>
        <w:tc>
          <w:tcPr>
            <w:tcW w:type="dxa" w:w="271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0.7106</w:t>
            </w:r>
          </w:p>
        </w:tc>
      </w:tr>
      <w:tr>
        <w:tc>
          <w:tcPr>
            <w:tcW w:type="dxa" w:w="1355"/>
            <w:tcMar>
              <w:top w:type="dxa" w:w="40"/>
              <w:left w:type="dxa" w:w="70"/>
              <w:bottom w:type="dxa" w:w="40"/>
              <w:right w:type="dxa" w:w="70"/>
            </w:tcMar>
            <w:vAlign w:val="center"/>
          </w:tcPr>
          <w:p>
            <w:pPr>
              <w:spacing w:after="0" w:before="0" w:line="220"/>
              <w:jc w:val="left"/>
            </w:pPr>
            <w:r>
              <w:rPr>
                <w:rFonts w:ascii="Times New Roman" w:eastAsia="宋体" w:hAnsi="Times New Roman"/>
                <w:b w:val="false"/>
                <w:bCs w:val="false"/>
                <w:color w:val="000000"/>
                <w:sz w:val="16"/>
                <w:szCs w:val="16"/>
              </w:rPr>
              <w:t xml:space="preserve">2025</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0.7149</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0.7180</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0.8425</w:t>
            </w:r>
          </w:p>
        </w:tc>
        <w:tc>
          <w:tcPr>
            <w:tcW w:type="dxa" w:w="2032"/>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0.7585</w:t>
            </w:r>
          </w:p>
        </w:tc>
        <w:tc>
          <w:tcPr>
            <w:tcW w:type="dxa" w:w="2484"/>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0.003532</w:t>
            </w:r>
          </w:p>
        </w:tc>
        <w:tc>
          <w:tcPr>
            <w:tcW w:type="dxa" w:w="2710"/>
            <w:tcMar>
              <w:top w:type="dxa" w:w="40"/>
              <w:left w:type="dxa" w:w="70"/>
              <w:bottom w:type="dxa" w:w="40"/>
              <w:right w:type="dxa" w:w="70"/>
            </w:tcMar>
            <w:vAlign w:val="center"/>
          </w:tcPr>
          <w:p>
            <w:pPr>
              <w:spacing w:after="0" w:before="0" w:line="220"/>
              <w:jc w:val="center"/>
            </w:pPr>
            <w:r>
              <w:rPr>
                <w:rFonts w:ascii="Times New Roman" w:eastAsia="宋体" w:hAnsi="Times New Roman"/>
                <w:b w:val="false"/>
                <w:bCs w:val="false"/>
                <w:color w:val="000000"/>
                <w:sz w:val="16"/>
                <w:szCs w:val="16"/>
              </w:rPr>
              <w:t xml:space="preserve">0.7538</w:t>
            </w:r>
          </w:p>
        </w:tc>
      </w:tr>
    </w:tbl>
    <w:p>
      <w:pPr>
        <w:spacing w:after="200" w:before="60"/>
      </w:pPr>
      <w:r>
        <w:rPr>
          <w:rFonts w:ascii="Times New Roman" w:eastAsia="宋体" w:hAnsi="Times New Roman"/>
          <w:b w:val="false"/>
          <w:bCs w:val="false"/>
          <w:color w:val="404040"/>
          <w:sz w:val="16"/>
          <w:szCs w:val="16"/>
        </w:rPr>
        <w:t xml:space="preserve">注：本表为正文表3的四位小数版本，并列出MPI计算的中间量。D = M − S²/M，其中M为三子系统综合指数的算术平均，S²为其总体方差。正文表3所载为三位小数的舍入结果。</w:t>
      </w:r>
    </w:p>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18"/>
        <w:szCs w:val="18"/>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dc:title>
  <dc:creator>附录</dc:creator>
  <cp:lastModifiedBy>Un-named</cp:lastModifiedBy>
  <cp:revision>1</cp:revision>
  <dcterms:created xsi:type="dcterms:W3CDTF">2026-09-15T15:42:44.790Z</dcterms:created>
  <dcterms:modified xsi:type="dcterms:W3CDTF">2026-09-15T15:42:44.791Z</dcterms:modified>
</cp:coreProperties>
</file>

<file path=docProps/custom.xml><?xml version="1.0" encoding="utf-8"?>
<Properties xmlns="http://schemas.openxmlformats.org/officeDocument/2006/custom-properties" xmlns:vt="http://schemas.openxmlformats.org/officeDocument/2006/docPropsVTypes"/>
</file>