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2018年1月，沪深交易所与中国证券登记结算有限责任公司分别发布《股票质押式回购交易及登记结算业务办法（2018年修订）》，并于同年3月12日起实施，对融入方资质、股票质押率、单只股票质押比例、资金用途等作出更严格规定；2018年第四季度起，多个省份的地方政府与金融机构陆续设立民营企业纾困专项基金，以市场化方式化解上市公司股权质押风险（毛捷和管星华，2022）。2019年10月，上海、深圳证券交易所分别修订股份质押信息披露相关公告格式指引，进一步强化对控股股东高比例质押、平仓风险及股份冻结等事项的信息披露要求；2025年12月，中国证监会就《上市公司监督管理条例（公开征求意见稿）》公开征求意见，进一步完善上市公司治理、信息披露及控股股东、实际控制人等关键少数监管要求。上述制度演进反映出监管层对股权质押风险及其向公司治理和经营层面传导问题的持续关注，也为本文考察监管政策和地方纾困措施的影响提供了政策背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Graham和Leary（2018）基于美国近一个世纪的数据进一步发现，近年来平均现金持有水平的上升几乎完全来自新上市公司现金政策的变化，同一公司内部的现金持有并未随之上升，这提示研究现金持有问题时需要区分公司间差异与公司内变化，并关注上市年限的影响。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w:t>
            </w:r>
          </w:p>
          <w:p>
            <w:pPr>
              <w:spacing/>
              <w:ind w:firstLine="420"/>
            </w:pPr>
            <w:r>
              <w:rPr>
                <w:rFonts w:ascii="宋体" w:cs="SimSun" w:eastAsia="宋体" w:hAnsi="宋体"/>
                <w:sz w:val="21"/>
                <w:szCs w:val="22"/>
              </w:rPr>
              <w:t xml:space="preserve">境外研究表明，内部人股权质押并非中国独有的现象。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Pan和Qian（2024）基于中国上市公司的质押交易数据，按资金用途区分了为上市公司本身融资的质押与其他质押，发现前者仅占全部质押交易的17.4%，其融得资金约87%流入了上市公司。这提示两种机制可能在不同的质押类型与不同的企业情境下分别占据主导地位；而多数质押资金并不流入上市公司，也意味着质押本身未必带来公司现金的机械增加。</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Su和Alexiou（2023）考察了2018年质押监管收紧的影响，发现新规实施后质押公司的股价崩盘风险与破产风险下降、融资约束得到缓解、控股股东的掏空行为受到抑制，控股股东也将更多质押资金投入上市公司。国内围绕2018年股票质押新规已形成一批文献：熊海芳等（2020）以新规中单只股票整体质押比例不超过50%的限制为自然实验，考察了质押比例限制对股票市场稳定的影响；连玉君和刘畅（2021）发现，新规在长期内降低了高质押公司的股价崩盘风险，但“一刀切”式的严格监管也使其市场价值下降，这主要源于投资者要求的风险补偿上升，而非公司财务表现恶化；何熙琼等（2023）发现，新规通过降低控股股东两权分离度和公司盈余管理程度，抑制了控股股东借助关联交易进行的私利侵占；孙伟艳和肖琼（2026）则发现新规显著降低了企业的盈余管理水平。纾困政策方面，毛捷和管星华（2022）以各省份分批实施的纾困计划为准自然实验，构建强度双重差分模型，发现纾困计划显著提升了上市公司市场价值，其作用机制在于抑制了控股股东的资金占用与关联交易。</w:t>
            </w:r>
          </w:p>
          <w:p>
            <w:pPr>
              <w:spacing/>
              <w:ind w:firstLine="420"/>
            </w:pPr>
            <w:r>
              <w:rPr>
                <w:rFonts w:ascii="宋体" w:cs="SimSun" w:eastAsia="宋体" w:hAnsi="宋体"/>
                <w:b/>
                <w:sz w:val="21"/>
                <w:szCs w:val="22"/>
              </w:rPr>
              <w:t xml:space="preserve">需要指出的是，上述新规研究关注的是股票市场稳定、公司价值、私利侵占与盈余管理，尚未见有研究考察新规对企业现金持有水平的影响。若新规确如何熙琼等（2023）所发现的那样抑制了控股股东的私利侵占，则在掏空渠道占主导的情形下，高质押公司的现金持有应在新规实施后相对上升，这为本文的双重差分检验提供了可检验的预测。此外，既有研究多以当期质押比例与政策时点的交乘项度量处理强度，而当期质押比例本身会受到新规的影响；本文改以新规实施前（2016—2017年）的平均质押比例度量处理强度，以避免这一问题。</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该部分采用Callaway和Sant’Anna（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按照毛捷和管星华（2022）的政策界定，仅海南、贵州、云南、甘肃、青海和西藏未设立地方政府纾困基金，本文将其作为未实施地方政府纾困的省份，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Pan和Qian（2024）按质押资金用途的划分（资金投向取自CSMAR质押明细表，投向上市公司的记录仅约占2%，该项检验仅作补充），比较资金投向上市公司与未投向上市公司的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公司注册地所属省份在t年已设立地方政府纾困基金=1，否则=0；未设立省份为海南、贵州、云南、甘肃、青海、西藏（毛捷和管星华，2022）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质押资金投向上市公司=1，投向控股股东自身或第三方=0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CSMAR股东股权质押情况明细表「投向」字段（投向上市公司的记录约占2%，仅作补充检验），参照Pan和Qian(2024)</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以 Pledge×SOE 交乘项检验组间差异，并同时报告按产权性质分组的回归结果。模型3中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本文的主要工作进展及安排如表8所示：</w:t>
            </w:r>
          </w:p>
          <w:p>
            <w:pPr>
              <w:spacing/>
            </w:pPr>
            <w:r>
              <w:rPr>
                <w:rFonts w:ascii="宋体" w:cs="SimSun" w:eastAsia="宋体" w:hAnsi="宋体"/>
                <w:b/>
                <w:bCs/>
                <w:sz w:val="21"/>
                <w:szCs w:val="22"/>
              </w:rPr>
              <w:t xml:space="preserve">表8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[4] Almeida H, Campello M, Weisbach M S. The cash flow sensitivity of cash[J]. The Journal of Finance, 2004, 59(4): 1777-1804.</w:t>
            </w:r>
          </w:p>
          <w:p>
            <w:pPr>
              <w:spacing/>
              <w:ind/>
            </w:pPr>
            <w:r>
              <w:rPr>
                <w:rFonts w:ascii="宋体" w:cs="SimSun" w:eastAsia="宋体" w:hAnsi="宋体"/>
                <w:sz w:val="21"/>
                <w:szCs w:val="22"/>
              </w:rPr>
              <w:t xml:space="preserve">[5] Faulkender M, Wang R. Corporate financial policy and the value of cash[J]. The Journal of Finance, 2006, 61(4): 1957-1990.</w:t>
            </w:r>
          </w:p>
          <w:p>
            <w:pPr>
              <w:spacing/>
              <w:ind/>
            </w:pPr>
            <w:r>
              <w:rPr>
                <w:rFonts w:ascii="宋体" w:cs="SimSun" w:eastAsia="宋体" w:hAnsi="宋体"/>
                <w:sz w:val="21"/>
                <w:szCs w:val="22"/>
              </w:rPr>
              <w:t xml:space="preserve">[6] Dittmar A, Mahrt-Smith J. Corporate governance and the value of cash holdings[J]. Journal of Financial Economics, 2007, 83(3): 599-634.</w:t>
            </w:r>
          </w:p>
          <w:p>
            <w:pPr>
              <w:spacing/>
              <w:ind/>
            </w:pPr>
            <w:r>
              <w:rPr>
                <w:rFonts w:ascii="宋体" w:cs="SimSun" w:eastAsia="宋体" w:hAnsi="宋体"/>
                <w:sz w:val="21"/>
                <w:szCs w:val="22"/>
              </w:rPr>
              <w:t xml:space="preserve">[7]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[8]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[9] Graham J R, Leary M T. The evolution of corporate cash[J]. Review of Financial Studies, 2018, 31(11): 4288-4344.</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Lind J T, Mehlum H. With or without U? The appropriate test for a U-shaped relationship[J]. Oxford Bulletin of Economics and Statistics, 2010, 72(1): 109-118.</w:t>
            </w:r>
          </w:p>
          <w:p>
            <w:pPr>
              <w:spacing/>
              <w:ind/>
            </w:pPr>
            <w:r>
              <w:rPr>
                <w:rFonts w:ascii="宋体" w:cs="SimSun" w:eastAsia="宋体" w:hAnsi="宋体"/>
                <w:sz w:val="21"/>
                <w:szCs w:val="22"/>
              </w:rPr>
              <w:t xml:space="preserve">[20] Chan K, Chen H K, Hu S Y, Liu Y. Share pledges and margin call pressure[J]. Journal of Corporate Finance, 2018, 52: 96-117.</w:t>
            </w:r>
          </w:p>
          <w:p>
            <w:pPr>
              <w:spacing/>
              <w:ind/>
            </w:pPr>
            <w:r>
              <w:rPr>
                <w:rFonts w:ascii="宋体" w:cs="SimSun" w:eastAsia="宋体" w:hAnsi="宋体"/>
                <w:sz w:val="21"/>
                <w:szCs w:val="22"/>
              </w:rPr>
              <w:t xml:space="preserve">[21]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[22]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[23] Pang C, Wang Y. Stock pledge, risk of losing control and corporate innovation[J]. Journal of Corporate Finance, 2020, 60: 101534.</w:t>
            </w:r>
          </w:p>
          <w:p>
            <w:pPr>
              <w:spacing/>
              <w:ind/>
            </w:pPr>
            <w:r>
              <w:rPr>
                <w:rFonts w:ascii="宋体" w:cs="SimSun" w:eastAsia="宋体" w:hAnsi="宋体"/>
                <w:sz w:val="21"/>
                <w:szCs w:val="22"/>
              </w:rPr>
              <w:t xml:space="preserve">[24]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[25] Su Z, Alexiou C. Impact of share pledging by controlling shareholders on firm value in the context of China's tightened regulatory reforms[J]. Accounting &amp; Finance, 2023, 63(S2): 2847-2874.</w:t>
            </w:r>
          </w:p>
          <w:p>
            <w:pPr>
              <w:spacing/>
              <w:ind/>
            </w:pPr>
            <w:r>
              <w:rPr>
                <w:rFonts w:ascii="宋体" w:cs="SimSun" w:eastAsia="宋体" w:hAnsi="宋体"/>
                <w:sz w:val="21"/>
                <w:szCs w:val="22"/>
              </w:rPr>
              <w:t xml:space="preserve">[26] Pan X, Qian M. Firm financing through insider stock pledges[J]. Review of Finance, 2024, 28(2): 621-659.</w:t>
            </w:r>
          </w:p>
          <w:p>
            <w:pPr>
              <w:spacing/>
              <w:ind/>
            </w:pPr>
            <w:r>
              <w:rPr>
                <w:rFonts w:ascii="宋体" w:cs="SimSun" w:eastAsia="宋体" w:hAnsi="宋体"/>
                <w:sz w:val="21"/>
                <w:szCs w:val="22"/>
              </w:rPr>
              <w:t xml:space="preserve">[27] 郝项超，梁琪．最终控制人股权质押损害公司价值么？[J]．会计研究，2009(7)：57-63．</w:t>
            </w:r>
          </w:p>
          <w:p>
            <w:pPr>
              <w:spacing/>
              <w:ind/>
            </w:pPr>
            <w:r>
              <w:rPr>
                <w:rFonts w:ascii="宋体" w:cs="SimSun" w:eastAsia="宋体" w:hAnsi="宋体"/>
                <w:sz w:val="21"/>
                <w:szCs w:val="22"/>
              </w:rPr>
              <w:t xml:space="preserve">[28] 王彦超．融资约束、现金持有与过度投资[J]．金融研究，2009(7)：121-133．</w:t>
            </w:r>
          </w:p>
          <w:p>
            <w:pPr>
              <w:spacing/>
              <w:ind/>
            </w:pPr>
            <w:r>
              <w:rPr>
                <w:rFonts w:ascii="宋体" w:cs="SimSun" w:eastAsia="宋体" w:hAnsi="宋体"/>
                <w:sz w:val="21"/>
                <w:szCs w:val="22"/>
              </w:rPr>
              <w:t xml:space="preserve">[29] 连玉君，彭方平，苏治．融资约束和流动性管理行为[J]．金融研究，2010(10)：158-171．</w:t>
            </w:r>
          </w:p>
          <w:p>
            <w:pPr>
              <w:spacing/>
              <w:ind/>
            </w:pPr>
            <w:r>
              <w:rPr>
                <w:rFonts w:ascii="宋体" w:cs="SimSun" w:eastAsia="宋体" w:hAnsi="宋体"/>
                <w:sz w:val="21"/>
                <w:szCs w:val="22"/>
              </w:rPr>
              <w:t xml:space="preserve">[30] 鞠晓生，卢荻，虞义华．融资约束、营运资本管理与企业创新可持续性[J]．经济研究，2013，48(1)：4-16．</w:t>
            </w:r>
          </w:p>
          <w:p>
            <w:pPr>
              <w:spacing/>
              <w:ind/>
            </w:pPr>
            <w:r>
              <w:rPr>
                <w:rFonts w:ascii="宋体" w:cs="SimSun" w:eastAsia="宋体" w:hAnsi="宋体"/>
                <w:sz w:val="21"/>
                <w:szCs w:val="22"/>
              </w:rPr>
              <w:t xml:space="preserve">[31] 郑国坚，林东杰，林斌．大股东股权质押、占款与企业价值[J]．管理科学学报，2014，17(9)：72-87．</w:t>
            </w:r>
          </w:p>
          <w:p>
            <w:pPr>
              <w:spacing/>
              <w:ind/>
            </w:pPr>
            <w:r>
              <w:rPr>
                <w:rFonts w:ascii="宋体" w:cs="SimSun" w:eastAsia="宋体" w:hAnsi="宋体"/>
                <w:sz w:val="21"/>
                <w:szCs w:val="22"/>
              </w:rPr>
              <w:t xml:space="preserve">[32] 李旎，郑国坚．市值管理动机下的控股股东股权质押融资与利益侵占[J]．会计研究，2015(5)：42-49．</w:t>
            </w:r>
          </w:p>
          <w:p>
            <w:pPr>
              <w:spacing/>
              <w:ind/>
            </w:pPr>
            <w:r>
              <w:rPr>
                <w:rFonts w:ascii="宋体" w:cs="SimSun" w:eastAsia="宋体" w:hAnsi="宋体"/>
                <w:sz w:val="21"/>
                <w:szCs w:val="22"/>
              </w:rPr>
              <w:t xml:space="preserve">[33] 温忠麟，侯杰泰，张雷．调节效应与中介效应的比较和应用[J]．心理学报，2005，37(2)：268-274．</w:t>
            </w:r>
          </w:p>
          <w:p>
            <w:pPr>
              <w:spacing/>
              <w:ind/>
            </w:pPr>
            <w:r>
              <w:rPr>
                <w:rFonts w:ascii="宋体" w:cs="SimSun" w:eastAsia="宋体" w:hAnsi="宋体"/>
                <w:sz w:val="21"/>
                <w:szCs w:val="22"/>
              </w:rPr>
              <w:t xml:space="preserve">[34]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[35] 谢德仁，廖珂．控股股东股权质押与上市公司真实盈余管理[J]．会计研究，2018(8)：21-27．</w:t>
            </w:r>
          </w:p>
          <w:p>
            <w:pPr>
              <w:spacing/>
              <w:ind/>
            </w:pPr>
            <w:r>
              <w:rPr>
                <w:rFonts w:ascii="宋体" w:cs="SimSun" w:eastAsia="宋体" w:hAnsi="宋体"/>
                <w:sz w:val="21"/>
                <w:szCs w:val="22"/>
              </w:rPr>
              <w:t xml:space="preserve">[36] 李常青，李宇坤，李茂良．控股股东股权质押与企业创新投入[J]．金融研究，2018(7)：143-157．</w:t>
            </w:r>
          </w:p>
          <w:p>
            <w:pPr>
              <w:spacing/>
              <w:ind/>
            </w:pPr>
            <w:r>
              <w:rPr>
                <w:rFonts w:ascii="宋体" w:cs="SimSun" w:eastAsia="宋体" w:hAnsi="宋体"/>
                <w:sz w:val="21"/>
                <w:szCs w:val="22"/>
              </w:rPr>
              <w:t xml:space="preserve">[37]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[38] 王雄元，欧阳才越，史震阳．股权质押、控制权转移风险与税收规避[J]．经济研究，2018(1)：138-152．</w:t>
            </w:r>
          </w:p>
          <w:p>
            <w:pPr>
              <w:spacing/>
              <w:ind/>
            </w:pPr>
            <w:r>
              <w:rPr>
                <w:rFonts w:ascii="宋体" w:cs="SimSun" w:eastAsia="宋体" w:hAnsi="宋体"/>
                <w:sz w:val="21"/>
                <w:szCs w:val="22"/>
              </w:rPr>
              <w:t xml:space="preserve">[39] 廖珂，崔宸瑜，谢德仁．控股股东股权质押与上市公司股利政策选择[J]．金融研究，2018(4)：172-189．</w:t>
            </w:r>
          </w:p>
          <w:p>
            <w:pPr>
              <w:spacing/>
              <w:ind/>
            </w:pPr>
            <w:r>
              <w:rPr>
                <w:rFonts w:ascii="宋体" w:cs="SimSun" w:eastAsia="宋体" w:hAnsi="宋体"/>
                <w:sz w:val="21"/>
                <w:szCs w:val="22"/>
              </w:rPr>
              <w:t xml:space="preserve">[40] 唐玮，夏晓雪，姜付秀．控股股东股权质押与公司融资约束[J]．会计研究，2019(6)：51-57．</w:t>
            </w:r>
          </w:p>
          <w:p>
            <w:pPr>
              <w:spacing/>
              <w:ind/>
            </w:pPr>
            <w:r>
              <w:rPr>
                <w:rFonts w:ascii="宋体" w:cs="SimSun" w:eastAsia="宋体" w:hAnsi="宋体"/>
                <w:sz w:val="21"/>
                <w:szCs w:val="22"/>
              </w:rPr>
              <w:t xml:space="preserve">[41]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[42] 胡聪慧，朱菲菲，邱卉敏．股权质押、风险管理与大股东增持[J]．金融研究，2020(9)：190-206．</w:t>
            </w:r>
          </w:p>
          <w:p>
            <w:pPr>
              <w:spacing/>
              <w:ind/>
            </w:pPr>
            <w:r>
              <w:rPr>
                <w:rFonts w:ascii="宋体" w:cs="SimSun" w:eastAsia="宋体" w:hAnsi="宋体"/>
                <w:sz w:val="21"/>
                <w:szCs w:val="22"/>
              </w:rPr>
              <w:t xml:space="preserve">[43] 熊海芳，谭袁月，王志强．股权质押比例限制与股票市场稳定：基于“质押新规”的自然实验[J]．财贸经济，2020，41(7)：114-129．</w:t>
            </w:r>
          </w:p>
          <w:p>
            <w:pPr>
              <w:spacing/>
              <w:ind/>
            </w:pPr>
            <w:r>
              <w:rPr>
                <w:rFonts w:ascii="宋体" w:cs="SimSun" w:eastAsia="宋体" w:hAnsi="宋体"/>
                <w:sz w:val="21"/>
                <w:szCs w:val="22"/>
              </w:rPr>
              <w:t xml:space="preserve">[44]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[45] 杜勇，眭鑫．控股股东股权质押与实体企业金融化——基于“掏空”与控制权转移的视角[J]．会计研究，2021(2)：102-119．</w:t>
            </w:r>
          </w:p>
          <w:p>
            <w:pPr>
              <w:spacing/>
              <w:ind/>
            </w:pPr>
            <w:r>
              <w:rPr>
                <w:rFonts w:ascii="宋体" w:cs="SimSun" w:eastAsia="宋体" w:hAnsi="宋体"/>
                <w:sz w:val="21"/>
                <w:szCs w:val="22"/>
              </w:rPr>
              <w:t xml:space="preserve">[46] 连玉君，刘畅．质押新规、股价崩盘风险与公司价值[J]．中山大学学报（社会科学版），2021，61(5)：182-196．</w:t>
            </w:r>
          </w:p>
          <w:p>
            <w:pPr>
              <w:spacing/>
              <w:ind/>
            </w:pPr>
            <w:r>
              <w:rPr>
                <w:rFonts w:ascii="宋体" w:cs="SimSun" w:eastAsia="宋体" w:hAnsi="宋体"/>
                <w:sz w:val="21"/>
                <w:szCs w:val="22"/>
              </w:rPr>
              <w:t xml:space="preserve">[47] 毛捷，管星华．地方政府纾困政策的效应研究：来自上市公司的证据[J]．经济研究，2022，57(9)：82-98．</w:t>
            </w:r>
          </w:p>
          <w:p>
            <w:pPr>
              <w:spacing/>
              <w:ind/>
            </w:pPr>
            <w:r>
              <w:rPr>
                <w:rFonts w:ascii="宋体" w:cs="SimSun" w:eastAsia="宋体" w:hAnsi="宋体"/>
                <w:sz w:val="21"/>
                <w:szCs w:val="22"/>
              </w:rPr>
              <w:t xml:space="preserve">[48] 何熙琼，刘昊，顾湘．“股权质押新规”能抑制上市公司控股股东的私利侵占行为吗[J]．会计研究，2023(6)：99-117．</w:t>
            </w:r>
          </w:p>
          <w:p>
            <w:pPr>
              <w:spacing/>
              <w:ind/>
            </w:pPr>
            <w:r>
              <w:rPr>
                <w:rFonts w:ascii="宋体" w:cs="SimSun" w:eastAsia="宋体" w:hAnsi="宋体"/>
                <w:sz w:val="21"/>
                <w:szCs w:val="22"/>
              </w:rPr>
              <w:t xml:space="preserve">[49]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[50] 孙伟艳，肖琼．“股权质押新规”能抑制企业盈余管理行为吗？[J]．财会通讯，2026(3)：83-87，92．</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