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rFonts w:eastAsia="黑体"/>
          <w:b/>
          <w:bCs/>
        </w:rPr>
        <w:t>摘　要：</w:t>
      </w:r>
      <w:r>
        <w:rPr>
          <w:sz w:val="18"/>
          <w:szCs w:val="18"/>
        </w:rPr>
        <w:t>西藏同时承担国家生态安全屏障、边疆安全屏障和高原经济高质量发展先行区建设等多重战略功能，以经济绩效为主的通用评价框架难以完整反映其功能达成。本文以新时代党的治藏方略</w:t>
      </w:r>
      <w:r>
        <w:rPr>
          <w:rFonts w:hint="eastAsia"/>
          <w:sz w:val="18"/>
          <w:szCs w:val="18"/>
          <w:lang w:eastAsia="zh-CN"/>
        </w:rPr>
        <w:t>“</w:t>
      </w:r>
      <w:r>
        <w:rPr>
          <w:sz w:val="18"/>
          <w:szCs w:val="18"/>
        </w:rPr>
        <w:t>四件大事</w:t>
      </w:r>
      <w:r>
        <w:rPr>
          <w:rFonts w:hint="eastAsia"/>
          <w:sz w:val="18"/>
          <w:szCs w:val="18"/>
          <w:lang w:eastAsia="zh-CN"/>
        </w:rPr>
        <w:t>”</w:t>
      </w:r>
      <w:r>
        <w:rPr>
          <w:sz w:val="18"/>
          <w:szCs w:val="18"/>
        </w:rPr>
        <w:t>为学理起点，构建</w:t>
      </w:r>
      <w:r>
        <w:rPr>
          <w:rFonts w:hint="eastAsia"/>
          <w:sz w:val="18"/>
          <w:szCs w:val="18"/>
          <w:lang w:eastAsia="zh-CN"/>
        </w:rPr>
        <w:t>“</w:t>
      </w:r>
      <w:r>
        <w:rPr>
          <w:sz w:val="18"/>
          <w:szCs w:val="18"/>
        </w:rPr>
        <w:t>安全</w:t>
      </w:r>
      <w:r>
        <w:rPr>
          <w:rFonts w:hint="eastAsia"/>
          <w:sz w:val="18"/>
          <w:szCs w:val="18"/>
          <w:lang w:eastAsia="zh-CN"/>
        </w:rPr>
        <w:t>—</w:t>
      </w:r>
      <w:r>
        <w:rPr>
          <w:sz w:val="18"/>
          <w:szCs w:val="18"/>
        </w:rPr>
        <w:t>发展</w:t>
      </w:r>
      <w:r>
        <w:rPr>
          <w:rFonts w:hint="eastAsia"/>
          <w:sz w:val="18"/>
          <w:szCs w:val="18"/>
          <w:lang w:eastAsia="zh-CN"/>
        </w:rPr>
        <w:t>—</w:t>
      </w:r>
      <w:r>
        <w:rPr>
          <w:sz w:val="18"/>
          <w:szCs w:val="18"/>
        </w:rPr>
        <w:t>生态</w:t>
      </w:r>
      <w:r>
        <w:rPr>
          <w:rFonts w:hint="eastAsia"/>
          <w:sz w:val="18"/>
          <w:szCs w:val="18"/>
          <w:lang w:eastAsia="zh-CN"/>
        </w:rPr>
        <w:t>”</w:t>
      </w:r>
      <w:r>
        <w:rPr>
          <w:sz w:val="18"/>
          <w:szCs w:val="18"/>
        </w:rPr>
        <w:t>三元评价框架，将安全作为独立子系统纳入西藏高质量发展评价。在此基础上，采用固定基准标准化、子系统内等权合成与失衡惩罚型协调指数（MPI），并结合结构性贡献缺口、局部敏感性、留一法及稳健性检验，对2016</w:t>
      </w:r>
      <w:r>
        <w:rPr>
          <w:rFonts w:hint="eastAsia"/>
          <w:sz w:val="18"/>
          <w:szCs w:val="18"/>
          <w:lang w:eastAsia="zh-CN"/>
        </w:rPr>
        <w:t>—</w:t>
      </w:r>
      <w:r>
        <w:rPr>
          <w:sz w:val="18"/>
          <w:szCs w:val="18"/>
        </w:rPr>
        <w:t>2025年西藏三元协调状态进行测度。结果表明：（1）样本期内安全、发展、生态三个子系统综合指数总体上升，MPI协调指数由0.393升至0.754，三元协调水平持续改善。（2）制约协调的相对短板呈现阶段性转换：2016</w:t>
      </w:r>
      <w:r>
        <w:rPr>
          <w:rFonts w:hint="eastAsia"/>
          <w:sz w:val="18"/>
          <w:szCs w:val="18"/>
          <w:lang w:eastAsia="zh-CN"/>
        </w:rPr>
        <w:t>—</w:t>
      </w:r>
      <w:r>
        <w:rPr>
          <w:sz w:val="18"/>
          <w:szCs w:val="18"/>
        </w:rPr>
        <w:t>2017年生态相对较弱，2018</w:t>
      </w:r>
      <w:r>
        <w:rPr>
          <w:rFonts w:hint="eastAsia"/>
          <w:sz w:val="18"/>
          <w:szCs w:val="18"/>
          <w:lang w:eastAsia="zh-CN"/>
        </w:rPr>
        <w:t>—</w:t>
      </w:r>
      <w:r>
        <w:rPr>
          <w:sz w:val="18"/>
          <w:szCs w:val="18"/>
        </w:rPr>
        <w:t>2022年发展相对较弱并成为协调提升的主要制约；2023</w:t>
      </w:r>
      <w:r>
        <w:rPr>
          <w:rFonts w:hint="eastAsia"/>
          <w:sz w:val="18"/>
          <w:szCs w:val="18"/>
          <w:lang w:eastAsia="zh-CN"/>
        </w:rPr>
        <w:t>—</w:t>
      </w:r>
      <w:r>
        <w:rPr>
          <w:sz w:val="18"/>
          <w:szCs w:val="18"/>
        </w:rPr>
        <w:t>2025年生态指数显著改善，2025年升至三者之首，安全改善速度相对趋缓，呈现短板转移的初步迹象。（3）与仅重新分组、未更换数据的线性加总对照指数相比，MPI与对照指数的总体走势高度相关，但对阶段性失衡及短板转移的识别有所不同，表明三元框架能够为通用评价口径提供功能维度上的补充。研究表明，对承担特殊战略功能的高原地区开展高质量发展评价，应关注安全、发展与生态的结构关系及其动态变化，并逐年跟踪协调短板的演变。</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w:t>
      </w:r>
      <w:r>
        <w:rPr>
          <w:rFonts w:hint="eastAsia"/>
          <w:sz w:val="21"/>
          <w:szCs w:val="21"/>
        </w:rPr>
        <w:t>—</w:t>
      </w:r>
      <w:r>
        <w:rPr>
          <w:sz w:val="21"/>
          <w:szCs w:val="21"/>
        </w:rPr>
        <w:t>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并对样本末期可能出现的短板转移作审慎观察。本文的增量主要在于评价框架的功能适配及其短板诊断，而非提出新的聚合算法；本文采用 MPI 刻画安全、发展与生态三个子系统的整体协调水平，并识别其内部失衡状况。</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w:t>
      </w:r>
      <w:r>
        <w:rPr>
          <w:rFonts w:hint="eastAsia"/>
          <w:sz w:val="21"/>
          <w:szCs w:val="21"/>
        </w:rPr>
        <w:t>，生态经济能值分析、生态安全冲突等领域同样有所积累</w:t>
      </w:r>
      <w:r>
        <w:rPr>
          <w:rFonts w:hint="eastAsia"/>
          <w:sz w:val="21"/>
          <w:szCs w:val="21"/>
          <w:vertAlign w:val="superscript"/>
        </w:rPr>
        <w:t>[21][22][23]</w:t>
      </w:r>
      <w:r>
        <w:rPr>
          <w:rFonts w:hint="eastAsia"/>
          <w:sz w:val="21"/>
          <w:szCs w:val="21"/>
        </w:rPr>
        <w:t>。但在这些研究中，安全大多未获独立地位：或作为外部背景加以定性讨论，或分解并入“社会民生”类二级指标。</w:t>
      </w:r>
    </w:p>
    <w:p>
      <w:pPr>
        <w:ind w:firstLine="420"/>
        <w:jc w:val="both"/>
      </w:pPr>
      <w:r>
        <w:rPr>
          <w:rFonts w:hint="eastAsia"/>
          <w:sz w:val="21"/>
          <w:szCs w:val="21"/>
        </w:rPr>
        <w:t xml:space="preserve">与本文最接近的是两项面向青藏高原的评价工作。焦乐佳等把耦合协调模型下沉到西藏县域，测度的是生态—经济—社会三系统的协调</w:t>
      </w:r>
      <w:r>
        <w:rPr>
          <w:rFonts w:hint="eastAsia"/>
          <w:sz w:val="21"/>
          <w:szCs w:val="21"/>
          <w:vertAlign w:val="superscript"/>
        </w:rPr>
        <w:t>[24]</w:t>
      </w:r>
      <w:r>
        <w:rPr>
          <w:rFonts w:hint="eastAsia"/>
          <w:sz w:val="21"/>
          <w:szCs w:val="21"/>
        </w:rPr>
        <w:t xml:space="preserve">，安全不在其列。王翔宇等则把“安全保障”与经济质量、生态文明等并列为区域高质量发展的七个内涵维度，并首次对青藏高原212个县域（含西藏74个）作了综合评价</w:t>
      </w:r>
      <w:r>
        <w:rPr>
          <w:rFonts w:hint="eastAsia"/>
          <w:sz w:val="21"/>
          <w:szCs w:val="21"/>
          <w:vertAlign w:val="superscript"/>
        </w:rPr>
        <w:t>[25]</w:t>
      </w:r>
      <w:r>
        <w:rPr>
          <w:rFonts w:hint="eastAsia"/>
          <w:sz w:val="21"/>
          <w:szCs w:val="21"/>
        </w:rPr>
        <w:t xml:space="preserve">；但受县域数据可得性限制，其指标体系最终把“安全保障”改设为“粮食安全”，只保留人均粮食产量与人均肉类产量两项，作者亦指出这两项“仅能表达国家粮食安全，未能体现社会安全等国家安全的其他方面”，而综合指数仍由熵权法加权求和得到。可见安全即便在概念层取得独立地位，也可能在指标层被压缩为粮食供给，并在加权求和中被其他维度的高分抵消。本文因此从两处推进：把安全还原为与发展、生态并列、由多项指标支撑的子系统；改用不允许完全补偿的聚合方式。</w:t>
      </w:r>
    </w:p>
    <w:p w14:paraId="22169DF1">
      <w:pPr>
        <w:ind w:firstLine="420"/>
        <w:jc w:val="both"/>
      </w:pPr>
      <w:r>
        <w:rPr>
          <w:rFonts w:hint="eastAsia"/>
          <w:sz w:val="21"/>
          <w:szCs w:val="21"/>
        </w:rPr>
        <w:t>方法层面，耦合协调模型被广泛应用于生态与经济等议题</w:t>
      </w:r>
      <w:r>
        <w:rPr>
          <w:sz w:val="21"/>
          <w:szCs w:val="21"/>
          <w:vertAlign w:val="superscript"/>
        </w:rPr>
        <w:t>[26]</w:t>
      </w:r>
      <w:r>
        <w:rPr>
          <w:rFonts w:hint="eastAsia"/>
          <w:sz w:val="21"/>
          <w:szCs w:val="21"/>
        </w:rPr>
        <w:t>，并在耦合度“虚高”的修正</w:t>
      </w:r>
      <w:r>
        <w:rPr>
          <w:sz w:val="21"/>
          <w:szCs w:val="21"/>
          <w:vertAlign w:val="superscript"/>
        </w:rPr>
        <w:t>[27]</w:t>
      </w:r>
      <w:r>
        <w:rPr>
          <w:rFonts w:hint="eastAsia"/>
          <w:sz w:val="21"/>
          <w:szCs w:val="21"/>
        </w:rPr>
        <w:t>、客观赋权</w:t>
      </w:r>
      <w:r>
        <w:rPr>
          <w:sz w:val="21"/>
          <w:szCs w:val="21"/>
          <w:vertAlign w:val="superscript"/>
        </w:rPr>
        <w:t>[28]</w:t>
      </w:r>
      <w:r>
        <w:rPr>
          <w:rFonts w:hint="eastAsia"/>
          <w:sz w:val="21"/>
          <w:szCs w:val="21"/>
        </w:rPr>
        <w:t>与障碍度诊断</w:t>
      </w:r>
      <w:r>
        <w:rPr>
          <w:sz w:val="21"/>
          <w:szCs w:val="21"/>
          <w:vertAlign w:val="superscript"/>
        </w:rPr>
        <w:t>[29]</w:t>
      </w:r>
      <w:r>
        <w:rPr>
          <w:rFonts w:hint="eastAsia"/>
          <w:sz w:val="21"/>
          <w:szCs w:val="21"/>
        </w:rPr>
        <w:t>等方面有所推进；国际复合指标方法学则发展出非补偿性聚合与失衡调整等技术</w:t>
      </w:r>
      <w:r>
        <w:rPr>
          <w:rFonts w:hint="eastAsia"/>
          <w:sz w:val="21"/>
          <w:szCs w:val="21"/>
          <w:vertAlign w:val="superscript"/>
        </w:rPr>
        <w:t>[30][31][32][33]</w:t>
      </w:r>
      <w:r>
        <w:rPr>
          <w:rFonts w:hint="eastAsia"/>
          <w:sz w:val="21"/>
          <w:szCs w:val="21"/>
        </w:rPr>
        <w:t>。不过，国内多数区域评价仍以加权求和或传统耦合协调度为主，两者都默认各维度之间可以相互补偿；非补偿性方法也较少与功能理论相衔接，后者恰恰能够解释“为何不应完全补偿”。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[34]</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[34]</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0B47272C">
      <w:pPr>
        <w:ind w:firstLine="420"/>
        <w:jc w:val="both"/>
      </w:pPr>
      <w:r>
        <w:rPr>
          <w:sz w:val="21"/>
          <w:szCs w:val="21"/>
        </w:rPr>
        <w:t>这一结构与</w:t>
      </w:r>
      <w:r>
        <w:rPr>
          <w:rFonts w:hint="eastAsia"/>
          <w:sz w:val="21"/>
          <w:szCs w:val="21"/>
        </w:rPr>
        <w:t>“</w:t>
      </w:r>
      <w:r>
        <w:rPr>
          <w:sz w:val="21"/>
          <w:szCs w:val="21"/>
        </w:rPr>
        <w:t>安全公正空间</w:t>
      </w:r>
      <w:r>
        <w:rPr>
          <w:rFonts w:hint="eastAsia"/>
          <w:sz w:val="21"/>
          <w:szCs w:val="21"/>
        </w:rPr>
        <w:t>”</w:t>
      </w:r>
      <w:r>
        <w:rPr>
          <w:sz w:val="21"/>
          <w:szCs w:val="21"/>
        </w:rPr>
        <w:t>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H1—H3三项研究假说在框架中的位置。</w:t>
      </w:r>
    </w:p>
    <w:p w14:paraId="1E5E5F9E">
      <w:pPr>
        <w:ind w:firstLine="420"/>
        <w:jc w:val="both"/>
      </w:pPr>
      <w:r>
        <w:rPr>
          <w:sz w:val="21"/>
          <w:szCs w:val="21"/>
        </w:rPr>
        <w:t>安全子系统的内涵需先作界定。本文所称</w:t>
      </w:r>
      <w:r>
        <w:rPr>
          <w:rFonts w:hint="eastAsia"/>
          <w:sz w:val="21"/>
          <w:szCs w:val="21"/>
        </w:rPr>
        <w:t>“</w:t>
      </w:r>
      <w:r>
        <w:rPr>
          <w:sz w:val="21"/>
          <w:szCs w:val="21"/>
        </w:rPr>
        <w:t>安全</w:t>
      </w:r>
      <w:r>
        <w:rPr>
          <w:rFonts w:hint="eastAsia"/>
          <w:sz w:val="21"/>
          <w:szCs w:val="21"/>
        </w:rPr>
        <w:t>”</w:t>
      </w:r>
      <w:r>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2586F050">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。需要强调的是，这四项指标与治藏方略</w:t>
      </w:r>
      <w:r>
        <w:rPr>
          <w:rFonts w:hint="eastAsia"/>
          <w:sz w:val="21"/>
          <w:szCs w:val="21"/>
        </w:rPr>
        <w:t>“</w:t>
      </w:r>
      <w:r>
        <w:rPr>
          <w:sz w:val="21"/>
          <w:szCs w:val="21"/>
        </w:rPr>
        <w:t>稳定</w:t>
      </w:r>
      <w:r>
        <w:rPr>
          <w:rFonts w:hint="eastAsia"/>
          <w:sz w:val="21"/>
          <w:szCs w:val="21"/>
        </w:rPr>
        <w:t>”“</w:t>
      </w:r>
      <w:r>
        <w:rPr>
          <w:sz w:val="21"/>
          <w:szCs w:val="21"/>
        </w:rPr>
        <w:t>强边</w:t>
      </w:r>
      <w:r>
        <w:rPr>
          <w:rFonts w:hint="eastAsia"/>
          <w:sz w:val="21"/>
          <w:szCs w:val="21"/>
        </w:rPr>
        <w:t>”</w:t>
      </w:r>
      <w:r>
        <w:rPr>
          <w:sz w:val="21"/>
          <w:szCs w:val="21"/>
        </w:rPr>
        <w:t>的任务内在相关，但都不是边疆安全的直接度量。</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协同关系</w:t>
      </w:r>
      <w:r>
        <w:rPr>
          <w:rFonts w:hint="eastAsia"/>
          <w:sz w:val="21"/>
          <w:szCs w:val="21"/>
        </w:rPr>
        <w:t>”</w:t>
      </w:r>
      <w:r>
        <w:rPr>
          <w:sz w:val="21"/>
          <w:szCs w:val="21"/>
        </w:rPr>
        <w:t>；通道不畅时，生态优势则可能处于</w:t>
      </w:r>
      <w:r>
        <w:rPr>
          <w:rFonts w:hint="eastAsia"/>
          <w:sz w:val="21"/>
          <w:szCs w:val="21"/>
        </w:rPr>
        <w:t>“</w:t>
      </w:r>
      <w:r>
        <w:rPr>
          <w:sz w:val="21"/>
          <w:szCs w:val="21"/>
        </w:rPr>
        <w:t>高位沉睡</w:t>
      </w:r>
      <w:r>
        <w:rPr>
          <w:rFonts w:hint="eastAsia"/>
          <w:sz w:val="21"/>
          <w:szCs w:val="21"/>
        </w:rPr>
        <w:t>”</w:t>
      </w:r>
      <w:r>
        <w:rPr>
          <w:sz w:val="21"/>
          <w:szCs w:val="21"/>
        </w:rPr>
        <w:t>状态</w:t>
      </w:r>
      <w:r>
        <w:rPr>
          <w:sz w:val="21"/>
          <w:szCs w:val="21"/>
          <w:vertAlign w:val="superscript"/>
        </w:rPr>
        <w:t>[37]</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w:t>
      </w:r>
      <w:r>
        <w:rPr>
          <w:rFonts w:hint="eastAsia"/>
          <w:sz w:val="18"/>
          <w:szCs w:val="18"/>
        </w:rPr>
        <w:t>“</w:t>
      </w:r>
      <w:r>
        <w:rPr>
          <w:sz w:val="18"/>
          <w:szCs w:val="18"/>
        </w:rPr>
        <w:t>0元下限+样本期观测最大值预留合理余量并取整</w:t>
      </w:r>
      <w:r>
        <w:rPr>
          <w:rFonts w:hint="eastAsia"/>
          <w:sz w:val="18"/>
          <w:szCs w:val="18"/>
        </w:rPr>
        <w:t>”</w:t>
      </w:r>
      <w:r>
        <w:rPr>
          <w:sz w:val="18"/>
          <w:szCs w:val="18"/>
        </w:rPr>
        <w:t>的上限惯例：五项上限相对各自样本期观测最大值的倍数在1.23</w:t>
      </w:r>
      <w:r>
        <w:rPr>
          <w:rFonts w:hint="eastAsia"/>
          <w:sz w:val="18"/>
          <w:szCs w:val="18"/>
        </w:rPr>
        <w:t>—</w:t>
      </w:r>
      <w:r>
        <w:rPr>
          <w:sz w:val="18"/>
          <w:szCs w:val="18"/>
        </w:rPr>
        <w:t>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w:t>
      </w:r>
      <w:r>
        <w:rPr>
          <w:rFonts w:hint="eastAsia"/>
          <w:sz w:val="18"/>
          <w:szCs w:val="18"/>
        </w:rPr>
        <w:t>—</w:t>
      </w:r>
      <w:r>
        <w:rPr>
          <w:sz w:val="18"/>
          <w:szCs w:val="18"/>
        </w:rPr>
        <w:t>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w:t>
      </w:r>
      <w:r>
        <w:rPr>
          <w:rFonts w:hint="eastAsia"/>
          <w:sz w:val="21"/>
          <w:szCs w:val="21"/>
        </w:rPr>
        <w:t>—</w:t>
      </w:r>
      <w:r>
        <w:rPr>
          <w:sz w:val="21"/>
          <w:szCs w:val="21"/>
        </w:rPr>
        <w:t>2025年为研究期，覆盖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时期生态环境保护规划》等相关数据作为外部参考。13项主体指标及外部参考数据均依据公开资料整理或直接计算，其中，用于人均化与相对全国水平处理的三项辅助基础序列见附表A2，附表A1</w:t>
      </w:r>
      <w:r>
        <w:rPr>
          <w:rFonts w:hint="eastAsia"/>
          <w:sz w:val="21"/>
          <w:szCs w:val="21"/>
        </w:rPr>
        <w:t>—</w:t>
      </w:r>
      <w:r>
        <w:rPr>
          <w:sz w:val="21"/>
          <w:szCs w:val="21"/>
        </w:rPr>
        <w:t>A</w:t>
      </w:r>
      <w:r>
        <w:rPr>
          <w:rFonts w:hint="eastAsia"/>
          <w:sz w:val="21"/>
          <w:szCs w:val="21"/>
        </w:rPr>
        <w:t>4</w:t>
      </w:r>
      <w:r>
        <w:rPr>
          <w:sz w:val="21"/>
          <w:szCs w:val="21"/>
        </w:rPr>
        <w:t>列示其他相关数据及计算结果。</w:t>
      </w:r>
    </w:p>
    <w:p w14:paraId="7F9D7A30">
      <w:pPr>
        <w:ind w:firstLine="420"/>
        <w:jc w:val="both"/>
        <w:rPr>
          <w:rFonts w:hint="eastAsia"/>
          <w:sz w:val="21"/>
          <w:szCs w:val="21"/>
        </w:rPr>
      </w:pPr>
      <w:r>
        <w:rPr>
          <w:sz w:val="21"/>
          <w:szCs w:val="21"/>
        </w:rPr>
        <w:t>数据处理方面，本文以表1所列官方统计资料为基础，采用统一的指标定义和标准化方法，对2016</w:t>
      </w:r>
      <w:r>
        <w:rPr>
          <w:rFonts w:hint="eastAsia"/>
          <w:sz w:val="21"/>
          <w:szCs w:val="21"/>
        </w:rPr>
        <w:t>—</w:t>
      </w:r>
      <w:r>
        <w:rPr>
          <w:sz w:val="21"/>
          <w:szCs w:val="21"/>
        </w:rPr>
        <w:t>2025年数据进行整理与测算。对于涉及规划目标的标准化参数，依据既定参照区间确定固定上限，并将规划目标与实际观测值加以区分。考虑到经济普查及核算方法调整可能引起历史统计数据修订，本文在数据整理过程中优先采用官方最新公布的统计资料，并对涉及统计口径调整的指标进行核对。第五次全国经济普查后，西藏自治区部分年份地区生产总值数据进行了修订。本文采用修订后的数据，以保持研究期内相关指标统计口径的一致性。对于其他年份及指标，依据官方公布的统计资料进行整理。</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w:t>
      </w:r>
      <w:r>
        <w:rPr>
          <w:rFonts w:hint="eastAsia"/>
          <w:sz w:val="21"/>
          <w:szCs w:val="21"/>
        </w:rPr>
        <w:t>为</w:t>
      </w:r>
      <w:r>
        <w:rPr>
          <w:sz w:val="21"/>
          <w:szCs w:val="21"/>
        </w:rPr>
        <w:t>：CRITIC法依据各指标对比强度（标准差）与冲突性（与其余指标相关性）确定信息量并归一化；熵值法依据信息熵计算差异系数并归一化；两组权重相乘后再归一化，得组合权重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w:t>
      </w:r>
      <w:r>
        <w:rPr>
          <w:rFonts w:hint="eastAsia"/>
          <w:sz w:val="21"/>
          <w:szCs w:val="21"/>
        </w:rPr>
        <w:t>“</w:t>
      </w:r>
      <w:r>
        <w:rPr>
          <w:sz w:val="21"/>
          <w:szCs w:val="21"/>
        </w:rPr>
        <w:t>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w:t>
      </w:r>
      <w:r>
        <w:rPr>
          <w:rFonts w:hint="eastAsia"/>
          <w:sz w:val="21"/>
          <w:szCs w:val="21"/>
        </w:rPr>
        <w:t>—</w:t>
      </w:r>
      <w:r>
        <w:rPr>
          <w:sz w:val="21"/>
          <w:szCs w:val="21"/>
        </w:rPr>
        <w:t>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w:t>
      </w:r>
      <w:r>
        <w:rPr>
          <w:rFonts w:hint="eastAsia"/>
          <w:sz w:val="21"/>
          <w:szCs w:val="21"/>
        </w:rPr>
        <w:t>—</w:t>
      </w:r>
      <w:r>
        <w:rPr>
          <w:sz w:val="21"/>
          <w:szCs w:val="21"/>
        </w:rPr>
        <w:t>2017年，生态子系统相对最弱。生态指数由2016年的0.267起步，明显低于同期的安全（0.537）与发展（0.467）。需要先作说明的是，生态子系统以2016年实测值为下限、以2025年规划目标为上限，因此这里的</w:t>
      </w:r>
      <w:r>
        <w:rPr>
          <w:rFonts w:hint="eastAsia"/>
          <w:sz w:val="21"/>
          <w:szCs w:val="21"/>
        </w:rPr>
        <w:t>“</w:t>
      </w:r>
      <w:r>
        <w:rPr>
          <w:sz w:val="21"/>
          <w:szCs w:val="21"/>
        </w:rPr>
        <w:t>相对最弱</w:t>
      </w:r>
      <w:r>
        <w:rPr>
          <w:rFonts w:hint="eastAsia"/>
          <w:sz w:val="21"/>
          <w:szCs w:val="21"/>
        </w:rPr>
        <w:t>”</w:t>
      </w:r>
      <w:r>
        <w:rPr>
          <w:sz w:val="21"/>
          <w:szCs w:val="21"/>
        </w:rPr>
        <w:t>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w:t>
      </w:r>
      <w:r>
        <w:rPr>
          <w:rFonts w:hint="eastAsia"/>
          <w:sz w:val="21"/>
          <w:szCs w:val="21"/>
        </w:rPr>
        <w:t>—</w:t>
      </w:r>
      <w:r>
        <w:rPr>
          <w:sz w:val="21"/>
          <w:szCs w:val="21"/>
        </w:rPr>
        <w:t>2022年，发展转为最弱子系统，并构成协调提升的主要制约。这一时期生态指数持续快速改善，由2018年的0.499升至2020年的0.634；同期发展子系统则在0.484</w:t>
      </w:r>
      <w:r>
        <w:rPr>
          <w:rFonts w:hint="eastAsia"/>
          <w:sz w:val="21"/>
          <w:szCs w:val="21"/>
        </w:rPr>
        <w:t>—</w:t>
      </w:r>
      <w:r>
        <w:rPr>
          <w:sz w:val="21"/>
          <w:szCs w:val="21"/>
        </w:rPr>
        <w:t>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并非完全由疫情造成。受样本长度与数据结构限制，本文无法量化疫情对指数变动的具体贡献，相关说明见第七部分的研究局限。</w:t>
      </w:r>
    </w:p>
    <w:p w14:paraId="22DAC34F">
      <w:pPr>
        <w:ind w:firstLine="420"/>
        <w:jc w:val="both"/>
      </w:pPr>
      <w:r>
        <w:rPr>
          <w:sz w:val="21"/>
          <w:szCs w:val="21"/>
        </w:rPr>
        <w:t>第三阶段是2023</w:t>
      </w:r>
      <w:r>
        <w:rPr>
          <w:rFonts w:hint="eastAsia"/>
          <w:sz w:val="21"/>
          <w:szCs w:val="21"/>
        </w:rPr>
        <w:t>—</w:t>
      </w:r>
      <w:r>
        <w:rPr>
          <w:sz w:val="21"/>
          <w:szCs w:val="21"/>
        </w:rPr>
        <w:t>2025年，安全转为相对最弱（作初步观察），生态实现跨越式改善并跃居首位。这三年发展与生态子系统同步快速提升，生态指数于2025年升至0.843，超过发展（0.718）与安全（0.715），跃居三者之首。安全子系统虽然持续改善，但速度相对趋缓，2023</w:t>
      </w:r>
      <w:r>
        <w:rPr>
          <w:rFonts w:hint="eastAsia"/>
          <w:sz w:val="21"/>
          <w:szCs w:val="21"/>
        </w:rPr>
        <w:t>—</w:t>
      </w:r>
      <w:r>
        <w:rPr>
          <w:sz w:val="21"/>
          <w:szCs w:val="21"/>
        </w:rPr>
        <w:t>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MPI协调指数的改善节奏与子系统的阶段性转换相互对应（见图3）。2016</w:t>
      </w:r>
      <w:r>
        <w:rPr>
          <w:rFonts w:hint="eastAsia"/>
          <w:sz w:val="21"/>
          <w:szCs w:val="21"/>
        </w:rPr>
        <w:t>—</w:t>
      </w:r>
      <w:r>
        <w:rPr>
          <w:sz w:val="21"/>
          <w:szCs w:val="21"/>
        </w:rPr>
        <w:t>2019年为快速改善期，驱动力主要来自生态子系统的追赶；2020</w:t>
      </w:r>
      <w:r>
        <w:rPr>
          <w:rFonts w:hint="eastAsia"/>
          <w:sz w:val="21"/>
          <w:szCs w:val="21"/>
        </w:rPr>
        <w:t>—</w:t>
      </w:r>
      <w:r>
        <w:rPr>
          <w:sz w:val="21"/>
          <w:szCs w:val="21"/>
        </w:rPr>
        <w:t>2022年改善放缓，发展子系统的相对滞后构成主要制约；2023</w:t>
      </w:r>
      <w:r>
        <w:rPr>
          <w:rFonts w:hint="eastAsia"/>
          <w:sz w:val="21"/>
          <w:szCs w:val="21"/>
        </w:rPr>
        <w:t>—</w:t>
      </w:r>
      <w:r>
        <w:rPr>
          <w:sz w:val="21"/>
          <w:szCs w:val="21"/>
        </w:rPr>
        <w:t>2025年重新加速，三子系统同步改善，彼此差距总体收窄。其中2023年的指数跃升，与旅游、清洁能源、外向度以及财力和民生保障等多项指标的同步改善有关，其中文旅与外向度的回升带有明显的疫后恢复性质。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w:t>
      </w:r>
      <w:r>
        <w:rPr>
          <w:rFonts w:hint="eastAsia"/>
          <w:sz w:val="21"/>
          <w:szCs w:val="21"/>
        </w:rPr>
        <w:t>—</w:t>
      </w:r>
      <w:r>
        <w:rPr>
          <w:sz w:val="21"/>
          <w:szCs w:val="21"/>
        </w:rPr>
        <w:t>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w:t>
      </w:r>
      <w:r>
        <w:rPr>
          <w:rFonts w:hint="eastAsia"/>
          <w:sz w:val="18"/>
          <w:szCs w:val="18"/>
        </w:rPr>
        <w:t>—</w:t>
      </w:r>
      <w:r>
        <w:rPr>
          <w:sz w:val="18"/>
          <w:szCs w:val="18"/>
        </w:rPr>
        <w:t>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7752A0BF">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[38]</w:t>
      </w:r>
      <w:r>
        <w:rPr>
          <w:sz w:val="21"/>
          <w:szCs w:val="21"/>
        </w:rPr>
        <w:t>。</w:t>
      </w:r>
    </w:p>
    <w:p w14:paraId="37EDAA89">
      <w:pPr>
        <w:ind w:firstLine="420"/>
        <w:jc w:val="both"/>
      </w:pPr>
      <w:r>
        <w:rPr>
          <w:sz w:val="21"/>
          <w:szCs w:val="21"/>
        </w:rPr>
        <w:t>另一处是清洁能源。西藏清洁能源发电量占比已接近100%，但截至2024年底，自2015年首次实现藏电外送以来的十年累计外送量仅为158.14亿千瓦时</w:t>
      </w:r>
      <w:r>
        <w:rPr>
          <w:sz w:val="21"/>
          <w:szCs w:val="21"/>
          <w:vertAlign w:val="superscript"/>
        </w:rPr>
        <w:t>[43]</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（四）局部敏感性分析</w:t>
      </w:r>
    </w:p>
    <w:p w14:paraId="1F56F9E6">
      <w:pPr>
        <w:ind w:firstLine="420"/>
        <w:jc w:val="both"/>
      </w:pPr>
      <w:r>
        <w:rPr>
          <w:sz w:val="21"/>
          <w:szCs w:val="21"/>
        </w:rPr>
        <w:t>以数值微分测算的局部敏感性见表5和图5。三子系统的敏感性总体接近，其阶段性规律与前文一致。2017</w:t>
      </w:r>
      <w:r>
        <w:rPr>
          <w:rFonts w:hint="eastAsia"/>
          <w:sz w:val="21"/>
          <w:szCs w:val="21"/>
        </w:rPr>
        <w:t>—</w:t>
      </w:r>
      <w:r>
        <w:rPr>
          <w:sz w:val="21"/>
          <w:szCs w:val="21"/>
        </w:rPr>
        <w:t>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w:t>
      </w:r>
      <w:r>
        <w:rPr>
          <w:rFonts w:hint="eastAsia"/>
          <w:sz w:val="21"/>
          <w:szCs w:val="21"/>
        </w:rPr>
        <w:t>—</w:t>
      </w:r>
      <w:r>
        <w:rPr>
          <w:sz w:val="21"/>
          <w:szCs w:val="21"/>
        </w:rPr>
        <w:t>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w:t>
      </w:r>
      <w:r>
        <w:rPr>
          <w:rFonts w:hint="eastAsia"/>
          <w:sz w:val="21"/>
          <w:szCs w:val="21"/>
        </w:rPr>
        <w:t>“</w:t>
      </w:r>
      <w:r>
        <w:rPr>
          <w:sz w:val="21"/>
          <w:szCs w:val="21"/>
        </w:rPr>
        <w:t>短板动态转移</w:t>
      </w:r>
      <w:r>
        <w:rPr>
          <w:rFonts w:hint="eastAsia"/>
          <w:sz w:val="21"/>
          <w:szCs w:val="21"/>
        </w:rPr>
        <w:t>”</w:t>
      </w:r>
      <w:r>
        <w:rPr>
          <w:sz w:val="21"/>
          <w:szCs w:val="21"/>
        </w:rPr>
        <w:t>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由子系统偏离三者均值的程度决定，其排序与水平排序同源，两项诊断因而不构成相互独立的印证。综合来看，样本期内短板在三者之间发生了转移。其中，2016</w:t>
      </w:r>
      <w:r>
        <w:rPr>
          <w:rFonts w:hint="eastAsia"/>
          <w:sz w:val="21"/>
          <w:szCs w:val="21"/>
        </w:rPr>
        <w:t>—</w:t>
      </w:r>
      <w:r>
        <w:rPr>
          <w:sz w:val="21"/>
          <w:szCs w:val="21"/>
        </w:rPr>
        <w:t>2017年生态最弱、2018</w:t>
      </w:r>
      <w:r>
        <w:rPr>
          <w:rFonts w:hint="eastAsia"/>
          <w:sz w:val="21"/>
          <w:szCs w:val="21"/>
        </w:rPr>
        <w:t>—</w:t>
      </w:r>
      <w:r>
        <w:rPr>
          <w:sz w:val="21"/>
          <w:szCs w:val="21"/>
        </w:rPr>
        <w:t>2022年发展最弱，这两段判断是稳健的；2023</w:t>
      </w:r>
      <w:r>
        <w:rPr>
          <w:rFonts w:hint="eastAsia"/>
          <w:sz w:val="21"/>
          <w:szCs w:val="21"/>
        </w:rPr>
        <w:t>—</w:t>
      </w:r>
      <w:r>
        <w:rPr>
          <w:sz w:val="21"/>
          <w:szCs w:val="21"/>
        </w:rPr>
        <w:t>2025年安全是否转为最弱，由于排序对惯例性上限较为敏感（见下文稳健性检验），稳健性弱于前两段。由此，假说H3得到初步支持。</w:t>
      </w:r>
    </w:p>
    <w:p w14:paraId="4E6D8024">
      <w:pPr>
        <w:spacing w:before="260" w:after="120"/>
      </w:pPr>
      <w:r>
        <w:rPr>
          <w:rFonts w:eastAsia="黑体"/>
          <w:b/>
          <w:bCs/>
          <w:sz w:val="28"/>
          <w:szCs w:val="28"/>
        </w:rPr>
        <w:t>五、稳健性检验与对照分析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子系统的走势几乎重合，2016</w:t>
      </w:r>
      <w:r>
        <w:rPr>
          <w:rFonts w:hint="eastAsia"/>
          <w:sz w:val="21"/>
          <w:szCs w:val="21"/>
        </w:rPr>
        <w:t>—</w:t>
      </w:r>
      <w:r>
        <w:rPr>
          <w:sz w:val="21"/>
          <w:szCs w:val="21"/>
        </w:rPr>
        <w:t>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w:t>
      </w:r>
      <w:r>
        <w:rPr>
          <w:rFonts w:hint="eastAsia"/>
          <w:sz w:val="21"/>
          <w:szCs w:val="21"/>
        </w:rPr>
        <w:t>—</w:t>
      </w:r>
      <w:r>
        <w:rPr>
          <w:sz w:val="21"/>
          <w:szCs w:val="21"/>
        </w:rPr>
        <w:t>2022年的截断样本重算固定基准法的标准化结果，与全样本口径下的同期取值逐年比较，二者完全一致，最大绝对差异为0。同样的截断操作若改用极差标准化，2016</w:t>
      </w:r>
      <w:r>
        <w:rPr>
          <w:rFonts w:hint="eastAsia"/>
          <w:sz w:val="21"/>
          <w:szCs w:val="21"/>
        </w:rPr>
        <w:t>—</w:t>
      </w:r>
      <w:r>
        <w:rPr>
          <w:sz w:val="21"/>
          <w:szCs w:val="21"/>
        </w:rPr>
        <w:t>2022年的取值则出现明显偏移，最大绝对差异达0.229，即协调指数在0</w:t>
      </w:r>
      <w:r>
        <w:rPr>
          <w:rFonts w:hint="eastAsia"/>
          <w:sz w:val="21"/>
          <w:szCs w:val="21"/>
        </w:rPr>
        <w:t>—</w:t>
      </w:r>
      <w:r>
        <w:rPr>
          <w:sz w:val="21"/>
          <w:szCs w:val="21"/>
        </w:rPr>
        <w:t>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w:t>
      </w:r>
      <w:r>
        <w:rPr>
          <w:rFonts w:hint="eastAsia"/>
          <w:sz w:val="21"/>
          <w:szCs w:val="21"/>
        </w:rPr>
        <w:t>—</w:t>
      </w:r>
      <w:r>
        <w:rPr>
          <w:sz w:val="21"/>
          <w:szCs w:val="21"/>
        </w:rPr>
        <w:t>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w:t>
      </w:r>
      <w:r>
        <w:rPr>
          <w:sz w:val="21"/>
          <w:szCs w:val="21"/>
        </w:rPr>
        <w:t>这一核心结论不受影响。但</w:t>
      </w:r>
      <w:r>
        <w:rPr>
          <w:rFonts w:hint="eastAsia"/>
          <w:sz w:val="21"/>
          <w:szCs w:val="21"/>
        </w:rPr>
        <w:t>“</w:t>
      </w:r>
      <w:r>
        <w:rPr>
          <w:sz w:val="21"/>
          <w:szCs w:val="21"/>
        </w:rPr>
        <w:t>2023</w:t>
      </w:r>
      <w:r>
        <w:rPr>
          <w:rFonts w:hint="eastAsia"/>
          <w:sz w:val="21"/>
          <w:szCs w:val="21"/>
        </w:rPr>
        <w:t>—</w:t>
      </w:r>
      <w:r>
        <w:rPr>
          <w:sz w:val="21"/>
          <w:szCs w:val="21"/>
        </w:rPr>
        <w:t>2025年安全转为相对短板</w:t>
      </w:r>
      <w:r>
        <w:rPr>
          <w:rFonts w:hint="eastAsia"/>
          <w:sz w:val="21"/>
          <w:szCs w:val="21"/>
        </w:rPr>
        <w:t>”</w:t>
      </w:r>
      <w:r>
        <w:rPr>
          <w:sz w:val="21"/>
          <w:szCs w:val="21"/>
        </w:rPr>
        <w:t>这一具体的阶段性排序，对惯例性上限设定较为敏感。因此，2023</w:t>
      </w:r>
      <w:r>
        <w:rPr>
          <w:rFonts w:hint="eastAsia"/>
          <w:sz w:val="21"/>
          <w:szCs w:val="21"/>
        </w:rPr>
        <w:t>—</w:t>
      </w:r>
      <w:r>
        <w:rPr>
          <w:sz w:val="21"/>
          <w:szCs w:val="21"/>
        </w:rPr>
        <w:t>2025年的排序作初步观察呈现，2016</w:t>
      </w:r>
      <w:r>
        <w:rPr>
          <w:rFonts w:hint="eastAsia"/>
          <w:sz w:val="21"/>
          <w:szCs w:val="21"/>
        </w:rPr>
        <w:t>—</w:t>
      </w:r>
      <w:r>
        <w:rPr>
          <w:sz w:val="21"/>
          <w:szCs w:val="21"/>
        </w:rPr>
        <w:t>2022年的两段判断则按稳健结论表述。</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已超出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w:t>
      </w:r>
      <w:r>
        <w:rPr>
          <w:rFonts w:hint="eastAsia"/>
          <w:sz w:val="21"/>
          <w:szCs w:val="21"/>
        </w:rPr>
        <w:t>“</w:t>
      </w:r>
      <w:r>
        <w:rPr>
          <w:sz w:val="21"/>
          <w:szCs w:val="21"/>
        </w:rPr>
        <w:t>发展在样本中期相对偏弱</w:t>
      </w:r>
      <w:r>
        <w:rPr>
          <w:rFonts w:hint="eastAsia"/>
          <w:sz w:val="21"/>
          <w:szCs w:val="21"/>
        </w:rPr>
        <w:t>”</w:t>
      </w:r>
      <w:r>
        <w:rPr>
          <w:sz w:val="21"/>
          <w:szCs w:val="21"/>
        </w:rPr>
        <w:t>这一方向性判断，其具体年数在不同设定下在2</w:t>
      </w:r>
      <w:r>
        <w:rPr>
          <w:rFonts w:hint="eastAsia"/>
          <w:sz w:val="21"/>
          <w:szCs w:val="21"/>
        </w:rPr>
        <w:t>—</w:t>
      </w:r>
      <w:r>
        <w:rPr>
          <w:sz w:val="21"/>
          <w:szCs w:val="21"/>
        </w:rPr>
        <w:t>9年之间波动，其中13项设定有11项不少于3年（完整结果见附表A1）。据此可以区分强、弱两层结论：强结论是2018</w:t>
      </w:r>
      <w:r>
        <w:rPr>
          <w:rFonts w:hint="eastAsia"/>
          <w:sz w:val="21"/>
          <w:szCs w:val="21"/>
        </w:rPr>
        <w:t>—</w:t>
      </w:r>
      <w:r>
        <w:rPr>
          <w:sz w:val="21"/>
          <w:szCs w:val="21"/>
        </w:rPr>
        <w:t>2022年为发展相对滞后的重要阶段，该判断在多数设定下成立，但在剔除S4或D3的设定下发展最弱年数降至2年，其稳健性弱于</w:t>
      </w:r>
      <w:r>
        <w:rPr>
          <w:rFonts w:hint="eastAsia"/>
          <w:sz w:val="21"/>
          <w:szCs w:val="21"/>
        </w:rPr>
        <w:t>“</w:t>
      </w:r>
      <w:r>
        <w:rPr>
          <w:sz w:val="21"/>
          <w:szCs w:val="21"/>
        </w:rPr>
        <w:t>样本期内短板在三者之间发生转移</w:t>
      </w:r>
      <w:r>
        <w:rPr>
          <w:rFonts w:hint="eastAsia"/>
          <w:sz w:val="21"/>
          <w:szCs w:val="21"/>
        </w:rPr>
        <w:t>”</w:t>
      </w:r>
      <w:r>
        <w:rPr>
          <w:sz w:val="21"/>
          <w:szCs w:val="21"/>
        </w:rPr>
        <w:t>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w:t>
      </w:r>
      <w:r>
        <w:rPr>
          <w:rFonts w:hint="eastAsia"/>
          <w:sz w:val="21"/>
          <w:szCs w:val="21"/>
        </w:rPr>
        <w:t>“</w:t>
      </w:r>
      <w:r>
        <w:rPr>
          <w:sz w:val="21"/>
          <w:szCs w:val="21"/>
        </w:rPr>
        <w:t>2018</w:t>
      </w:r>
      <w:r>
        <w:rPr>
          <w:rFonts w:hint="eastAsia"/>
          <w:sz w:val="21"/>
          <w:szCs w:val="21"/>
        </w:rPr>
        <w:t>—</w:t>
      </w:r>
      <w:r>
        <w:rPr>
          <w:sz w:val="21"/>
          <w:szCs w:val="21"/>
        </w:rPr>
        <w:t>2022年发展相对偏弱</w:t>
      </w:r>
      <w:r>
        <w:rPr>
          <w:rFonts w:hint="eastAsia"/>
          <w:sz w:val="21"/>
          <w:szCs w:val="21"/>
        </w:rPr>
        <w:t>”</w:t>
      </w:r>
      <w:r>
        <w:rPr>
          <w:sz w:val="21"/>
          <w:szCs w:val="21"/>
        </w:rPr>
        <w:t>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w:t>
      </w:r>
      <w:r>
        <w:rPr>
          <w:rFonts w:hint="eastAsia"/>
          <w:sz w:val="21"/>
          <w:szCs w:val="21"/>
        </w:rPr>
        <w:t>—</w:t>
      </w:r>
      <w:r>
        <w:rPr>
          <w:sz w:val="21"/>
          <w:szCs w:val="21"/>
        </w:rPr>
        <w:t>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w:t>
      </w:r>
      <w:r>
        <w:rPr>
          <w:rFonts w:hint="eastAsia"/>
          <w:sz w:val="21"/>
          <w:szCs w:val="21"/>
        </w:rPr>
        <w:t>“</w:t>
      </w:r>
      <w:r>
        <w:rPr>
          <w:sz w:val="21"/>
          <w:szCs w:val="21"/>
        </w:rPr>
        <w:t>经济规模呈首府集中、外围递减</w:t>
      </w:r>
      <w:r>
        <w:rPr>
          <w:rFonts w:hint="eastAsia"/>
          <w:sz w:val="21"/>
          <w:szCs w:val="21"/>
        </w:rPr>
        <w:t>”</w:t>
      </w:r>
      <w:r>
        <w:rPr>
          <w:sz w:val="21"/>
          <w:szCs w:val="21"/>
        </w:rPr>
        <w:t>，而不表述为“发展能力的首府单极梯度”。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w:t>
      </w:r>
      <w:r>
        <w:rPr>
          <w:rFonts w:hint="eastAsia"/>
          <w:sz w:val="21"/>
          <w:szCs w:val="21"/>
        </w:rPr>
        <w:t>“</w:t>
      </w:r>
      <w:r>
        <w:rPr>
          <w:sz w:val="21"/>
          <w:szCs w:val="21"/>
        </w:rPr>
        <w:t>十四五</w:t>
      </w:r>
      <w:r>
        <w:rPr>
          <w:rFonts w:hint="eastAsia"/>
          <w:sz w:val="21"/>
          <w:szCs w:val="21"/>
        </w:rPr>
        <w:t>”</w:t>
      </w:r>
      <w:r>
        <w:rPr>
          <w:sz w:val="21"/>
          <w:szCs w:val="21"/>
        </w:rPr>
        <w:t>生态规划的基线值和目标值为固定基准，而规划目标基准无法下沉到县域；若改用遥感代理，就必须回到熵值或极差标准化，与主设定冲突，其时段也与2016</w:t>
      </w:r>
      <w:r>
        <w:rPr>
          <w:rFonts w:hint="eastAsia"/>
          <w:sz w:val="21"/>
          <w:szCs w:val="21"/>
        </w:rPr>
        <w:t>—</w:t>
      </w:r>
      <w:r>
        <w:rPr>
          <w:sz w:val="21"/>
          <w:szCs w:val="21"/>
        </w:rPr>
        <w:t>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需要指出的是，发展子系统在2020</w:t>
      </w:r>
      <w:r>
        <w:rPr>
          <w:rFonts w:hint="eastAsia"/>
          <w:sz w:val="21"/>
          <w:szCs w:val="21"/>
        </w:rPr>
        <w:t>—</w:t>
      </w:r>
      <w:r>
        <w:rPr>
          <w:sz w:val="21"/>
          <w:szCs w:val="21"/>
        </w:rPr>
        <w:t>2022年的低位还叠加了新冠疫情的外生冲击，本文无法将战略功能因素与疫情冲击区分开来。上述解释因此只具有方向性，仍有待可比参照区与结构分解方法的进一步检验。</w:t>
      </w:r>
    </w:p>
    <w:p w14:paraId="3BBA2A43">
      <w:pPr>
        <w:spacing w:before="160" w:after="80"/>
      </w:pPr>
      <w:r>
        <w:rPr>
          <w:rFonts w:eastAsia="黑体"/>
          <w:b/>
          <w:bCs/>
          <w:sz w:val="21"/>
          <w:szCs w:val="21"/>
        </w:rPr>
        <w:t>（二）三元协调的治理含义</w:t>
      </w:r>
    </w:p>
    <w:p w14:paraId="6FF4256D">
      <w:pPr>
        <w:ind w:firstLine="420"/>
        <w:jc w:val="both"/>
      </w:pPr>
      <w:r>
        <w:rPr>
          <w:sz w:val="21"/>
          <w:szCs w:val="21"/>
        </w:rPr>
        <w:t>结合上述测度结果，可以进一步提炼出三点与H1</w:t>
      </w:r>
      <w:r>
        <w:rPr>
          <w:rFonts w:hint="eastAsia"/>
          <w:sz w:val="21"/>
          <w:szCs w:val="21"/>
        </w:rPr>
        <w:t>—</w:t>
      </w:r>
      <w:r>
        <w:rPr>
          <w:sz w:val="21"/>
          <w:szCs w:val="21"/>
        </w:rPr>
        <w:t>H3相呼应的治理线索。</w:t>
      </w:r>
    </w:p>
    <w:p w14:paraId="044CC5AE">
      <w:pPr>
        <w:ind w:firstLine="420"/>
        <w:jc w:val="both"/>
      </w:pPr>
      <w:r>
        <w:rPr>
          <w:sz w:val="21"/>
          <w:szCs w:val="21"/>
        </w:rPr>
        <w:t>第一，发展的改善应当更看重质量而不是规模。2018</w:t>
      </w:r>
      <w:r>
        <w:rPr>
          <w:rFonts w:hint="eastAsia"/>
          <w:sz w:val="21"/>
          <w:szCs w:val="21"/>
        </w:rPr>
        <w:t>—</w:t>
      </w:r>
      <w:r>
        <w:rPr>
          <w:sz w:val="21"/>
          <w:szCs w:val="21"/>
        </w:rPr>
        <w:t>2022年发展子系统的相对滞后，与其在此期间较高的局部敏感性相互印证，也与H3预期的方向一致。这提示未来的发展改善应从</w:t>
      </w:r>
      <w:r>
        <w:rPr>
          <w:rFonts w:hint="eastAsia"/>
          <w:sz w:val="21"/>
          <w:szCs w:val="21"/>
        </w:rPr>
        <w:t>“</w:t>
      </w:r>
      <w:r>
        <w:rPr>
          <w:sz w:val="21"/>
          <w:szCs w:val="21"/>
        </w:rPr>
        <w:t>做大规模</w:t>
      </w:r>
      <w:r>
        <w:rPr>
          <w:rFonts w:hint="eastAsia"/>
          <w:sz w:val="21"/>
          <w:szCs w:val="21"/>
        </w:rPr>
        <w:t>”</w:t>
      </w:r>
      <w:r>
        <w:rPr>
          <w:sz w:val="21"/>
          <w:szCs w:val="21"/>
        </w:rPr>
        <w:t>转向</w:t>
      </w:r>
      <w:r>
        <w:rPr>
          <w:rFonts w:hint="eastAsia"/>
          <w:sz w:val="21"/>
          <w:szCs w:val="21"/>
        </w:rPr>
        <w:t>“</w:t>
      </w:r>
      <w:r>
        <w:rPr>
          <w:sz w:val="21"/>
          <w:szCs w:val="21"/>
        </w:rPr>
        <w:t>提高质量</w:t>
      </w:r>
      <w:r>
        <w:rPr>
          <w:rFonts w:hint="eastAsia"/>
          <w:sz w:val="21"/>
          <w:szCs w:val="21"/>
        </w:rPr>
        <w:t>”</w:t>
      </w:r>
      <w:r>
        <w:rPr>
          <w:sz w:val="21"/>
          <w:szCs w:val="21"/>
        </w:rPr>
        <w:t>。</w:t>
      </w:r>
    </w:p>
    <w:p w14:paraId="10485A16">
      <w:pPr>
        <w:ind w:firstLine="420"/>
        <w:jc w:val="both"/>
      </w:pPr>
      <w:r>
        <w:rPr>
          <w:sz w:val="21"/>
          <w:szCs w:val="21"/>
        </w:rPr>
        <w:t>第二，生态本底改善的可持续性有待跟踪。生态子系统的跨越式改善与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这里需要补充一点：发电量（D5）归入的是发展子系统而不是生态子系统，因此H2的部分经验支持与这一归类选择有关，解读时应当一并考虑。</w:t>
      </w:r>
    </w:p>
    <w:p w14:paraId="42B4C879">
      <w:pPr>
        <w:ind w:firstLine="420"/>
        <w:jc w:val="both"/>
      </w:pPr>
      <w:r>
        <w:rPr>
          <w:sz w:val="21"/>
          <w:szCs w:val="21"/>
        </w:rPr>
        <w:t>第三，安全子系统的相对改善速度值得纳入动态监测。其局部敏感性自2023年起已超过对发展的敏感性并持续上升，但2025年两个子系统的指数仅相差0.003，不宜解读为确定性的位次反转。因此，相应的政策提示重在方向，而不在精确排序。</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为学理起点，构建战略功能导向的</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三元结构发展模型，采用固定基准标准化、子系统内等权合成与失衡惩罚型协调指数，对2016</w:t>
      </w:r>
      <w:r>
        <w:rPr>
          <w:rFonts w:hint="eastAsia"/>
          <w:sz w:val="21"/>
          <w:szCs w:val="21"/>
        </w:rPr>
        <w:t>—</w:t>
      </w:r>
      <w:r>
        <w:rPr>
          <w:sz w:val="21"/>
          <w:szCs w:val="21"/>
        </w:rPr>
        <w:t>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w:t>
      </w:r>
      <w:r>
        <w:rPr>
          <w:rFonts w:hint="eastAsia"/>
          <w:sz w:val="21"/>
          <w:szCs w:val="21"/>
        </w:rPr>
        <w:t>—</w:t>
      </w:r>
      <w:r>
        <w:rPr>
          <w:sz w:val="21"/>
          <w:szCs w:val="21"/>
        </w:rPr>
        <w:t>2017年生态相对最弱，2018</w:t>
      </w:r>
      <w:r>
        <w:rPr>
          <w:rFonts w:hint="eastAsia"/>
          <w:sz w:val="21"/>
          <w:szCs w:val="21"/>
        </w:rPr>
        <w:t>—</w:t>
      </w:r>
      <w:r>
        <w:rPr>
          <w:sz w:val="21"/>
          <w:szCs w:val="21"/>
        </w:rPr>
        <w:t>2022年发展相对最弱，这两段判断对标准化基准、权重方案与关键指标选择均稳健。2023</w:t>
      </w:r>
      <w:r>
        <w:rPr>
          <w:rFonts w:hint="eastAsia"/>
          <w:sz w:val="21"/>
          <w:szCs w:val="21"/>
        </w:rPr>
        <w:t>—</w:t>
      </w:r>
      <w:r>
        <w:rPr>
          <w:sz w:val="21"/>
          <w:szCs w:val="21"/>
        </w:rPr>
        <w:t>2025年生态实现跨越式改善，并于2025年反超其余两个子系统；同期安全与发展趋于接近，安全的改善速度相对趋缓，呈现潜在的短板转移信号。不过，该排序对惯例性固定上限的设定较为敏感，作初步观察处理。</w:t>
      </w:r>
    </w:p>
    <w:p w14:paraId="6CE44C61">
      <w:pPr>
        <w:ind w:firstLine="420"/>
        <w:jc w:val="both"/>
        <w:rPr>
          <w:sz w:val="21"/>
          <w:szCs w:val="21"/>
        </w:rPr>
      </w:pPr>
      <w:r>
        <w:rPr>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样本末期安全改善速度趋缓，则提供了短板可能继续转移的初步信号。本文采用 MPI 刻画安全、发展与生态三个子系统的整体协调水平及其失衡状况。该指数反映的是子系统之间的相对协调关系，不能替代对安全底线和生态边界的专项阈值检验。因此，本文以战略功能导向的三元评价框架为基础，重点考察三元协调状态的阶段性变化及其短板演变。</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w:t>
      </w:r>
      <w:r>
        <w:rPr>
          <w:rFonts w:hint="eastAsia"/>
          <w:sz w:val="21"/>
          <w:szCs w:val="21"/>
        </w:rPr>
        <w:t>“</w:t>
      </w:r>
      <w:r>
        <w:rPr>
          <w:sz w:val="21"/>
          <w:szCs w:val="21"/>
        </w:rPr>
        <w:t>发展能力</w:t>
      </w:r>
      <w:r>
        <w:rPr>
          <w:rFonts w:hint="eastAsia"/>
          <w:sz w:val="21"/>
          <w:szCs w:val="21"/>
        </w:rPr>
        <w:t>”</w:t>
      </w:r>
      <w:r>
        <w:rPr>
          <w:sz w:val="21"/>
          <w:szCs w:val="21"/>
        </w:rPr>
        <w:t>空间梯度的直接检验。四是样本期覆盖新冠疫情及其防控时期，发展子系统2020</w:t>
      </w:r>
      <w:r>
        <w:rPr>
          <w:rFonts w:hint="eastAsia"/>
          <w:sz w:val="21"/>
          <w:szCs w:val="21"/>
        </w:rPr>
        <w:t>—</w:t>
      </w:r>
      <w:r>
        <w:rPr>
          <w:sz w:val="21"/>
          <w:szCs w:val="21"/>
        </w:rPr>
        <w:t>2022年的低位同时受到战略功能约束与疫情外生冲击的影响，本文以10个年度观测、无对照组的数据结构无法将二者分离，相关判断因此只在方向上成立。</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w:t>
      </w:r>
      <w:r>
        <w:rPr>
          <w:rFonts w:hint="eastAsia"/>
          <w:sz w:val="21"/>
          <w:szCs w:val="21"/>
        </w:rPr>
        <w:t>“</w:t>
      </w:r>
      <w:r>
        <w:rPr>
          <w:sz w:val="21"/>
          <w:szCs w:val="21"/>
        </w:rPr>
        <w:t>着力创建高原经济高质量发展先行区</w:t>
      </w:r>
      <w:r>
        <w:rPr>
          <w:rFonts w:hint="eastAsia"/>
          <w:sz w:val="21"/>
          <w:szCs w:val="21"/>
        </w:rPr>
        <w:t>”</w:t>
      </w:r>
      <w:r>
        <w:rPr>
          <w:sz w:val="21"/>
          <w:szCs w:val="21"/>
        </w:rPr>
        <w:t>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w:t>
      </w:r>
      <w:r>
        <w:rPr>
          <w:rFonts w:hint="eastAsia"/>
          <w:sz w:val="21"/>
          <w:szCs w:val="21"/>
        </w:rPr>
        <w:t>—</w:t>
      </w:r>
      <w:r>
        <w:rPr>
          <w:sz w:val="21"/>
          <w:szCs w:val="21"/>
        </w:rPr>
        <w:t>2025年改善速度相对趋缓、局部敏感性上升，这虽然只是初步观察，但仍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时期经济高质量发展的若干问题研究[J].财贸经济,2025,46(12).</w:t>
      </w:r>
    </w:p>
    <w:p w14:paraId="4BF49787">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314717CB">
      <w:pPr>
        <w:spacing w:after="20" w:line="300" w:lineRule="auto"/>
        <w:ind w:left="360" w:hanging="360"/>
      </w:pPr>
      <w:r>
        <w:rPr>
          <w:sz w:val="20"/>
          <w:szCs w:val="20"/>
        </w:rPr>
        <w:t>[21] 严茂超,ODUM H T.西藏生态经济系统的能值分析与可持续发展研究[J].自然资源学报,1998(2).</w:t>
      </w:r>
    </w:p>
    <w:p w14:paraId="0F68A17D">
      <w:pPr>
        <w:spacing w:after="20" w:line="300" w:lineRule="auto"/>
        <w:ind w:left="360" w:hanging="360"/>
      </w:pPr>
      <w:r>
        <w:rPr>
          <w:sz w:val="20"/>
          <w:szCs w:val="20"/>
        </w:rPr>
        <w:t>[22] 赵晓鸿.西藏经济发展与生态安全的冲突及对策[J].西南民族大学学报(人文社科版),2006(10).</w:t>
      </w:r>
    </w:p>
    <w:p w14:paraId="3C07EA9D">
      <w:pPr>
        <w:spacing w:after="20" w:line="300" w:lineRule="auto"/>
        <w:ind w:left="360" w:hanging="360"/>
      </w:pPr>
      <w:r>
        <w:rPr>
          <w:sz w:val="20"/>
          <w:szCs w:val="20"/>
        </w:rPr>
        <w:t>[23] 郑应友,侯霞.基于Bibliometrix的西藏生态经济领域研究现状、热点探析与趋势展望(1984—2022)[J].西藏研究,2024(2).</w:t>
      </w:r>
    </w:p>
    <w:p w14:paraId="752BED9A">
      <w:pPr>
        <w:spacing w:after="20" w:line="300" w:lineRule="auto"/>
        <w:ind w:left="360" w:hanging="360"/>
      </w:pPr>
      <w:r>
        <w:rPr>
          <w:sz w:val="20"/>
          <w:szCs w:val="20"/>
        </w:rPr>
        <w:t>[24] 焦乐佳,姚柳杨,宋连久,等.西藏县域生态-经济-社会耦合协调发展的时空演变及预测[J].水土保持通报,2026,46(2).</w:t>
      </w:r>
    </w:p>
    <w:p>
      <w:pPr>
        <w:spacing w:after="20" w:line="300" w:lineRule="auto"/>
        <w:ind w:left="360" w:hanging="360"/>
      </w:pPr>
      <w:r>
        <w:rPr>
          <w:sz w:val="20"/>
          <w:szCs w:val="20"/>
        </w:rPr>
        <w:t>[25] 王翔宇,高培超,宋长青,等.区域高质量发展的内涵与评价体系探索——以青藏高原县域单元为例[J].北京师范大学学报(自然科学版),2022,58(2).</w:t>
      </w:r>
    </w:p>
    <w:p w14:paraId="16C05757">
      <w:pPr>
        <w:spacing w:after="20" w:line="300" w:lineRule="auto"/>
        <w:ind w:left="360" w:hanging="360"/>
      </w:pPr>
      <w:r>
        <w:rPr>
          <w:sz w:val="20"/>
          <w:szCs w:val="20"/>
        </w:rPr>
        <w:t>[26] 魏卫,刘娴娴,王晓宇,等.美丽中国系统耦合协调度的空间异质性探索[J].经济地理,2021(6).</w:t>
      </w:r>
    </w:p>
    <w:p w14:paraId="6BE350F6">
      <w:pPr>
        <w:spacing w:after="20" w:line="300" w:lineRule="auto"/>
        <w:ind w:left="360" w:hanging="360"/>
      </w:pPr>
      <w:r>
        <w:rPr>
          <w:sz w:val="20"/>
          <w:szCs w:val="20"/>
        </w:rPr>
        <w:t>[27] 丛晓男.耦合度模型的形式、性质及在地理学研究中的若干误用[J].经济地理,2019(4).</w:t>
      </w:r>
    </w:p>
    <w:p w14:paraId="0AA5DB97">
      <w:pPr>
        <w:spacing w:after="20" w:line="300" w:lineRule="auto"/>
        <w:ind w:left="360" w:hanging="360"/>
      </w:pPr>
      <w:r>
        <w:rPr>
          <w:sz w:val="20"/>
          <w:szCs w:val="20"/>
        </w:rPr>
        <w:t>[28] Diakoulaki D, Mavrotas G, Papayannakis L. Determining objective weights in multiple criteria problems: The CRITIC method[J]. Computers &amp; Operations Research, 1995, 22(7): 763-770.</w:t>
      </w:r>
    </w:p>
    <w:p w14:paraId="17E5EAD4">
      <w:pPr>
        <w:spacing w:after="20" w:line="300" w:lineRule="auto"/>
        <w:ind w:left="360" w:hanging="360"/>
      </w:pPr>
      <w:r>
        <w:rPr>
          <w:sz w:val="20"/>
          <w:szCs w:val="20"/>
        </w:rPr>
        <w:t>[29] 于婷,于法稳.基于熵权TOPSIS法的农业高质量发展评价及障碍因子诊断[J].云南社会科学,2021(5).</w:t>
      </w:r>
    </w:p>
    <w:p w14:paraId="6A6E789E">
      <w:pPr>
        <w:spacing w:after="20" w:line="300" w:lineRule="auto"/>
        <w:ind w:left="360" w:hanging="360"/>
      </w:pPr>
      <w:r>
        <w:rPr>
          <w:sz w:val="20"/>
          <w:szCs w:val="20"/>
        </w:rPr>
        <w:t>[30]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[31]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[32]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[33] Tarabusi E C, Guarini G. An unbalance adjustment method for development indicators[J]. Social Indicators Research, 2013, 112(1): 19-45.</w:t>
      </w:r>
    </w:p>
    <w:p w14:paraId="30D9F957">
      <w:pPr>
        <w:spacing w:after="20" w:line="300" w:lineRule="auto"/>
        <w:ind w:left="360" w:hanging="360"/>
      </w:pPr>
      <w:r>
        <w:rPr>
          <w:sz w:val="20"/>
          <w:szCs w:val="20"/>
        </w:rPr>
        <w:t>[34] 岳文泽,姜博文,钟鹏宇,等.生产、生活、生态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的内在逻辑与实践路径[J/OL].生态学报,2026,46(18)[2026-09-03].https://doi.org/10.20103/j.stxb.202512013208.</w:t>
      </w:r>
    </w:p>
    <w:p w14:paraId="353F5AFE">
      <w:pPr>
        <w:spacing w:after="20" w:line="300" w:lineRule="auto"/>
        <w:ind w:left="360" w:hanging="360"/>
      </w:pPr>
      <w:r>
        <w:rPr>
          <w:sz w:val="20"/>
          <w:szCs w:val="20"/>
        </w:rPr>
        <w:t>[35]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5A929AB0">
      <w:pPr>
        <w:spacing w:after="20" w:line="300" w:lineRule="auto"/>
        <w:ind w:left="360" w:hanging="360"/>
      </w:pPr>
      <w:r>
        <w:rPr>
          <w:sz w:val="20"/>
          <w:szCs w:val="20"/>
        </w:rPr>
        <w:t>[36]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[37]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B9BACB9">
      <w:pPr>
        <w:spacing w:after="20" w:line="300" w:lineRule="auto"/>
        <w:ind w:left="360" w:hanging="360"/>
      </w:pPr>
      <w:r>
        <w:rPr>
          <w:sz w:val="20"/>
          <w:szCs w:val="20"/>
        </w:rPr>
        <w:t>[38] 西藏自治区统计局,国家统计局西藏调查总队.西藏自治区国民经济和社会发展统计公报(2016—2025)[R].2017—2026.</w:t>
      </w:r>
    </w:p>
    <w:p w14:paraId="6E3DFC50">
      <w:pPr>
        <w:spacing w:after="20" w:line="300" w:lineRule="auto"/>
        <w:ind w:left="360" w:hanging="360"/>
      </w:pPr>
      <w:r>
        <w:rPr>
          <w:sz w:val="20"/>
          <w:szCs w:val="20"/>
        </w:rPr>
        <w:t>[39] 西藏自治区统计局.西藏统计年鉴(2017—2026)[M].北京:中国统计出版社,2017—2026.</w:t>
      </w:r>
    </w:p>
    <w:p w14:paraId="5B05715D">
      <w:pPr>
        <w:spacing w:after="20" w:line="300" w:lineRule="auto"/>
        <w:ind w:left="360" w:hanging="360"/>
      </w:pPr>
      <w:r>
        <w:rPr>
          <w:sz w:val="20"/>
          <w:szCs w:val="20"/>
        </w:rPr>
        <w:t>[40] 国家统计局.中国统计年鉴(2017—2026)[M].北京:中国统计出版社,2017—2026.</w:t>
      </w:r>
    </w:p>
    <w:p w14:paraId="7ADAD0A0">
      <w:pPr>
        <w:spacing w:after="20" w:line="300" w:lineRule="auto"/>
        <w:ind w:left="360" w:hanging="360"/>
      </w:pPr>
      <w:r>
        <w:rPr>
          <w:sz w:val="20"/>
          <w:szCs w:val="20"/>
        </w:rPr>
        <w:t>[41] 西藏自治区生态环境厅.西藏自治区生态环境状况公报(2016—2025)[R].2017—2026.</w:t>
      </w:r>
    </w:p>
    <w:p w14:paraId="37829425">
      <w:pPr>
        <w:spacing w:after="20" w:line="300" w:lineRule="auto"/>
        <w:ind w:left="360" w:hanging="360"/>
      </w:pPr>
      <w:r>
        <w:rPr>
          <w:sz w:val="20"/>
          <w:szCs w:val="20"/>
        </w:rPr>
        <w:t>[42]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r>
      <w:r>
        <w:br w:type="textWrapping"/>
      </w:r>
      <w:r>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