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3B07" w14:textId="77777777" w:rsidR="0078790F" w:rsidRPr="0078790F" w:rsidRDefault="0078790F" w:rsidP="0078790F">
      <w:pPr>
        <w:widowControl/>
        <w:shd w:val="clear" w:color="auto" w:fill="FFFFFF"/>
        <w:spacing w:line="600" w:lineRule="atLeast"/>
        <w:jc w:val="center"/>
        <w:outlineLvl w:val="1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78790F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</w:rPr>
        <w:t>关于取消、调整部分政府性基金有关政策的通知</w:t>
      </w:r>
    </w:p>
    <w:p w14:paraId="6385310A" w14:textId="77777777" w:rsidR="0078790F" w:rsidRPr="0078790F" w:rsidRDefault="0078790F" w:rsidP="0078790F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6" w:history="1">
        <w:r w:rsidRPr="0078790F">
          <w:rPr>
            <w:rFonts w:ascii="微软雅黑" w:eastAsia="微软雅黑" w:hAnsi="微软雅黑" w:cs="宋体" w:hint="eastAsia"/>
            <w:color w:val="D30B15"/>
            <w:kern w:val="0"/>
            <w:szCs w:val="21"/>
            <w:u w:val="single"/>
          </w:rPr>
          <w:t>收藏</w:t>
        </w:r>
      </w:hyperlink>
      <w:r w:rsidRPr="0078790F">
        <w:rPr>
          <w:rFonts w:ascii="微软雅黑" w:eastAsia="微软雅黑" w:hAnsi="微软雅黑" w:cs="宋体" w:hint="eastAsia"/>
          <w:color w:val="999999"/>
          <w:kern w:val="0"/>
          <w:szCs w:val="21"/>
        </w:rPr>
        <w:t>字号：   </w:t>
      </w:r>
      <w:hyperlink r:id="rId7" w:history="1">
        <w:r w:rsidRPr="0078790F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大</w:t>
        </w:r>
      </w:hyperlink>
      <w:r w:rsidRPr="0078790F">
        <w:rPr>
          <w:rFonts w:ascii="微软雅黑" w:eastAsia="微软雅黑" w:hAnsi="微软雅黑" w:cs="宋体" w:hint="eastAsia"/>
          <w:color w:val="999999"/>
          <w:kern w:val="0"/>
          <w:szCs w:val="21"/>
        </w:rPr>
        <w:t>   </w:t>
      </w:r>
      <w:hyperlink r:id="rId8" w:history="1">
        <w:r w:rsidRPr="0078790F">
          <w:rPr>
            <w:rFonts w:ascii="微软雅黑" w:eastAsia="微软雅黑" w:hAnsi="微软雅黑" w:cs="宋体" w:hint="eastAsia"/>
            <w:color w:val="333333"/>
            <w:kern w:val="0"/>
            <w:szCs w:val="21"/>
            <w:u w:val="single"/>
          </w:rPr>
          <w:t>中</w:t>
        </w:r>
      </w:hyperlink>
      <w:r w:rsidRPr="0078790F">
        <w:rPr>
          <w:rFonts w:ascii="微软雅黑" w:eastAsia="微软雅黑" w:hAnsi="微软雅黑" w:cs="宋体" w:hint="eastAsia"/>
          <w:color w:val="999999"/>
          <w:kern w:val="0"/>
          <w:szCs w:val="21"/>
        </w:rPr>
        <w:t>   </w:t>
      </w:r>
      <w:hyperlink r:id="rId9" w:history="1">
        <w:r w:rsidRPr="0078790F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小</w:t>
        </w:r>
      </w:hyperlink>
    </w:p>
    <w:p w14:paraId="07B74100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center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财税[2017]18号</w:t>
      </w:r>
    </w:p>
    <w:p w14:paraId="1C4553DA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发展改革委、住房城乡建设部、商务部、水利部、税务总局、中国残联，各省、自治区、直辖市财政厅(局)：</w:t>
      </w:r>
    </w:p>
    <w:p w14:paraId="2AAE842D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为切实减轻企业负担，促进实体经济发展，经国务院批准，现就取消、调整部分政府性基金有关政策通知如下：</w:t>
      </w:r>
    </w:p>
    <w:p w14:paraId="04116BBF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一、取消城市公用事业附加和新型墙</w:t>
      </w:r>
      <w:proofErr w:type="gramStart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体材</w:t>
      </w:r>
      <w:proofErr w:type="gramEnd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料专项基金。以前年度欠缴或预缴的上述政府性基金，相关执收单位应当足额征收或及时清算，并按照财政部门规定的渠道全额上缴国库或多退少补。</w:t>
      </w:r>
    </w:p>
    <w:p w14:paraId="2B5F371C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二、调整残疾人就业保障金征收政策</w:t>
      </w:r>
    </w:p>
    <w:p w14:paraId="7ED1F3E7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(</w:t>
      </w:r>
      <w:proofErr w:type="gramStart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一</w:t>
      </w:r>
      <w:proofErr w:type="gramEnd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)扩大残疾人就业保障金免征范围。将残疾人就业保障金免征范围，由自工商注册登记之日起3年内，在职职工总数20人(含)以下小微企业，调整为在职职工总数30人(含)以下的企业。调整免征范围后，工商注册登记未满3年、在职职工总数30人(含)以下的企业，可在剩余时期内按规定免征残疾人就业保障金。</w:t>
      </w:r>
    </w:p>
    <w:p w14:paraId="5786D0BD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 xml:space="preserve">　　(二)设置残疾人就业保障金征收标准上限。用人单位在职职工年平均工资未超过当地社会平均工资(用人单位所在地统计部门公布的上年度城镇单位就业人员平均工资)3倍(含)的，按用人单位在职职工年平均工资计征残疾人就业保障金；超过当地社会平均工资3倍以上的，按当地社会平均工资3倍计征残疾人就业保障金。用人单位在职职工年平均工资的计算口径，按照国家统计局关于工资总额组成的有关规定执行。</w:t>
      </w:r>
    </w:p>
    <w:p w14:paraId="6A02CB2F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三、“十三五”期间，省、自治区、直辖市人民政府可以结合当地经济发展水平、相关公共事业和设施保障状况、社会承受能力等因素，自主决定免征、停征或减征地方水利建设基金、地方水库移民扶持基金。各省、自治区、直辖市财政部门应当将本地区出台的减免政策报财政部备案。</w:t>
      </w:r>
    </w:p>
    <w:p w14:paraId="0839B2D4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四、各级财政部门要切实做好经费保障工作，妥善安排相关部门和单位预算，保障其依法履行职责，积极支持相关事业发展。</w:t>
      </w:r>
    </w:p>
    <w:p w14:paraId="288E1FF2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五、各级地区、有关部门和单位要通过广播、电视、报纸、网络等媒体，加强政策宣传解读，及时发布信息，做好舆论引导。</w:t>
      </w:r>
    </w:p>
    <w:p w14:paraId="6F6C51D7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六、各地区、有关部门和单位要严格执行政府性基金管理有关规定，对公布取消、调整或减免的政府性基金，不得以任何理由拖延或者拒绝执行。有关部门要加强政策落实情况的监督检查，对违反规定的，应当按照《预算法》、《财政违法行为处罚处分条例》等法律、行政法规规定予以处理。</w:t>
      </w:r>
    </w:p>
    <w:p w14:paraId="298C9786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　　七、本通知自2017年4月1日起执行。《财政部关于征收城市公用事业附加的几项规定》(〔64〕</w:t>
      </w:r>
      <w:proofErr w:type="gramStart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财预王字</w:t>
      </w:r>
      <w:proofErr w:type="gramEnd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第380号)、《财政部　国家发展改革委关</w:t>
      </w: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于印发&lt;新型墙</w:t>
      </w:r>
      <w:proofErr w:type="gramStart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体材</w:t>
      </w:r>
      <w:proofErr w:type="gramEnd"/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料专项基金征收使用管理办法&gt;的通知》(财综〔2007〕77号)同时废止。</w:t>
      </w:r>
    </w:p>
    <w:p w14:paraId="119DB13F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righ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财政部</w:t>
      </w:r>
    </w:p>
    <w:p w14:paraId="69A56EE3" w14:textId="77777777" w:rsidR="0078790F" w:rsidRPr="0078790F" w:rsidRDefault="0078790F" w:rsidP="0078790F">
      <w:pPr>
        <w:widowControl/>
        <w:shd w:val="clear" w:color="auto" w:fill="FFFFFF"/>
        <w:spacing w:after="300" w:line="480" w:lineRule="atLeast"/>
        <w:jc w:val="righ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78790F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2017年3月15日</w:t>
      </w:r>
    </w:p>
    <w:p w14:paraId="6F93FC13" w14:textId="77777777" w:rsidR="003A28EC" w:rsidRDefault="003A28EC"/>
    <w:sectPr w:rsidR="003A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B5927" w14:textId="77777777" w:rsidR="004F0774" w:rsidRDefault="004F0774" w:rsidP="0078790F">
      <w:r>
        <w:separator/>
      </w:r>
    </w:p>
  </w:endnote>
  <w:endnote w:type="continuationSeparator" w:id="0">
    <w:p w14:paraId="1F2F716B" w14:textId="77777777" w:rsidR="004F0774" w:rsidRDefault="004F0774" w:rsidP="0078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AE549" w14:textId="77777777" w:rsidR="004F0774" w:rsidRDefault="004F0774" w:rsidP="0078790F">
      <w:r>
        <w:separator/>
      </w:r>
    </w:p>
  </w:footnote>
  <w:footnote w:type="continuationSeparator" w:id="0">
    <w:p w14:paraId="5C986582" w14:textId="77777777" w:rsidR="004F0774" w:rsidRDefault="004F0774" w:rsidP="007879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EC"/>
    <w:rsid w:val="003A28EC"/>
    <w:rsid w:val="004F0774"/>
    <w:rsid w:val="0078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263A19-85A0-470A-B1F0-194BC156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9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90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7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87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0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hangeSize(16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changeSize(18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javascript:changeSize(14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2021-04-14T03:19:00Z</dcterms:created>
  <dcterms:modified xsi:type="dcterms:W3CDTF">2021-04-14T03:19:00Z</dcterms:modified>
</cp:coreProperties>
</file>