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CA10B" w14:textId="77777777" w:rsidR="002C0E95" w:rsidRPr="002C0E95" w:rsidRDefault="002C0E95" w:rsidP="002C0E95">
      <w:pPr>
        <w:widowControl/>
        <w:shd w:val="clear" w:color="auto" w:fill="FFFFFF"/>
        <w:spacing w:line="750" w:lineRule="atLeast"/>
        <w:jc w:val="center"/>
        <w:rPr>
          <w:rFonts w:ascii="微软雅黑" w:eastAsia="微软雅黑" w:hAnsi="微软雅黑" w:cs="宋体"/>
          <w:b/>
          <w:bCs/>
          <w:color w:val="DA251C"/>
          <w:kern w:val="0"/>
          <w:sz w:val="48"/>
          <w:szCs w:val="48"/>
        </w:rPr>
      </w:pPr>
      <w:r w:rsidRPr="002C0E95">
        <w:rPr>
          <w:rFonts w:ascii="微软雅黑" w:eastAsia="微软雅黑" w:hAnsi="微软雅黑" w:cs="宋体" w:hint="eastAsia"/>
          <w:b/>
          <w:bCs/>
          <w:color w:val="DA251C"/>
          <w:kern w:val="0"/>
          <w:sz w:val="48"/>
          <w:szCs w:val="48"/>
        </w:rPr>
        <w:t>泉州市人民政府关于加快发展体育产业促进体育消费十一条措施的通知</w:t>
      </w:r>
    </w:p>
    <w:p w14:paraId="08AB0109" w14:textId="2E197B33" w:rsidR="002C0E95" w:rsidRPr="002C0E95" w:rsidRDefault="002C0E95" w:rsidP="002C0E95">
      <w:pPr>
        <w:widowControl/>
        <w:shd w:val="clear" w:color="auto" w:fill="FFFFFF"/>
        <w:spacing w:line="480" w:lineRule="atLeast"/>
        <w:jc w:val="center"/>
        <w:rPr>
          <w:rFonts w:ascii="微软雅黑" w:eastAsia="微软雅黑" w:hAnsi="微软雅黑" w:cs="宋体" w:hint="eastAsia"/>
          <w:color w:val="999999"/>
          <w:kern w:val="0"/>
          <w:sz w:val="2"/>
          <w:szCs w:val="2"/>
        </w:rPr>
      </w:pPr>
      <w:r w:rsidRPr="002C0E95">
        <w:rPr>
          <w:rFonts w:ascii="微软雅黑" w:eastAsia="微软雅黑" w:hAnsi="微软雅黑" w:cs="宋体" w:hint="eastAsia"/>
          <w:color w:val="999999"/>
          <w:kern w:val="0"/>
          <w:sz w:val="24"/>
          <w:szCs w:val="24"/>
        </w:rPr>
        <w:t>发布时间：2021-01-08 12:02</w:t>
      </w:r>
      <w:r w:rsidRPr="002C0E95">
        <w:rPr>
          <w:rFonts w:ascii="微软雅黑" w:eastAsia="微软雅黑" w:hAnsi="微软雅黑" w:cs="宋体"/>
          <w:noProof/>
          <w:color w:val="999999"/>
          <w:kern w:val="0"/>
          <w:sz w:val="24"/>
          <w:szCs w:val="24"/>
        </w:rPr>
        <w:drawing>
          <wp:inline distT="0" distB="0" distL="0" distR="0" wp14:anchorId="3C682660" wp14:editId="6D09DABD">
            <wp:extent cx="7620" cy="152400"/>
            <wp:effectExtent l="0" t="0" r="304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152400"/>
                    </a:xfrm>
                    <a:prstGeom prst="rect">
                      <a:avLst/>
                    </a:prstGeom>
                    <a:noFill/>
                    <a:ln>
                      <a:noFill/>
                    </a:ln>
                  </pic:spPr>
                </pic:pic>
              </a:graphicData>
            </a:graphic>
          </wp:inline>
        </w:drawing>
      </w:r>
      <w:r w:rsidRPr="002C0E95">
        <w:rPr>
          <w:rFonts w:ascii="微软雅黑" w:eastAsia="微软雅黑" w:hAnsi="微软雅黑" w:cs="宋体" w:hint="eastAsia"/>
          <w:color w:val="999999"/>
          <w:kern w:val="0"/>
          <w:sz w:val="24"/>
          <w:szCs w:val="24"/>
        </w:rPr>
        <w:t>阅读量：556</w:t>
      </w:r>
    </w:p>
    <w:p w14:paraId="2353682D" w14:textId="77777777" w:rsidR="002C0E95" w:rsidRPr="002C0E95" w:rsidRDefault="002C0E95" w:rsidP="002C0E95">
      <w:pPr>
        <w:widowControl/>
        <w:shd w:val="clear" w:color="auto" w:fill="FFFFFF"/>
        <w:spacing w:line="480" w:lineRule="atLeast"/>
        <w:jc w:val="center"/>
        <w:rPr>
          <w:rFonts w:ascii="微软雅黑" w:eastAsia="微软雅黑" w:hAnsi="微软雅黑" w:cs="宋体" w:hint="eastAsia"/>
          <w:color w:val="999999"/>
          <w:kern w:val="0"/>
          <w:sz w:val="24"/>
          <w:szCs w:val="24"/>
        </w:rPr>
      </w:pPr>
      <w:r w:rsidRPr="002C0E95">
        <w:rPr>
          <w:rFonts w:ascii="微软雅黑" w:eastAsia="微软雅黑" w:hAnsi="微软雅黑" w:cs="宋体" w:hint="eastAsia"/>
          <w:color w:val="999999"/>
          <w:kern w:val="0"/>
          <w:sz w:val="24"/>
          <w:szCs w:val="24"/>
        </w:rPr>
        <w:t> </w:t>
      </w:r>
    </w:p>
    <w:p w14:paraId="51D038C6" w14:textId="0B4CA5FD" w:rsidR="002C0E95" w:rsidRPr="002C0E95" w:rsidRDefault="002C0E95" w:rsidP="002C0E95">
      <w:pPr>
        <w:widowControl/>
        <w:shd w:val="clear" w:color="auto" w:fill="FFFFFF"/>
        <w:spacing w:line="480" w:lineRule="atLeast"/>
        <w:jc w:val="center"/>
        <w:rPr>
          <w:rFonts w:ascii="微软雅黑" w:eastAsia="微软雅黑" w:hAnsi="微软雅黑" w:cs="宋体" w:hint="eastAsia"/>
          <w:color w:val="999999"/>
          <w:kern w:val="0"/>
          <w:sz w:val="2"/>
          <w:szCs w:val="2"/>
        </w:rPr>
      </w:pPr>
      <w:r w:rsidRPr="002C0E95">
        <w:rPr>
          <w:rFonts w:ascii="微软雅黑" w:eastAsia="微软雅黑" w:hAnsi="微软雅黑" w:cs="宋体"/>
          <w:noProof/>
          <w:color w:val="999999"/>
          <w:kern w:val="0"/>
          <w:sz w:val="24"/>
          <w:szCs w:val="24"/>
          <w:bdr w:val="single" w:sz="6" w:space="0" w:color="E2E2E2" w:frame="1"/>
        </w:rPr>
        <w:drawing>
          <wp:inline distT="0" distB="0" distL="0" distR="0" wp14:anchorId="029505C6" wp14:editId="31F47C2D">
            <wp:extent cx="243840" cy="266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B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266700"/>
                    </a:xfrm>
                    <a:prstGeom prst="rect">
                      <a:avLst/>
                    </a:prstGeom>
                    <a:noFill/>
                    <a:ln>
                      <a:noFill/>
                    </a:ln>
                  </pic:spPr>
                </pic:pic>
              </a:graphicData>
            </a:graphic>
          </wp:inline>
        </w:drawing>
      </w:r>
      <w:r w:rsidRPr="002C0E95">
        <w:rPr>
          <w:rFonts w:ascii="微软雅黑" w:eastAsia="微软雅黑" w:hAnsi="微软雅黑" w:cs="宋体"/>
          <w:noProof/>
          <w:color w:val="999999"/>
          <w:kern w:val="0"/>
          <w:sz w:val="24"/>
          <w:szCs w:val="24"/>
          <w:bdr w:val="single" w:sz="6" w:space="0" w:color="E2E2E2" w:frame="1"/>
        </w:rPr>
        <w:drawing>
          <wp:inline distT="0" distB="0" distL="0" distR="0" wp14:anchorId="2A0B28B1" wp14:editId="4A572A5A">
            <wp:extent cx="1905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0E95">
        <w:rPr>
          <w:rFonts w:ascii="微软雅黑" w:eastAsia="微软雅黑" w:hAnsi="微软雅黑" w:cs="宋体"/>
          <w:noProof/>
          <w:color w:val="999999"/>
          <w:kern w:val="0"/>
          <w:sz w:val="24"/>
          <w:szCs w:val="24"/>
          <w:bdr w:val="single" w:sz="6" w:space="0" w:color="E2E2E2" w:frame="1"/>
        </w:rPr>
        <w:drawing>
          <wp:inline distT="0" distB="0" distL="0" distR="0" wp14:anchorId="0924C4C8" wp14:editId="61949704">
            <wp:extent cx="190500"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Norm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2C0E95">
        <w:rPr>
          <w:rFonts w:ascii="微软雅黑" w:eastAsia="微软雅黑" w:hAnsi="微软雅黑" w:cs="宋体"/>
          <w:noProof/>
          <w:color w:val="999999"/>
          <w:kern w:val="0"/>
          <w:sz w:val="24"/>
          <w:szCs w:val="24"/>
          <w:bdr w:val="single" w:sz="6" w:space="0" w:color="E2E2E2" w:frame="1"/>
        </w:rPr>
        <w:drawing>
          <wp:inline distT="0" distB="0" distL="0" distR="0" wp14:anchorId="629DD2CB" wp14:editId="7EBC41AF">
            <wp:extent cx="190500" cy="19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Pr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C1EE723"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各县（市、区）人民政府，泉州开发区、泉州台商投资区管委会，市人民政府各部门、各直属机构，各大企业，各高等院校：</w:t>
      </w:r>
    </w:p>
    <w:p w14:paraId="0895F014"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为贯彻落实《国务院关于加快发展体育产业 促进体育消费的若干意见》（国发〔2014〕46号）、《福建省人民政府关于加快体育产业发展促进体育消费十条措施的通知》（闽政〔2015〕40号）精神，促进泉州体育产业可持续发展，有效扩大体育消费，结合我市实际情况，特提出以下措施： </w:t>
      </w:r>
    </w:p>
    <w:p w14:paraId="7B27D1E1"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一、创新产业发展体制机制 </w:t>
      </w:r>
    </w:p>
    <w:p w14:paraId="41ABA1CB"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加快体制机制创新。健全以政府为引导、市场为主体的体育产业发展体制机制，探索搭建体育产业发展平台，通过政府主导、市场运作的模式，优化体育产业资源配置，推进所有权和经营权有效分离。引进、培育和扶持一批体育场馆专业运营管理实体，探索学校体育场馆第</w:t>
      </w:r>
      <w:r w:rsidRPr="002C0E95">
        <w:rPr>
          <w:rFonts w:ascii="宋体" w:eastAsia="宋体" w:hAnsi="宋体" w:cs="宋体" w:hint="eastAsia"/>
          <w:color w:val="333333"/>
          <w:kern w:val="0"/>
          <w:sz w:val="32"/>
          <w:szCs w:val="32"/>
        </w:rPr>
        <w:lastRenderedPageBreak/>
        <w:t>三方运营管理的体制机制，运用现代信息技术，提高各类场馆专业化、信息化水平。 </w:t>
      </w:r>
    </w:p>
    <w:p w14:paraId="706AC8BA"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二）强化政府服务职能。健全公平、公正、公开的市场化体育赛事运营体制，积极推进安保服务社会化，分级分类科学指导商业和群众性体育赛事的安全管理工作，督促承办单位严格落实安全措施。对能够以企业和社会组织为主体进行市场化运作的体育赛事和活动，政府提供交通、卫生和宣传等保障服务类资源，并保护其知识产权及其他各种权益。 </w:t>
      </w:r>
    </w:p>
    <w:p w14:paraId="4BA37B8F"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三）鼓励社会资本参与。鼓励个人、企业、社会团体参与兴办国家政策许可的各种体育经营企业，在市场准入、规划建设、土地征用、税费减免、金融服务、对外贸易和技术合作等方面享有与国有单位同等待遇。引导和支持各类社会资本有序进入职业体育。 </w:t>
      </w:r>
    </w:p>
    <w:p w14:paraId="59C7FDAE"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二、健全产业财政支持体系 </w:t>
      </w:r>
    </w:p>
    <w:p w14:paraId="685BE928"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加大财政扶持力度。支持公共体育设施建设，鼓励有条件的县（市、区）（含泉州开发区、泉州台商投资区，下同）将公共体育设施维修维护、管理资金列入同级政府财政预算。鼓励有条件的机关事业单位及学校体育设施在休息时间、课余时间有序向社会开放。安排一定比例的体育彩票公益金等财政资金，通过政府采购服务、消费补贴等途径，支持市民健身消费。 </w:t>
      </w:r>
    </w:p>
    <w:p w14:paraId="290C816B"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lastRenderedPageBreak/>
        <w:t xml:space="preserve">　　（二）用好产业发展专项资金。健全体育产业发展财政扶持体系，发挥泉州市体育产业发展专项资金在推进体育产业转型升级中的引导、扶持、激励作用，重点支持</w:t>
      </w:r>
      <w:proofErr w:type="gramStart"/>
      <w:r w:rsidRPr="002C0E95">
        <w:rPr>
          <w:rFonts w:ascii="宋体" w:eastAsia="宋体" w:hAnsi="宋体" w:cs="宋体" w:hint="eastAsia"/>
          <w:color w:val="333333"/>
          <w:kern w:val="0"/>
          <w:sz w:val="32"/>
          <w:szCs w:val="32"/>
        </w:rPr>
        <w:t>品牌赛事</w:t>
      </w:r>
      <w:proofErr w:type="gramEnd"/>
      <w:r w:rsidRPr="002C0E95">
        <w:rPr>
          <w:rFonts w:ascii="宋体" w:eastAsia="宋体" w:hAnsi="宋体" w:cs="宋体" w:hint="eastAsia"/>
          <w:color w:val="333333"/>
          <w:kern w:val="0"/>
          <w:sz w:val="32"/>
          <w:szCs w:val="32"/>
        </w:rPr>
        <w:t>举办、公共体育服务平台建设、体育产业人才培养、体育用品品牌培育、健身休闲业发展等。鼓励有条件的县（市、区）设立体育产业发展专项资金，配套扶持本县（市、区）体育产业的发展。 </w:t>
      </w:r>
    </w:p>
    <w:p w14:paraId="5FCDB033"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三）支持企业创新发展。鼓励体育企业由体育制造向“体育智造”转变，对体育企业在国家技术创新领域取得重大突破，在专利技术实施推广中取得巨大经济、社会效益的专利项目；在参与国内外市场竞争发挥重要作用，对促进本领域的技术进步与创新有突出贡献并取得显著经济、社会效益的专利项目；在技术创新或专利技术产业化中取得显著经济、社会效益的专利项目；在技术创新或专利技术产业化中取得较好的经济、社会效益的专利项目，按《泉州市专利奖评奖规定》给予奖励。 </w:t>
      </w:r>
    </w:p>
    <w:p w14:paraId="70ED758F"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三、落实产业税费优惠政策 </w:t>
      </w:r>
    </w:p>
    <w:p w14:paraId="60C3D167"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依法落实税费政策。依据国家税收法律及国家财政部、国家税务总局和省政府有关规定，对企业从事服务于体育相关新兴产业，取得的符合条件的技术转让所得免征、减征企业所得税；经认定取得非营利组织免税资格的体育组织，其取得税法规定范围的免税收入，可以免征</w:t>
      </w:r>
      <w:r w:rsidRPr="002C0E95">
        <w:rPr>
          <w:rFonts w:ascii="宋体" w:eastAsia="宋体" w:hAnsi="宋体" w:cs="宋体" w:hint="eastAsia"/>
          <w:color w:val="333333"/>
          <w:kern w:val="0"/>
          <w:sz w:val="32"/>
          <w:szCs w:val="32"/>
        </w:rPr>
        <w:lastRenderedPageBreak/>
        <w:t>企业所得税；对纳入预算管理的体育事业单位按照核定的预算和经费报领关系收到的由财政部门或上级单位拨入的财政补助收入，可以作为不征税收入，在计算应纳税所得额时从收入总额中减除；企业发生的符合条件的广告费和业务宣传费支出，除国务院财政、税务主管部门另有规定外，不超过当年销售（营业）收入15%的部分，准予扣除，超过部分准予在以后纳税年度结转扣除；对符合税法相关规定的体育场馆，可依法享受税收优惠政策；体育企业缴纳房产税、城镇土地使用税确有困难的，可向税务机关申请减免。落实对企业从事文化体育产业按3%的税率计征增值税。鼓励体育事业捐赠，对企事业单位、团体通过公益性社会团体或者县级以上人民政府及其部门，用于《中华人民共和国公益事业捐赠法》规定的公益事业的捐赠，在年度利润总额12%以内的部分，可在计算应纳税所得额时予以扣除；个人通过中国境内社会团体、国家机关对体育公益事业的捐赠，除国务院规定实行全额税前扣除的项目外，捐赠额未超过纳税人申报的应纳税所得额30%的部分，可以从其应纳税所得额中扣除。 </w:t>
      </w:r>
    </w:p>
    <w:p w14:paraId="53455055"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（二）扶持公共服务发展。对于公共体育设施、产业基地、健身休闲等项目，符合政策条件的减免相关政策性收费，水、电、气收费按照国家规定执行。非营利性体育组织、场馆设施建设</w:t>
      </w:r>
      <w:proofErr w:type="gramStart"/>
      <w:r w:rsidRPr="002C0E95">
        <w:rPr>
          <w:rFonts w:ascii="宋体" w:eastAsia="宋体" w:hAnsi="宋体" w:cs="宋体" w:hint="eastAsia"/>
          <w:color w:val="333333"/>
          <w:kern w:val="0"/>
          <w:sz w:val="32"/>
          <w:szCs w:val="32"/>
        </w:rPr>
        <w:t>免征市</w:t>
      </w:r>
      <w:proofErr w:type="gramEnd"/>
      <w:r w:rsidRPr="002C0E95">
        <w:rPr>
          <w:rFonts w:ascii="宋体" w:eastAsia="宋体" w:hAnsi="宋体" w:cs="宋体" w:hint="eastAsia"/>
          <w:color w:val="333333"/>
          <w:kern w:val="0"/>
          <w:sz w:val="32"/>
          <w:szCs w:val="32"/>
        </w:rPr>
        <w:t>本级有关行政事业性收费；营</w:t>
      </w:r>
      <w:r w:rsidRPr="002C0E95">
        <w:rPr>
          <w:rFonts w:ascii="宋体" w:eastAsia="宋体" w:hAnsi="宋体" w:cs="宋体" w:hint="eastAsia"/>
          <w:color w:val="333333"/>
          <w:kern w:val="0"/>
          <w:sz w:val="32"/>
          <w:szCs w:val="32"/>
        </w:rPr>
        <w:lastRenderedPageBreak/>
        <w:t>利性体育组织、场馆设施建设减半征收市本级有关行政事业收费。连续租用经营场所满1年以上的，由纳税所在县（市、区）财政给予一定的租金补助。 </w:t>
      </w:r>
    </w:p>
    <w:p w14:paraId="2527A6A5"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四、加强产业土地保障 </w:t>
      </w:r>
    </w:p>
    <w:p w14:paraId="7D30D2A4"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优先保障重点项目用地。体育产业用地纳入各县（市、区）国土空间规划，对符合国土空间规划、供地政策和节约集约用地条件的体育产业用地，在土地利用年度计划指标上予以倾斜，并优先保障国家、省级体育产业基地及市级重点发展的体育产业项目建设用地。国家及省级体育产业基地用地的土地出让底价可按所在级别同类用地基准地价的70%确定出让价格。基准地价未覆盖县（市、区）可按不低于新增建设用地的土地有偿使用、征地拆迁补偿费用以及有关税费之和确定土地出让底价。鼓励和引导体育制造企业向工业园区集中，对进入工业园区的企业，实行园区供地价格、面积与项目投资规模、建设进度、年度纳税额挂钩制度。鼓励各县（市、区）设立体育产业创业园，对落地的市级及以上体育产业创业园区，符合国家产业政策、国土空间规划以及体育设施专项规划、节约集约用地条件和要求的建设项目，优先保障用地。 </w:t>
      </w:r>
    </w:p>
    <w:p w14:paraId="550DE173"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（二）落实公共体育设施用地。合理安排公共体育设施建设用地，并纳入年度用地计划予以优先支持。新建居住区和社区严格按照室内人均建筑面积不低于0.1平方米</w:t>
      </w:r>
      <w:r w:rsidRPr="002C0E95">
        <w:rPr>
          <w:rFonts w:ascii="宋体" w:eastAsia="宋体" w:hAnsi="宋体" w:cs="宋体" w:hint="eastAsia"/>
          <w:color w:val="333333"/>
          <w:kern w:val="0"/>
          <w:sz w:val="32"/>
          <w:szCs w:val="32"/>
        </w:rPr>
        <w:lastRenderedPageBreak/>
        <w:t>或室外人均用地面积不低于0.3平方米的国家标准配套建设健身设施，确保与住宅区主体工程同步设计、同步施工、同步验收、同步投入使用。充分利用公园、绿地、广场、山地等建设公共体育设施，推进基层公共文化体育设施共建共享。在老城区和已建成居住区中支持企业、单位利用原划拨方式取得存量房产和建设用地兴办体育设施，对符合划拨用地目录的非营利性体育设施项目可继续以划拨方式使用土地；不符合划拨用地目录的经营性体育设施项目，连续经营1年以上的可采取协议出让方式办理用地手续。 </w:t>
      </w:r>
    </w:p>
    <w:p w14:paraId="108EECFF"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五、激发产业市场活力 </w:t>
      </w:r>
    </w:p>
    <w:p w14:paraId="56269B8C"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激发市场主体活力。积极引进和培育国内外知名体育赛事，引导企业和社会组织举承办国内外品牌赛事，对主承办市级以上体育赛事，由当地政府根据赛事难易程度和总费用给予一定的补助。鼓励社会资本建设小型化、多样化的公共体育设施，政府以购买公共服务的方式予以支持。鼓励社会力量充分利用旧厂房、仓库、老旧商业设施兴办体育场馆，对民建民营体育场馆公益性对社会开放，符合公共体育设施免费或低收费开放条件的，所在县（市、区）财政给予一定补助。实施公建民营、委托管理的中小型公共体育设施，同等条件下优先安排体育社会组织使用、管理、运作和维护。 </w:t>
      </w:r>
    </w:p>
    <w:p w14:paraId="222A2A72"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lastRenderedPageBreak/>
        <w:t xml:space="preserve">　　（二）落实产业奖励政策。体育企业品牌建设、重点项目改造、产品创新升级、技术研发、市场营销及物流平台建设、主导国际及国家和行业标准制定、境内外会展、拓展新型业态、</w:t>
      </w:r>
      <w:proofErr w:type="gramStart"/>
      <w:r w:rsidRPr="002C0E95">
        <w:rPr>
          <w:rFonts w:ascii="宋体" w:eastAsia="宋体" w:hAnsi="宋体" w:cs="宋体" w:hint="eastAsia"/>
          <w:color w:val="333333"/>
          <w:kern w:val="0"/>
          <w:sz w:val="32"/>
          <w:szCs w:val="32"/>
        </w:rPr>
        <w:t>规</w:t>
      </w:r>
      <w:proofErr w:type="gramEnd"/>
      <w:r w:rsidRPr="002C0E95">
        <w:rPr>
          <w:rFonts w:ascii="宋体" w:eastAsia="宋体" w:hAnsi="宋体" w:cs="宋体" w:hint="eastAsia"/>
          <w:color w:val="333333"/>
          <w:kern w:val="0"/>
          <w:sz w:val="32"/>
          <w:szCs w:val="32"/>
        </w:rPr>
        <w:t>上企业参与省外招标项目等奖励，按照我市相关文件执行。对新认定的省级及以上体育产业基地、省级及以上体育旅游休闲基地（示范景区、精品线路）等，由所在县（市、区）按照“一事一议”的方式，以</w:t>
      </w:r>
      <w:proofErr w:type="gramStart"/>
      <w:r w:rsidRPr="002C0E95">
        <w:rPr>
          <w:rFonts w:ascii="宋体" w:eastAsia="宋体" w:hAnsi="宋体" w:cs="宋体" w:hint="eastAsia"/>
          <w:color w:val="333333"/>
          <w:kern w:val="0"/>
          <w:sz w:val="32"/>
          <w:szCs w:val="32"/>
        </w:rPr>
        <w:t>以</w:t>
      </w:r>
      <w:proofErr w:type="gramEnd"/>
      <w:r w:rsidRPr="002C0E95">
        <w:rPr>
          <w:rFonts w:ascii="宋体" w:eastAsia="宋体" w:hAnsi="宋体" w:cs="宋体" w:hint="eastAsia"/>
          <w:color w:val="333333"/>
          <w:kern w:val="0"/>
          <w:sz w:val="32"/>
          <w:szCs w:val="32"/>
        </w:rPr>
        <w:t>奖代补形式予以扶持。 </w:t>
      </w:r>
    </w:p>
    <w:p w14:paraId="46AB100F"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六、推动产业融合发展 </w:t>
      </w:r>
    </w:p>
    <w:p w14:paraId="2B93F594"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（一）推动“体育+旅游”融合发展。依托泉州得天独厚滨海资源，开展具有滨海特色的休闲体育项目。依托清源山、</w:t>
      </w:r>
      <w:proofErr w:type="gramStart"/>
      <w:r w:rsidRPr="002C0E95">
        <w:rPr>
          <w:rFonts w:ascii="宋体" w:eastAsia="宋体" w:hAnsi="宋体" w:cs="宋体" w:hint="eastAsia"/>
          <w:color w:val="333333"/>
          <w:kern w:val="0"/>
          <w:sz w:val="32"/>
          <w:szCs w:val="32"/>
        </w:rPr>
        <w:t>仙公山</w:t>
      </w:r>
      <w:proofErr w:type="gramEnd"/>
      <w:r w:rsidRPr="002C0E95">
        <w:rPr>
          <w:rFonts w:ascii="宋体" w:eastAsia="宋体" w:hAnsi="宋体" w:cs="宋体" w:hint="eastAsia"/>
          <w:color w:val="333333"/>
          <w:kern w:val="0"/>
          <w:sz w:val="32"/>
          <w:szCs w:val="32"/>
        </w:rPr>
        <w:t>、牛</w:t>
      </w:r>
      <w:proofErr w:type="gramStart"/>
      <w:r w:rsidRPr="002C0E95">
        <w:rPr>
          <w:rFonts w:ascii="宋体" w:eastAsia="宋体" w:hAnsi="宋体" w:cs="宋体" w:hint="eastAsia"/>
          <w:color w:val="333333"/>
          <w:kern w:val="0"/>
          <w:sz w:val="32"/>
          <w:szCs w:val="32"/>
        </w:rPr>
        <w:t>姆</w:t>
      </w:r>
      <w:proofErr w:type="gramEnd"/>
      <w:r w:rsidRPr="002C0E95">
        <w:rPr>
          <w:rFonts w:ascii="宋体" w:eastAsia="宋体" w:hAnsi="宋体" w:cs="宋体" w:hint="eastAsia"/>
          <w:color w:val="333333"/>
          <w:kern w:val="0"/>
          <w:sz w:val="32"/>
          <w:szCs w:val="32"/>
        </w:rPr>
        <w:t>林、石牛山等景区，以及各县（市、区）的休闲农庄等，因地制宜开展山地体育项目。支持和引导有条件的旅游景区拓展体育旅游项目，鼓励国内旅行社结合健身休闲项目和体育赛事活动设计开发旅游产品和路线。 </w:t>
      </w:r>
    </w:p>
    <w:p w14:paraId="6640F858"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二）推动“体育+健康”融合发展。大力发展运动康复医学，积极引入国际国内品牌健身医疗机构，建设健身医疗综合体，力争形成连锁机构。推动“体医结合”，加强科学健身指导，积极推广覆盖全生命周期的运动健康服务，发展运动医学和康复医学，发挥中医药在运动康复等方面的特色作用。 </w:t>
      </w:r>
    </w:p>
    <w:p w14:paraId="6584300B"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lastRenderedPageBreak/>
        <w:t xml:space="preserve">　　（三）推进“体育+文化”融合发展。依托我市</w:t>
      </w:r>
      <w:proofErr w:type="gramStart"/>
      <w:r w:rsidRPr="002C0E95">
        <w:rPr>
          <w:rFonts w:ascii="宋体" w:eastAsia="宋体" w:hAnsi="宋体" w:cs="宋体" w:hint="eastAsia"/>
          <w:color w:val="333333"/>
          <w:kern w:val="0"/>
          <w:sz w:val="32"/>
          <w:szCs w:val="32"/>
        </w:rPr>
        <w:t>动漫产业</w:t>
      </w:r>
      <w:proofErr w:type="gramEnd"/>
      <w:r w:rsidRPr="002C0E95">
        <w:rPr>
          <w:rFonts w:ascii="宋体" w:eastAsia="宋体" w:hAnsi="宋体" w:cs="宋体" w:hint="eastAsia"/>
          <w:color w:val="333333"/>
          <w:kern w:val="0"/>
          <w:sz w:val="32"/>
          <w:szCs w:val="32"/>
        </w:rPr>
        <w:t>的发展，促进体育衍生品创意和设计开发，建立包括体育艺术品、体育工艺美术作品、体育特许商品、体育明星纪念品等的创意园区；开展体育彩票玩法创意、营销创意、宣传推广创意等。 </w:t>
      </w:r>
    </w:p>
    <w:p w14:paraId="1B33FB4D"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四）推进“体育+互联网”融合发展。加快体育社交平台的建设，鼓励和支持微小型企业开发运动场馆APP、运动健身APP，建设体育信息交流平台网站等，将更多的场馆、健身课程以及好友约运动的信息置于公共的信息平台，促进体育新兴业态的发展。 </w:t>
      </w:r>
    </w:p>
    <w:p w14:paraId="343C82A1"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七、加大产业金融支持力度 </w:t>
      </w:r>
    </w:p>
    <w:p w14:paraId="106C232C"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加强金融支持。鼓励金融机构创新支持体育服务企业发展的金融产品，将体育服务企业纳入“助保贷”等服务范围，支持非营利性体育服务机构资产抵押贷款和优质企业信用贷款。鼓励金融机构对获得省级及以上体育产业基地、体育旅游精品线路等加大信贷支持力度，合理确定贷款期限、利率和偿还方式。政府出资建立的融资担保机构要加大对体育服务机构的融资服务力度。 </w:t>
      </w:r>
    </w:p>
    <w:p w14:paraId="1F8E09CE"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二）拓展融资渠道。完善多渠道、多层次的直接融资服务体系，探索通过财政资金、国有资本引导，撬动创业投资、股权投资、产业投资基金及社会资本等加大对体育企业的投资力度。引导和支持符合条件的企业发行企业</w:t>
      </w:r>
      <w:r w:rsidRPr="002C0E95">
        <w:rPr>
          <w:rFonts w:ascii="宋体" w:eastAsia="宋体" w:hAnsi="宋体" w:cs="宋体" w:hint="eastAsia"/>
          <w:color w:val="333333"/>
          <w:kern w:val="0"/>
          <w:sz w:val="32"/>
          <w:szCs w:val="32"/>
        </w:rPr>
        <w:lastRenderedPageBreak/>
        <w:t>债券、公司债券和中期票据、短期融资</w:t>
      </w:r>
      <w:proofErr w:type="gramStart"/>
      <w:r w:rsidRPr="002C0E95">
        <w:rPr>
          <w:rFonts w:ascii="宋体" w:eastAsia="宋体" w:hAnsi="宋体" w:cs="宋体" w:hint="eastAsia"/>
          <w:color w:val="333333"/>
          <w:kern w:val="0"/>
          <w:sz w:val="32"/>
          <w:szCs w:val="32"/>
        </w:rPr>
        <w:t>券</w:t>
      </w:r>
      <w:proofErr w:type="gramEnd"/>
      <w:r w:rsidRPr="002C0E95">
        <w:rPr>
          <w:rFonts w:ascii="宋体" w:eastAsia="宋体" w:hAnsi="宋体" w:cs="宋体" w:hint="eastAsia"/>
          <w:color w:val="333333"/>
          <w:kern w:val="0"/>
          <w:sz w:val="32"/>
          <w:szCs w:val="32"/>
        </w:rPr>
        <w:t>等非金融企业直接债务融资工具优化资金结构。支持体育企业在境内外资本市场上市、在全国中小企业股份转让系统或海峡股权泉州交易中心挂牌融资。 </w:t>
      </w:r>
    </w:p>
    <w:p w14:paraId="271AEDDE"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八、加强产业对外交流合作 </w:t>
      </w:r>
    </w:p>
    <w:p w14:paraId="4F2422CF"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加强与台湾体育产业界的交流合作，借鉴台湾体育产业发展经验。大力吸引台湾体育企业来泉州设立地区总部、配套基地、物流中心、营运中心和研发中心。采购国产设备，符合相关政策规定的，全额返还增值税。加强体育产业区域交流合作，凡是奥运会项目的国际组织联系点或国际体育总会（</w:t>
      </w:r>
      <w:proofErr w:type="spellStart"/>
      <w:r w:rsidRPr="002C0E95">
        <w:rPr>
          <w:rFonts w:ascii="宋体" w:eastAsia="宋体" w:hAnsi="宋体" w:cs="宋体" w:hint="eastAsia"/>
          <w:color w:val="333333"/>
          <w:kern w:val="0"/>
          <w:sz w:val="32"/>
          <w:szCs w:val="32"/>
        </w:rPr>
        <w:t>Sportaccord</w:t>
      </w:r>
      <w:proofErr w:type="spellEnd"/>
      <w:r w:rsidRPr="002C0E95">
        <w:rPr>
          <w:rFonts w:ascii="宋体" w:eastAsia="宋体" w:hAnsi="宋体" w:cs="宋体" w:hint="eastAsia"/>
          <w:color w:val="333333"/>
          <w:kern w:val="0"/>
          <w:sz w:val="32"/>
          <w:szCs w:val="32"/>
        </w:rPr>
        <w:t>）承认的、非奥运项目的国际组织联系点落地泉州，按照“一事一议”的方式予以扶持。 </w:t>
      </w:r>
    </w:p>
    <w:p w14:paraId="38582BC7"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九、推进产业政企学</w:t>
      </w:r>
      <w:proofErr w:type="gramStart"/>
      <w:r w:rsidRPr="002C0E95">
        <w:rPr>
          <w:rFonts w:ascii="宋体" w:eastAsia="宋体" w:hAnsi="宋体" w:cs="宋体" w:hint="eastAsia"/>
          <w:color w:val="333333"/>
          <w:kern w:val="0"/>
          <w:sz w:val="32"/>
          <w:szCs w:val="32"/>
        </w:rPr>
        <w:t>研</w:t>
      </w:r>
      <w:proofErr w:type="gramEnd"/>
      <w:r w:rsidRPr="002C0E95">
        <w:rPr>
          <w:rFonts w:ascii="宋体" w:eastAsia="宋体" w:hAnsi="宋体" w:cs="宋体" w:hint="eastAsia"/>
          <w:color w:val="333333"/>
          <w:kern w:val="0"/>
          <w:sz w:val="32"/>
          <w:szCs w:val="32"/>
        </w:rPr>
        <w:t>一体化 </w:t>
      </w:r>
    </w:p>
    <w:p w14:paraId="29943D32"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支持体育管理咨询决策和资本</w:t>
      </w:r>
      <w:proofErr w:type="gramStart"/>
      <w:r w:rsidRPr="002C0E95">
        <w:rPr>
          <w:rFonts w:ascii="宋体" w:eastAsia="宋体" w:hAnsi="宋体" w:cs="宋体" w:hint="eastAsia"/>
          <w:color w:val="333333"/>
          <w:kern w:val="0"/>
          <w:sz w:val="32"/>
          <w:szCs w:val="32"/>
        </w:rPr>
        <w:t>运作智库建设</w:t>
      </w:r>
      <w:proofErr w:type="gramEnd"/>
      <w:r w:rsidRPr="002C0E95">
        <w:rPr>
          <w:rFonts w:ascii="宋体" w:eastAsia="宋体" w:hAnsi="宋体" w:cs="宋体" w:hint="eastAsia"/>
          <w:color w:val="333333"/>
          <w:kern w:val="0"/>
          <w:sz w:val="32"/>
          <w:szCs w:val="32"/>
        </w:rPr>
        <w:t>，引导龙头企业、创业投资机构等社会力量建设</w:t>
      </w:r>
      <w:proofErr w:type="gramStart"/>
      <w:r w:rsidRPr="002C0E95">
        <w:rPr>
          <w:rFonts w:ascii="宋体" w:eastAsia="宋体" w:hAnsi="宋体" w:cs="宋体" w:hint="eastAsia"/>
          <w:color w:val="333333"/>
          <w:kern w:val="0"/>
          <w:sz w:val="32"/>
          <w:szCs w:val="32"/>
        </w:rPr>
        <w:t>体育创客天地</w:t>
      </w:r>
      <w:proofErr w:type="gramEnd"/>
      <w:r w:rsidRPr="002C0E95">
        <w:rPr>
          <w:rFonts w:ascii="宋体" w:eastAsia="宋体" w:hAnsi="宋体" w:cs="宋体" w:hint="eastAsia"/>
          <w:color w:val="333333"/>
          <w:kern w:val="0"/>
          <w:sz w:val="32"/>
          <w:szCs w:val="32"/>
        </w:rPr>
        <w:t>、</w:t>
      </w:r>
      <w:proofErr w:type="gramStart"/>
      <w:r w:rsidRPr="002C0E95">
        <w:rPr>
          <w:rFonts w:ascii="宋体" w:eastAsia="宋体" w:hAnsi="宋体" w:cs="宋体" w:hint="eastAsia"/>
          <w:color w:val="333333"/>
          <w:kern w:val="0"/>
          <w:sz w:val="32"/>
          <w:szCs w:val="32"/>
        </w:rPr>
        <w:t>创客空间</w:t>
      </w:r>
      <w:proofErr w:type="gramEnd"/>
      <w:r w:rsidRPr="002C0E95">
        <w:rPr>
          <w:rFonts w:ascii="宋体" w:eastAsia="宋体" w:hAnsi="宋体" w:cs="宋体" w:hint="eastAsia"/>
          <w:color w:val="333333"/>
          <w:kern w:val="0"/>
          <w:sz w:val="32"/>
          <w:szCs w:val="32"/>
        </w:rPr>
        <w:t>。鼓励组建自主研发技术和质量检测队伍，推进国家级和省级体育产品质量检测中心等项目建设。鼓励高新技术企业与高校、科研机构、专业设计单位组建产业技术创新战略联盟和共建产学研平台。鼓励以购买公共服务的方式，与高校、智库和研究机构形成合作伙伴关系，促进</w:t>
      </w:r>
      <w:r w:rsidRPr="002C0E95">
        <w:rPr>
          <w:rFonts w:ascii="宋体" w:eastAsia="宋体" w:hAnsi="宋体" w:cs="宋体" w:hint="eastAsia"/>
          <w:color w:val="333333"/>
          <w:kern w:val="0"/>
          <w:sz w:val="32"/>
          <w:szCs w:val="32"/>
        </w:rPr>
        <w:lastRenderedPageBreak/>
        <w:t>政策设计和项目决策科学化。鼓励已有的体育产业科研机构、体育产业研究平台发展。 </w:t>
      </w:r>
    </w:p>
    <w:p w14:paraId="36FC8114"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十、积极引进培养体育产业人才 </w:t>
      </w:r>
    </w:p>
    <w:p w14:paraId="0FF0B4E9"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（一）加快高端人才引进。加强体育产业人才培养的国际交流与合作，有计划、有重点地引进国内外体育产业各类高层次、高素质人才。对引进的体育高层次人才，按照高层次人才</w:t>
      </w:r>
      <w:proofErr w:type="gramStart"/>
      <w:r w:rsidRPr="002C0E95">
        <w:rPr>
          <w:rFonts w:ascii="宋体" w:eastAsia="宋体" w:hAnsi="宋体" w:cs="宋体" w:hint="eastAsia"/>
          <w:color w:val="333333"/>
          <w:kern w:val="0"/>
          <w:sz w:val="32"/>
          <w:szCs w:val="32"/>
        </w:rPr>
        <w:t>安居保障</w:t>
      </w:r>
      <w:proofErr w:type="gramEnd"/>
      <w:r w:rsidRPr="002C0E95">
        <w:rPr>
          <w:rFonts w:ascii="宋体" w:eastAsia="宋体" w:hAnsi="宋体" w:cs="宋体" w:hint="eastAsia"/>
          <w:color w:val="333333"/>
          <w:kern w:val="0"/>
          <w:sz w:val="32"/>
          <w:szCs w:val="32"/>
        </w:rPr>
        <w:t>政策的规定享受各项保障待遇。非本市户籍人才子女享受本市户籍学生同等待遇。对曾获得世界三大赛事（奥运会、世界锦标赛、世界杯）前六名、亚洲三大赛事（亚运会、亚洲锦标赛、亚洲杯）和全国运动会前三名、省运动会和单项国际性体育比赛第一名的退役运动员，自退役之日起6个月内，符合事业单位岗位任职条件的，能发挥其专长的，可采取直接考核的方式给予聘用；对事业单位需要通过考试招聘体育专业技术人员的，经上级主管部门和同级组织、人事部门同意，可采取专门面向退役运动员公开招聘方式进行。退役运动员参加面向社会公开招聘考试，可按照</w:t>
      </w:r>
      <w:proofErr w:type="gramStart"/>
      <w:r w:rsidRPr="002C0E95">
        <w:rPr>
          <w:rFonts w:ascii="宋体" w:eastAsia="宋体" w:hAnsi="宋体" w:cs="宋体" w:hint="eastAsia"/>
          <w:color w:val="333333"/>
          <w:kern w:val="0"/>
          <w:sz w:val="32"/>
          <w:szCs w:val="32"/>
        </w:rPr>
        <w:t>人社部门</w:t>
      </w:r>
      <w:proofErr w:type="gramEnd"/>
      <w:r w:rsidRPr="002C0E95">
        <w:rPr>
          <w:rFonts w:ascii="宋体" w:eastAsia="宋体" w:hAnsi="宋体" w:cs="宋体" w:hint="eastAsia"/>
          <w:color w:val="333333"/>
          <w:kern w:val="0"/>
          <w:sz w:val="32"/>
          <w:szCs w:val="32"/>
        </w:rPr>
        <w:t>相关文件执行。 </w:t>
      </w:r>
    </w:p>
    <w:p w14:paraId="2058FD8D"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二）加强本土人才培养。鼓励和支持在泉高校根据我市体育产业发展方向设立体育产业类专业，重点培养体育研发设计、赛事策划、场馆运营、体育营销、体育经营管理、体育中介和各种操作型、技能型人才。支持有条件</w:t>
      </w:r>
      <w:r w:rsidRPr="002C0E95">
        <w:rPr>
          <w:rFonts w:ascii="宋体" w:eastAsia="宋体" w:hAnsi="宋体" w:cs="宋体" w:hint="eastAsia"/>
          <w:color w:val="333333"/>
          <w:kern w:val="0"/>
          <w:sz w:val="32"/>
          <w:szCs w:val="32"/>
        </w:rPr>
        <w:lastRenderedPageBreak/>
        <w:t>高等院校设立体育产业相关研究机构。鼓励高校毕业生、青年人才自主创业，从事体育产业工作。加强现有体育服务业从业人员的岗位职业培训。 </w:t>
      </w:r>
    </w:p>
    <w:p w14:paraId="1103D8D3"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十一、完善产业统计监测体系 </w:t>
      </w:r>
    </w:p>
    <w:p w14:paraId="5BA1DEE2"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建立健全体育产业统计指标体系和统计制度，规范体育产业的统计口径和范围，发布年度体育产业发展统计报告。建立体育产业发展评价与监测指标体系，全面跟踪掌握体育产业发展的总体规模、行业结构、经济效益等基础数据，客观反映体育产业对社会经济发展水平的贡献度。进一步完善体育产业项目效果评估制度，加强审计监督，提高项目运作的规范性和实效性。建立各相关部门和县（市、区）的体育产业信息共享和交流机制，做好体育产业发展形势分析和预测预警工作，为科学决策提供依据。 </w:t>
      </w:r>
    </w:p>
    <w:p w14:paraId="6BF061D6"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本通知自公布之日起施行，原《泉州市人民政府关于加快发展体育产业促进体育消费十一条措施的通知》（泉政文〔2017〕66号）同时废止。 </w:t>
      </w:r>
    </w:p>
    <w:p w14:paraId="7FE6317E"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3D05BE90"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附件：《泉州市人民政府关于加快发展体育产业促进体育消费十一条措施的通知》责任分工 </w:t>
      </w:r>
    </w:p>
    <w:p w14:paraId="206C63AB"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79386A4A"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04528A8E" w14:textId="77777777" w:rsidR="002C0E95" w:rsidRPr="002C0E95" w:rsidRDefault="002C0E95" w:rsidP="002C0E95">
      <w:pPr>
        <w:widowControl/>
        <w:shd w:val="clear" w:color="auto" w:fill="FFFFFF"/>
        <w:spacing w:line="600" w:lineRule="atLeast"/>
        <w:jc w:val="righ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lastRenderedPageBreak/>
        <w:t> 泉州市人民政府 </w:t>
      </w:r>
    </w:p>
    <w:p w14:paraId="6D9A0BD3" w14:textId="77777777" w:rsidR="002C0E95" w:rsidRPr="002C0E95" w:rsidRDefault="002C0E95" w:rsidP="002C0E95">
      <w:pPr>
        <w:widowControl/>
        <w:shd w:val="clear" w:color="auto" w:fill="FFFFFF"/>
        <w:spacing w:line="600" w:lineRule="atLeast"/>
        <w:jc w:val="righ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2020年12月25日 </w:t>
      </w:r>
    </w:p>
    <w:p w14:paraId="49C49E3B"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（此件主动公开） </w:t>
      </w:r>
    </w:p>
    <w:p w14:paraId="16F70B96"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微软雅黑" w:eastAsia="微软雅黑" w:hAnsi="微软雅黑" w:cs="宋体" w:hint="eastAsia"/>
          <w:color w:val="333333"/>
          <w:kern w:val="0"/>
          <w:sz w:val="32"/>
          <w:szCs w:val="32"/>
        </w:rPr>
        <w:br w:type="textWrapping" w:clear="all"/>
      </w:r>
    </w:p>
    <w:p w14:paraId="1E843E47"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附件 </w:t>
      </w:r>
    </w:p>
    <w:p w14:paraId="5255F9E4"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47608056"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《泉州市人民政府关于加快发展体育产业促进体育消费十一条措施的通知》责任分工 </w:t>
      </w:r>
    </w:p>
    <w:p w14:paraId="5C283B48"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tbl>
      <w:tblPr>
        <w:tblW w:w="1438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12"/>
        <w:gridCol w:w="7813"/>
        <w:gridCol w:w="350"/>
        <w:gridCol w:w="350"/>
        <w:gridCol w:w="1460"/>
      </w:tblGrid>
      <w:tr w:rsidR="002C0E95" w:rsidRPr="002C0E95" w14:paraId="13CD6EFD"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0E772368"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0B9615FD"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责任单位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17D6502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备注 </w:t>
            </w:r>
          </w:p>
        </w:tc>
      </w:tr>
      <w:tr w:rsidR="002C0E95" w:rsidRPr="002C0E95" w14:paraId="557A5B7C"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4B27A7B1"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一、创新产业发展体制机制 </w:t>
            </w:r>
          </w:p>
        </w:tc>
        <w:tc>
          <w:tcPr>
            <w:tcW w:w="8235" w:type="dxa"/>
            <w:gridSpan w:val="3"/>
            <w:tcBorders>
              <w:top w:val="outset" w:sz="6" w:space="0" w:color="auto"/>
              <w:left w:val="outset" w:sz="6" w:space="0" w:color="auto"/>
              <w:bottom w:val="outset" w:sz="6" w:space="0" w:color="auto"/>
              <w:right w:val="outset" w:sz="6" w:space="0" w:color="auto"/>
            </w:tcBorders>
            <w:vAlign w:val="center"/>
            <w:hideMark/>
          </w:tcPr>
          <w:p w14:paraId="4B590B97"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15" w:type="dxa"/>
            <w:tcBorders>
              <w:top w:val="outset" w:sz="6" w:space="0" w:color="auto"/>
              <w:left w:val="outset" w:sz="6" w:space="0" w:color="auto"/>
              <w:bottom w:val="outset" w:sz="6" w:space="0" w:color="auto"/>
              <w:right w:val="outset" w:sz="6" w:space="0" w:color="auto"/>
            </w:tcBorders>
            <w:vAlign w:val="center"/>
            <w:hideMark/>
          </w:tcPr>
          <w:p w14:paraId="321E74FA"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3CC2DFB0"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52147485"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（一）加快体制机制创新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75C6EF4D"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w:t>
            </w:r>
            <w:proofErr w:type="gramStart"/>
            <w:r w:rsidRPr="002C0E95">
              <w:rPr>
                <w:rFonts w:ascii="宋体" w:eastAsia="宋体" w:hAnsi="宋体" w:cs="宋体" w:hint="eastAsia"/>
                <w:kern w:val="0"/>
                <w:sz w:val="32"/>
                <w:szCs w:val="32"/>
              </w:rPr>
              <w:t>发改委</w:t>
            </w:r>
            <w:proofErr w:type="gramEnd"/>
            <w:r w:rsidRPr="002C0E95">
              <w:rPr>
                <w:rFonts w:ascii="宋体" w:eastAsia="宋体" w:hAnsi="宋体" w:cs="宋体" w:hint="eastAsia"/>
                <w:kern w:val="0"/>
                <w:sz w:val="32"/>
                <w:szCs w:val="32"/>
              </w:rPr>
              <w:t>、工信局、财政局、国资委，各县（市、区）人民政府，泉州开发区、泉州台商投资区管委会。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6BD746C5"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119C6ED8"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1B0C40FA"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（二）强化政府服务职能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402568B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市政府新闻办、体育局、公安局、交通运输局、卫健委、市场监管局，各县（市、区）人民政府，泉州开发区、泉州台商投资区管委会。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762F59FE"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06A0666D"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39551AD4"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（三）鼓励社会资本参与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10F30000"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市商务局、</w:t>
            </w:r>
            <w:proofErr w:type="gramStart"/>
            <w:r w:rsidRPr="002C0E95">
              <w:rPr>
                <w:rFonts w:ascii="宋体" w:eastAsia="宋体" w:hAnsi="宋体" w:cs="宋体" w:hint="eastAsia"/>
                <w:kern w:val="0"/>
                <w:sz w:val="32"/>
                <w:szCs w:val="32"/>
              </w:rPr>
              <w:t>发改委</w:t>
            </w:r>
            <w:proofErr w:type="gramEnd"/>
            <w:r w:rsidRPr="002C0E95">
              <w:rPr>
                <w:rFonts w:ascii="宋体" w:eastAsia="宋体" w:hAnsi="宋体" w:cs="宋体" w:hint="eastAsia"/>
                <w:kern w:val="0"/>
                <w:sz w:val="32"/>
                <w:szCs w:val="32"/>
              </w:rPr>
              <w:t>、资源规划局、住建局、体育局、金融监管局、市场监管局，市税务局，各县（市、区）人民政府，泉州开发区、泉州台商投资区管委会。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5553B054"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69CBBAE1"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52862A41"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lastRenderedPageBreak/>
              <w:t>二、健全产业财政支持体系 </w:t>
            </w:r>
          </w:p>
        </w:tc>
        <w:tc>
          <w:tcPr>
            <w:tcW w:w="8235" w:type="dxa"/>
            <w:gridSpan w:val="2"/>
            <w:tcBorders>
              <w:top w:val="outset" w:sz="6" w:space="0" w:color="auto"/>
              <w:left w:val="outset" w:sz="6" w:space="0" w:color="auto"/>
              <w:bottom w:val="outset" w:sz="6" w:space="0" w:color="auto"/>
              <w:right w:val="outset" w:sz="6" w:space="0" w:color="auto"/>
            </w:tcBorders>
            <w:vAlign w:val="center"/>
            <w:hideMark/>
          </w:tcPr>
          <w:p w14:paraId="000FE47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15" w:type="dxa"/>
            <w:gridSpan w:val="2"/>
            <w:tcBorders>
              <w:top w:val="outset" w:sz="6" w:space="0" w:color="auto"/>
              <w:left w:val="outset" w:sz="6" w:space="0" w:color="auto"/>
              <w:bottom w:val="outset" w:sz="6" w:space="0" w:color="auto"/>
              <w:right w:val="outset" w:sz="6" w:space="0" w:color="auto"/>
            </w:tcBorders>
            <w:vAlign w:val="center"/>
            <w:hideMark/>
          </w:tcPr>
          <w:p w14:paraId="7CBC95CC"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03158098"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47CD367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（一）加大财政扶持力度。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26AF15D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市体育局、教育局、财政局，各县（市、区）人民政府，泉州开发区、泉州台商投资区管委会。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25E5FC87"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70A25555"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6AF2E783"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（二）用好产业发展专项资金。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03A87173"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市体育局、财政局、</w:t>
            </w:r>
            <w:proofErr w:type="gramStart"/>
            <w:r w:rsidRPr="002C0E95">
              <w:rPr>
                <w:rFonts w:ascii="宋体" w:eastAsia="宋体" w:hAnsi="宋体" w:cs="宋体" w:hint="eastAsia"/>
                <w:kern w:val="0"/>
                <w:sz w:val="32"/>
                <w:szCs w:val="32"/>
              </w:rPr>
              <w:t>人社局</w:t>
            </w:r>
            <w:proofErr w:type="gramEnd"/>
            <w:r w:rsidRPr="002C0E95">
              <w:rPr>
                <w:rFonts w:ascii="宋体" w:eastAsia="宋体" w:hAnsi="宋体" w:cs="宋体" w:hint="eastAsia"/>
                <w:kern w:val="0"/>
                <w:sz w:val="32"/>
                <w:szCs w:val="32"/>
              </w:rPr>
              <w:t>，各县（市、区）人民政府，泉州开发区、泉州台商投资区管委会。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7014FFB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6FDDA8EA"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1EB09FE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（三）支持企业创新发展。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78F25A45"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市市场监管局，各县（市、区）人民政府，泉州开发区、泉州台商投资区管委会。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047DF99D"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3511191C"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25A611A5"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三、落实产业税费优惠政策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6EFFAB80"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61632F0E"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5996BE85"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6BFD05A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（一）依法落实税费政策。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64CF10F7"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市税务局，市科技局、体育局、</w:t>
            </w:r>
            <w:proofErr w:type="gramStart"/>
            <w:r w:rsidRPr="002C0E95">
              <w:rPr>
                <w:rFonts w:ascii="宋体" w:eastAsia="宋体" w:hAnsi="宋体" w:cs="宋体" w:hint="eastAsia"/>
                <w:kern w:val="0"/>
                <w:sz w:val="32"/>
                <w:szCs w:val="32"/>
              </w:rPr>
              <w:t>发改委</w:t>
            </w:r>
            <w:proofErr w:type="gramEnd"/>
            <w:r w:rsidRPr="002C0E95">
              <w:rPr>
                <w:rFonts w:ascii="宋体" w:eastAsia="宋体" w:hAnsi="宋体" w:cs="宋体" w:hint="eastAsia"/>
                <w:kern w:val="0"/>
                <w:sz w:val="32"/>
                <w:szCs w:val="32"/>
              </w:rPr>
              <w:t>，各县（市、区）人民政府，泉州开发区、泉州台商投资区管委会。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76CAB53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127085A1"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0717CF5C"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（二）扶持公共服务发展。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377AA42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市城管局，</w:t>
            </w:r>
            <w:proofErr w:type="gramStart"/>
            <w:r w:rsidRPr="002C0E95">
              <w:rPr>
                <w:rFonts w:ascii="宋体" w:eastAsia="宋体" w:hAnsi="宋体" w:cs="宋体" w:hint="eastAsia"/>
                <w:kern w:val="0"/>
                <w:sz w:val="32"/>
                <w:szCs w:val="32"/>
              </w:rPr>
              <w:t>国网泉州</w:t>
            </w:r>
            <w:proofErr w:type="gramEnd"/>
            <w:r w:rsidRPr="002C0E95">
              <w:rPr>
                <w:rFonts w:ascii="宋体" w:eastAsia="宋体" w:hAnsi="宋体" w:cs="宋体" w:hint="eastAsia"/>
                <w:kern w:val="0"/>
                <w:sz w:val="32"/>
                <w:szCs w:val="32"/>
              </w:rPr>
              <w:t>供电公司，各县（市、区）人民政府，泉州开发区、泉州台商投资区管委会。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76F79087"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747D5475"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01C32B43"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四、加强产业土地保障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375F5E8A"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60BAACA0"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326E4646"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071E00A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（一）优先保障重点项目用地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250B826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市资源规划局、工信局、住建局、体育局，各县（市、区）人民政府，泉州开发区、泉州台商投资区管委会。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45964F55"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4E20D2F1"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4B8AAF77"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（二）落实公共体育设施用地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227A3F60"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市资源规划局、住建局、城管局、林业局、体育局、</w:t>
            </w:r>
            <w:proofErr w:type="gramStart"/>
            <w:r w:rsidRPr="002C0E95">
              <w:rPr>
                <w:rFonts w:ascii="宋体" w:eastAsia="宋体" w:hAnsi="宋体" w:cs="宋体" w:hint="eastAsia"/>
                <w:kern w:val="0"/>
                <w:sz w:val="32"/>
                <w:szCs w:val="32"/>
              </w:rPr>
              <w:t>文旅局</w:t>
            </w:r>
            <w:proofErr w:type="gramEnd"/>
            <w:r w:rsidRPr="002C0E95">
              <w:rPr>
                <w:rFonts w:ascii="宋体" w:eastAsia="宋体" w:hAnsi="宋体" w:cs="宋体" w:hint="eastAsia"/>
                <w:kern w:val="0"/>
                <w:sz w:val="32"/>
                <w:szCs w:val="32"/>
              </w:rPr>
              <w:t>，各县（市、区）人民政府，泉州开发区、泉州台商投资区管委会。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46DE02DE"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3BE11672"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5C494EA7"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五、激发产业市场活力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035B341D"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5CEAEF0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22F6F626"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4526D5A7"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lastRenderedPageBreak/>
              <w:t>（一）激发市场主体活力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7DDF3105"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w:t>
            </w:r>
            <w:proofErr w:type="gramStart"/>
            <w:r w:rsidRPr="002C0E95">
              <w:rPr>
                <w:rFonts w:ascii="宋体" w:eastAsia="宋体" w:hAnsi="宋体" w:cs="宋体" w:hint="eastAsia"/>
                <w:kern w:val="0"/>
                <w:sz w:val="32"/>
                <w:szCs w:val="32"/>
              </w:rPr>
              <w:t>人社局</w:t>
            </w:r>
            <w:proofErr w:type="gramEnd"/>
            <w:r w:rsidRPr="002C0E95">
              <w:rPr>
                <w:rFonts w:ascii="宋体" w:eastAsia="宋体" w:hAnsi="宋体" w:cs="宋体" w:hint="eastAsia"/>
                <w:kern w:val="0"/>
                <w:sz w:val="32"/>
                <w:szCs w:val="32"/>
              </w:rPr>
              <w:t>、资源规划局、住建局，各县（市、区）人民政府，泉州开发区、泉州台商投资区管委会。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7668865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4722AAA5"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774DE658"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（二）落实产业奖励政策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028AB64F"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市体育局、工信局、</w:t>
            </w:r>
            <w:proofErr w:type="gramStart"/>
            <w:r w:rsidRPr="002C0E95">
              <w:rPr>
                <w:rFonts w:ascii="宋体" w:eastAsia="宋体" w:hAnsi="宋体" w:cs="宋体" w:hint="eastAsia"/>
                <w:kern w:val="0"/>
                <w:sz w:val="32"/>
                <w:szCs w:val="32"/>
              </w:rPr>
              <w:t>发改委</w:t>
            </w:r>
            <w:proofErr w:type="gramEnd"/>
            <w:r w:rsidRPr="002C0E95">
              <w:rPr>
                <w:rFonts w:ascii="宋体" w:eastAsia="宋体" w:hAnsi="宋体" w:cs="宋体" w:hint="eastAsia"/>
                <w:kern w:val="0"/>
                <w:sz w:val="32"/>
                <w:szCs w:val="32"/>
              </w:rPr>
              <w:t>、商务局、科技局、</w:t>
            </w:r>
            <w:proofErr w:type="gramStart"/>
            <w:r w:rsidRPr="002C0E95">
              <w:rPr>
                <w:rFonts w:ascii="宋体" w:eastAsia="宋体" w:hAnsi="宋体" w:cs="宋体" w:hint="eastAsia"/>
                <w:kern w:val="0"/>
                <w:sz w:val="32"/>
                <w:szCs w:val="32"/>
              </w:rPr>
              <w:t>文旅局</w:t>
            </w:r>
            <w:proofErr w:type="gramEnd"/>
            <w:r w:rsidRPr="002C0E95">
              <w:rPr>
                <w:rFonts w:ascii="宋体" w:eastAsia="宋体" w:hAnsi="宋体" w:cs="宋体" w:hint="eastAsia"/>
                <w:kern w:val="0"/>
                <w:sz w:val="32"/>
                <w:szCs w:val="32"/>
              </w:rPr>
              <w:t>、市场监管局，各县（市、区）人民政府，泉州开发区、泉州台商投资区管委会。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1E809D63"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0C8D3E64"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17F957F5"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六、推动产业融合发展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53B00794"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231F8DBD"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2FA385BC"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219F34AF"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（一）推动“体育+旅游”融合发展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73B4D37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w:t>
            </w:r>
            <w:proofErr w:type="gramStart"/>
            <w:r w:rsidRPr="002C0E95">
              <w:rPr>
                <w:rFonts w:ascii="宋体" w:eastAsia="宋体" w:hAnsi="宋体" w:cs="宋体" w:hint="eastAsia"/>
                <w:kern w:val="0"/>
                <w:sz w:val="32"/>
                <w:szCs w:val="32"/>
              </w:rPr>
              <w:t>文旅局</w:t>
            </w:r>
            <w:proofErr w:type="gramEnd"/>
            <w:r w:rsidRPr="002C0E95">
              <w:rPr>
                <w:rFonts w:ascii="宋体" w:eastAsia="宋体" w:hAnsi="宋体" w:cs="宋体" w:hint="eastAsia"/>
                <w:kern w:val="0"/>
                <w:sz w:val="32"/>
                <w:szCs w:val="32"/>
              </w:rPr>
              <w:t>，各县（市、区）人民政府，泉州开发区、泉州台商投资区管委会。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7B20AD41"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4D3D0666"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2F4E3F2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（二）推动“体育+健康”融合发展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67D9D4C5"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市体育局、卫健委，各县（市、区）人民政府，泉州开发区、泉州台商投资区管委会。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2AC47158"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4128F8E2"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392B513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（三）推进“体育+文化”融合发展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4DD6B258"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w:t>
            </w:r>
            <w:proofErr w:type="gramStart"/>
            <w:r w:rsidRPr="002C0E95">
              <w:rPr>
                <w:rFonts w:ascii="宋体" w:eastAsia="宋体" w:hAnsi="宋体" w:cs="宋体" w:hint="eastAsia"/>
                <w:kern w:val="0"/>
                <w:sz w:val="32"/>
                <w:szCs w:val="32"/>
              </w:rPr>
              <w:t>文旅局</w:t>
            </w:r>
            <w:proofErr w:type="gramEnd"/>
            <w:r w:rsidRPr="002C0E95">
              <w:rPr>
                <w:rFonts w:ascii="宋体" w:eastAsia="宋体" w:hAnsi="宋体" w:cs="宋体" w:hint="eastAsia"/>
                <w:kern w:val="0"/>
                <w:sz w:val="32"/>
                <w:szCs w:val="32"/>
              </w:rPr>
              <w:t>、工信局，各县（市、区）人民政府，泉州开发区、泉州台商投资区管委会。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4084C93D"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34332EE2"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5BE0DA21"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（四）推进“体育+互联网”融合发展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5C1D10A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市体育局、工信局，各县（市、区）人民政府，泉州开发区、泉州台商投资区管委会。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6213FF3A"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356078B9"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2A9A73A3"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七、加大产业金融支持力度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0252FE6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44F63BC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4F341594"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51040E7F"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（一）加强金融支持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23AD0E4E"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人民银行泉州市中心支行、泉州银保监分局，市金融监管局、体育局，各县（市、区）人民政府，泉州开发区、泉州台商投资区管委会。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410A9CF4"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043C0DB1"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1C2CBFE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（二）拓展融资渠道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7BCB0BC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市金融监管局，各县（市、区）人民政府，泉州开发区、泉州台商投资区管委会。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378F019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422CEA35"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0EE5F600"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lastRenderedPageBreak/>
              <w:t>八、加强产业对外交流合作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271B2868"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市体育局、台港澳办、商务局、财政局，市税务局，各县（市、区）人民政府，泉州开发区、泉州台商投资区管委会。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57E9DF6B"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66DA8C6C"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5021C107"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九、推进产业政企学</w:t>
            </w:r>
            <w:proofErr w:type="gramStart"/>
            <w:r w:rsidRPr="002C0E95">
              <w:rPr>
                <w:rFonts w:ascii="宋体" w:eastAsia="宋体" w:hAnsi="宋体" w:cs="宋体" w:hint="eastAsia"/>
                <w:kern w:val="0"/>
                <w:sz w:val="32"/>
                <w:szCs w:val="32"/>
              </w:rPr>
              <w:t>研</w:t>
            </w:r>
            <w:proofErr w:type="gramEnd"/>
            <w:r w:rsidRPr="002C0E95">
              <w:rPr>
                <w:rFonts w:ascii="宋体" w:eastAsia="宋体" w:hAnsi="宋体" w:cs="宋体" w:hint="eastAsia"/>
                <w:kern w:val="0"/>
                <w:sz w:val="32"/>
                <w:szCs w:val="32"/>
              </w:rPr>
              <w:t>一体化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39F7183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市体育局、科技局、教育局、</w:t>
            </w:r>
            <w:proofErr w:type="gramStart"/>
            <w:r w:rsidRPr="002C0E95">
              <w:rPr>
                <w:rFonts w:ascii="宋体" w:eastAsia="宋体" w:hAnsi="宋体" w:cs="宋体" w:hint="eastAsia"/>
                <w:kern w:val="0"/>
                <w:sz w:val="32"/>
                <w:szCs w:val="32"/>
              </w:rPr>
              <w:t>人社局</w:t>
            </w:r>
            <w:proofErr w:type="gramEnd"/>
            <w:r w:rsidRPr="002C0E95">
              <w:rPr>
                <w:rFonts w:ascii="宋体" w:eastAsia="宋体" w:hAnsi="宋体" w:cs="宋体" w:hint="eastAsia"/>
                <w:kern w:val="0"/>
                <w:sz w:val="32"/>
                <w:szCs w:val="32"/>
              </w:rPr>
              <w:t>，各县（市、区）人民政府，泉州开发区、泉州台商投资区管委会。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5768B45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0A24A7C2"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6949F4E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十、积极引进培养体育产业人才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5544604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3B2EB6B9"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3D1C5BBD"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3B447B11"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（一）加快高端人才引进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4D3220DA"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w:t>
            </w:r>
            <w:proofErr w:type="gramStart"/>
            <w:r w:rsidRPr="002C0E95">
              <w:rPr>
                <w:rFonts w:ascii="宋体" w:eastAsia="宋体" w:hAnsi="宋体" w:cs="宋体" w:hint="eastAsia"/>
                <w:kern w:val="0"/>
                <w:sz w:val="32"/>
                <w:szCs w:val="32"/>
              </w:rPr>
              <w:t>人社局</w:t>
            </w:r>
            <w:proofErr w:type="gramEnd"/>
            <w:r w:rsidRPr="002C0E95">
              <w:rPr>
                <w:rFonts w:ascii="宋体" w:eastAsia="宋体" w:hAnsi="宋体" w:cs="宋体" w:hint="eastAsia"/>
                <w:kern w:val="0"/>
                <w:sz w:val="32"/>
                <w:szCs w:val="32"/>
              </w:rPr>
              <w:t>、教育局、住建局，各县（市、区）人民政府，泉州开发区、泉州台商投资区管委会。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172337B2"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78ACEE0A"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03F844B8"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（二）加强本土人才培养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6670FF43"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w:t>
            </w:r>
            <w:proofErr w:type="gramStart"/>
            <w:r w:rsidRPr="002C0E95">
              <w:rPr>
                <w:rFonts w:ascii="宋体" w:eastAsia="宋体" w:hAnsi="宋体" w:cs="宋体" w:hint="eastAsia"/>
                <w:kern w:val="0"/>
                <w:sz w:val="32"/>
                <w:szCs w:val="32"/>
              </w:rPr>
              <w:t>人社局</w:t>
            </w:r>
            <w:proofErr w:type="gramEnd"/>
            <w:r w:rsidRPr="002C0E95">
              <w:rPr>
                <w:rFonts w:ascii="宋体" w:eastAsia="宋体" w:hAnsi="宋体" w:cs="宋体" w:hint="eastAsia"/>
                <w:kern w:val="0"/>
                <w:sz w:val="32"/>
                <w:szCs w:val="32"/>
              </w:rPr>
              <w:t>、教育局，各县（市、区）人民政府，泉州开发区、泉州台商投资区管委会。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17FDA4EE"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74BE783A"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1D34DC9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十一、完善产业统计监测体系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0FFF3026"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市体育局、统计局、审计局，各县（市、区）人民政府，泉州开发区、泉州台商投资区管委会。 </w:t>
            </w:r>
          </w:p>
        </w:tc>
        <w:tc>
          <w:tcPr>
            <w:tcW w:w="1530" w:type="dxa"/>
            <w:gridSpan w:val="3"/>
            <w:tcBorders>
              <w:top w:val="outset" w:sz="6" w:space="0" w:color="auto"/>
              <w:left w:val="outset" w:sz="6" w:space="0" w:color="auto"/>
              <w:bottom w:val="outset" w:sz="6" w:space="0" w:color="auto"/>
              <w:right w:val="outset" w:sz="6" w:space="0" w:color="auto"/>
            </w:tcBorders>
            <w:vAlign w:val="center"/>
            <w:hideMark/>
          </w:tcPr>
          <w:p w14:paraId="4BE6EA7C" w14:textId="77777777" w:rsidR="002C0E95" w:rsidRPr="002C0E95" w:rsidRDefault="002C0E95" w:rsidP="002C0E95">
            <w:pPr>
              <w:widowControl/>
              <w:spacing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5291E17B" w14:textId="77777777" w:rsidTr="002C0E95">
        <w:trPr>
          <w:tblCellSpacing w:w="0" w:type="dxa"/>
          <w:jc w:val="center"/>
        </w:trPr>
        <w:tc>
          <w:tcPr>
            <w:tcW w:w="4650" w:type="dxa"/>
            <w:tcBorders>
              <w:top w:val="outset" w:sz="6" w:space="0" w:color="auto"/>
              <w:left w:val="outset" w:sz="6" w:space="0" w:color="auto"/>
              <w:bottom w:val="outset" w:sz="6" w:space="0" w:color="auto"/>
              <w:right w:val="outset" w:sz="6" w:space="0" w:color="auto"/>
            </w:tcBorders>
            <w:vAlign w:val="center"/>
            <w:hideMark/>
          </w:tcPr>
          <w:p w14:paraId="4A173976"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8220" w:type="dxa"/>
            <w:tcBorders>
              <w:top w:val="outset" w:sz="6" w:space="0" w:color="auto"/>
              <w:left w:val="outset" w:sz="6" w:space="0" w:color="auto"/>
              <w:bottom w:val="outset" w:sz="6" w:space="0" w:color="auto"/>
              <w:right w:val="outset" w:sz="6" w:space="0" w:color="auto"/>
            </w:tcBorders>
            <w:vAlign w:val="center"/>
            <w:hideMark/>
          </w:tcPr>
          <w:p w14:paraId="78044F63"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6" w:type="dxa"/>
            <w:tcBorders>
              <w:top w:val="outset" w:sz="6" w:space="0" w:color="auto"/>
              <w:left w:val="outset" w:sz="6" w:space="0" w:color="auto"/>
              <w:bottom w:val="outset" w:sz="6" w:space="0" w:color="auto"/>
              <w:right w:val="outset" w:sz="6" w:space="0" w:color="auto"/>
            </w:tcBorders>
            <w:vAlign w:val="center"/>
            <w:hideMark/>
          </w:tcPr>
          <w:p w14:paraId="58667BE7"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6" w:type="dxa"/>
            <w:tcBorders>
              <w:top w:val="outset" w:sz="6" w:space="0" w:color="auto"/>
              <w:left w:val="outset" w:sz="6" w:space="0" w:color="auto"/>
              <w:bottom w:val="outset" w:sz="6" w:space="0" w:color="auto"/>
              <w:right w:val="outset" w:sz="6" w:space="0" w:color="auto"/>
            </w:tcBorders>
            <w:vAlign w:val="center"/>
            <w:hideMark/>
          </w:tcPr>
          <w:p w14:paraId="6EAC3F55"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1515" w:type="dxa"/>
            <w:tcBorders>
              <w:top w:val="outset" w:sz="6" w:space="0" w:color="auto"/>
              <w:left w:val="outset" w:sz="6" w:space="0" w:color="auto"/>
              <w:bottom w:val="outset" w:sz="6" w:space="0" w:color="auto"/>
              <w:right w:val="outset" w:sz="6" w:space="0" w:color="auto"/>
            </w:tcBorders>
            <w:vAlign w:val="center"/>
            <w:hideMark/>
          </w:tcPr>
          <w:p w14:paraId="610687BA"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bl>
    <w:p w14:paraId="41840FA3"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0258C5E6"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22ACA854"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微软雅黑" w:eastAsia="微软雅黑" w:hAnsi="微软雅黑" w:cs="宋体" w:hint="eastAsia"/>
          <w:color w:val="333333"/>
          <w:kern w:val="0"/>
          <w:sz w:val="32"/>
          <w:szCs w:val="32"/>
        </w:rPr>
        <w:br w:type="textWrapping" w:clear="all"/>
      </w:r>
    </w:p>
    <w:p w14:paraId="54C25298"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3DE764EA"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71173AB9"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t xml:space="preserve">　　  </w:t>
      </w:r>
    </w:p>
    <w:p w14:paraId="2334C39E" w14:textId="77777777" w:rsidR="002C0E95" w:rsidRPr="002C0E95" w:rsidRDefault="002C0E95" w:rsidP="002C0E95">
      <w:pPr>
        <w:widowControl/>
        <w:shd w:val="clear" w:color="auto" w:fill="FFFFFF"/>
        <w:spacing w:line="600" w:lineRule="atLeast"/>
        <w:jc w:val="left"/>
        <w:rPr>
          <w:rFonts w:ascii="宋体" w:eastAsia="宋体" w:hAnsi="宋体" w:cs="宋体" w:hint="eastAsia"/>
          <w:color w:val="333333"/>
          <w:kern w:val="0"/>
          <w:sz w:val="32"/>
          <w:szCs w:val="32"/>
        </w:rPr>
      </w:pPr>
      <w:r w:rsidRPr="002C0E95">
        <w:rPr>
          <w:rFonts w:ascii="宋体" w:eastAsia="宋体" w:hAnsi="宋体" w:cs="宋体" w:hint="eastAsia"/>
          <w:color w:val="333333"/>
          <w:kern w:val="0"/>
          <w:sz w:val="32"/>
          <w:szCs w:val="32"/>
        </w:rPr>
        <w:lastRenderedPageBreak/>
        <w:t xml:space="preserve">　　  </w:t>
      </w:r>
    </w:p>
    <w:tbl>
      <w:tblPr>
        <w:tblpPr w:leftFromText="45" w:rightFromText="45" w:topFromText="240" w:bottomFromText="240" w:vertAnchor="text"/>
        <w:tblW w:w="0" w:type="auto"/>
        <w:tblCellSpacing w:w="0" w:type="dxa"/>
        <w:tblCellMar>
          <w:left w:w="0" w:type="dxa"/>
          <w:right w:w="0" w:type="dxa"/>
        </w:tblCellMar>
        <w:tblLook w:val="04A0" w:firstRow="1" w:lastRow="0" w:firstColumn="1" w:lastColumn="0" w:noHBand="0" w:noVBand="1"/>
      </w:tblPr>
      <w:tblGrid>
        <w:gridCol w:w="320"/>
        <w:gridCol w:w="320"/>
      </w:tblGrid>
      <w:tr w:rsidR="002C0E95" w:rsidRPr="002C0E95" w14:paraId="7833A28E" w14:textId="77777777" w:rsidTr="002C0E95">
        <w:trPr>
          <w:gridAfter w:val="1"/>
          <w:tblCellSpacing w:w="0" w:type="dxa"/>
        </w:trPr>
        <w:tc>
          <w:tcPr>
            <w:tcW w:w="90" w:type="dxa"/>
            <w:vAlign w:val="center"/>
            <w:hideMark/>
          </w:tcPr>
          <w:p w14:paraId="3A415A58"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r>
      <w:tr w:rsidR="002C0E95" w:rsidRPr="002C0E95" w14:paraId="7BD37E43" w14:textId="77777777" w:rsidTr="002C0E95">
        <w:trPr>
          <w:tblCellSpacing w:w="0" w:type="dxa"/>
        </w:trPr>
        <w:tc>
          <w:tcPr>
            <w:tcW w:w="0" w:type="auto"/>
            <w:vAlign w:val="center"/>
            <w:hideMark/>
          </w:tcPr>
          <w:p w14:paraId="6FF01174"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tc>
        <w:tc>
          <w:tcPr>
            <w:tcW w:w="0" w:type="auto"/>
            <w:vAlign w:val="center"/>
            <w:hideMark/>
          </w:tcPr>
          <w:p w14:paraId="67DA7052"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p w14:paraId="4213EA42"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w:t>
            </w:r>
          </w:p>
          <w:p w14:paraId="110EB21B" w14:textId="77777777" w:rsidR="002C0E95" w:rsidRPr="002C0E95" w:rsidRDefault="002C0E95" w:rsidP="002C0E95">
            <w:pPr>
              <w:widowControl/>
              <w:spacing w:before="75" w:after="75" w:line="600" w:lineRule="atLeast"/>
              <w:jc w:val="left"/>
              <w:rPr>
                <w:rFonts w:ascii="宋体" w:eastAsia="宋体" w:hAnsi="宋体" w:cs="宋体" w:hint="eastAsia"/>
                <w:kern w:val="0"/>
                <w:sz w:val="32"/>
                <w:szCs w:val="32"/>
              </w:rPr>
            </w:pPr>
            <w:r w:rsidRPr="002C0E95">
              <w:rPr>
                <w:rFonts w:ascii="宋体" w:eastAsia="宋体" w:hAnsi="宋体" w:cs="宋体" w:hint="eastAsia"/>
                <w:kern w:val="0"/>
                <w:sz w:val="32"/>
                <w:szCs w:val="32"/>
              </w:rPr>
              <w:t xml:space="preserve">　　</w:t>
            </w:r>
          </w:p>
        </w:tc>
      </w:tr>
    </w:tbl>
    <w:p w14:paraId="7B9FC2FA" w14:textId="77777777" w:rsidR="002C0E95" w:rsidRPr="002C0E95" w:rsidRDefault="002C0E95" w:rsidP="002C0E95">
      <w:pPr>
        <w:widowControl/>
        <w:shd w:val="clear" w:color="auto" w:fill="FFFFFF"/>
        <w:spacing w:line="450" w:lineRule="atLeast"/>
        <w:jc w:val="center"/>
        <w:rPr>
          <w:rFonts w:ascii="微软雅黑" w:eastAsia="微软雅黑" w:hAnsi="微软雅黑" w:cs="宋体" w:hint="eastAsia"/>
          <w:b/>
          <w:bCs/>
          <w:color w:val="555555"/>
          <w:kern w:val="0"/>
          <w:sz w:val="24"/>
          <w:szCs w:val="24"/>
        </w:rPr>
      </w:pPr>
      <w:hyperlink r:id="rId11" w:history="1">
        <w:r w:rsidRPr="002C0E95">
          <w:rPr>
            <w:rFonts w:ascii="微软雅黑" w:eastAsia="微软雅黑" w:hAnsi="微软雅黑" w:cs="宋体" w:hint="eastAsia"/>
            <w:b/>
            <w:bCs/>
            <w:color w:val="555555"/>
            <w:kern w:val="0"/>
            <w:sz w:val="24"/>
            <w:szCs w:val="24"/>
            <w:u w:val="single"/>
          </w:rPr>
          <w:t>[打印]</w:t>
        </w:r>
      </w:hyperlink>
      <w:r w:rsidRPr="002C0E95">
        <w:rPr>
          <w:rFonts w:ascii="微软雅黑" w:eastAsia="微软雅黑" w:hAnsi="微软雅黑" w:cs="宋体" w:hint="eastAsia"/>
          <w:b/>
          <w:bCs/>
          <w:color w:val="555555"/>
          <w:kern w:val="0"/>
          <w:sz w:val="24"/>
          <w:szCs w:val="24"/>
        </w:rPr>
        <w:t> </w:t>
      </w:r>
      <w:hyperlink r:id="rId12" w:history="1">
        <w:r w:rsidRPr="002C0E95">
          <w:rPr>
            <w:rFonts w:ascii="微软雅黑" w:eastAsia="微软雅黑" w:hAnsi="微软雅黑" w:cs="宋体" w:hint="eastAsia"/>
            <w:b/>
            <w:bCs/>
            <w:color w:val="555555"/>
            <w:kern w:val="0"/>
            <w:sz w:val="24"/>
            <w:szCs w:val="24"/>
            <w:u w:val="single"/>
          </w:rPr>
          <w:t>[关闭]</w:t>
        </w:r>
      </w:hyperlink>
    </w:p>
    <w:p w14:paraId="55808F3C" w14:textId="77777777" w:rsidR="00036D3E" w:rsidRDefault="00036D3E"/>
    <w:sectPr w:rsidR="00036D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B84F2" w14:textId="77777777" w:rsidR="00A84B64" w:rsidRDefault="00A84B64" w:rsidP="002C0E95">
      <w:r>
        <w:separator/>
      </w:r>
    </w:p>
  </w:endnote>
  <w:endnote w:type="continuationSeparator" w:id="0">
    <w:p w14:paraId="410E1C72" w14:textId="77777777" w:rsidR="00A84B64" w:rsidRDefault="00A84B64" w:rsidP="002C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38701" w14:textId="77777777" w:rsidR="00A84B64" w:rsidRDefault="00A84B64" w:rsidP="002C0E95">
      <w:r>
        <w:separator/>
      </w:r>
    </w:p>
  </w:footnote>
  <w:footnote w:type="continuationSeparator" w:id="0">
    <w:p w14:paraId="54024DBD" w14:textId="77777777" w:rsidR="00A84B64" w:rsidRDefault="00A84B64" w:rsidP="002C0E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3E"/>
    <w:rsid w:val="00036D3E"/>
    <w:rsid w:val="002C0E95"/>
    <w:rsid w:val="00A84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1C8F66-F85A-4F60-A00D-3FC0EAA7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0E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0E95"/>
    <w:rPr>
      <w:sz w:val="18"/>
      <w:szCs w:val="18"/>
    </w:rPr>
  </w:style>
  <w:style w:type="paragraph" w:styleId="a5">
    <w:name w:val="footer"/>
    <w:basedOn w:val="a"/>
    <w:link w:val="a6"/>
    <w:uiPriority w:val="99"/>
    <w:unhideWhenUsed/>
    <w:rsid w:val="002C0E95"/>
    <w:pPr>
      <w:tabs>
        <w:tab w:val="center" w:pos="4153"/>
        <w:tab w:val="right" w:pos="8306"/>
      </w:tabs>
      <w:snapToGrid w:val="0"/>
      <w:jc w:val="left"/>
    </w:pPr>
    <w:rPr>
      <w:sz w:val="18"/>
      <w:szCs w:val="18"/>
    </w:rPr>
  </w:style>
  <w:style w:type="character" w:customStyle="1" w:styleId="a6">
    <w:name w:val="页脚 字符"/>
    <w:basedOn w:val="a0"/>
    <w:link w:val="a5"/>
    <w:uiPriority w:val="99"/>
    <w:rsid w:val="002C0E95"/>
    <w:rPr>
      <w:sz w:val="18"/>
      <w:szCs w:val="18"/>
    </w:rPr>
  </w:style>
  <w:style w:type="paragraph" w:styleId="a7">
    <w:name w:val="Normal (Web)"/>
    <w:basedOn w:val="a"/>
    <w:uiPriority w:val="99"/>
    <w:semiHidden/>
    <w:unhideWhenUsed/>
    <w:rsid w:val="002C0E9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C0E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815459">
      <w:bodyDiv w:val="1"/>
      <w:marLeft w:val="0"/>
      <w:marRight w:val="0"/>
      <w:marTop w:val="0"/>
      <w:marBottom w:val="0"/>
      <w:divBdr>
        <w:top w:val="none" w:sz="0" w:space="0" w:color="auto"/>
        <w:left w:val="none" w:sz="0" w:space="0" w:color="auto"/>
        <w:bottom w:val="none" w:sz="0" w:space="0" w:color="auto"/>
        <w:right w:val="none" w:sz="0" w:space="0" w:color="auto"/>
      </w:divBdr>
      <w:divsChild>
        <w:div w:id="440420485">
          <w:marLeft w:val="0"/>
          <w:marRight w:val="0"/>
          <w:marTop w:val="450"/>
          <w:marBottom w:val="0"/>
          <w:divBdr>
            <w:top w:val="none" w:sz="0" w:space="0" w:color="auto"/>
            <w:left w:val="none" w:sz="0" w:space="0" w:color="auto"/>
            <w:bottom w:val="none" w:sz="0" w:space="0" w:color="auto"/>
            <w:right w:val="none" w:sz="0" w:space="0" w:color="auto"/>
          </w:divBdr>
        </w:div>
        <w:div w:id="652105912">
          <w:marLeft w:val="0"/>
          <w:marRight w:val="0"/>
          <w:marTop w:val="0"/>
          <w:marBottom w:val="0"/>
          <w:divBdr>
            <w:top w:val="none" w:sz="0" w:space="0" w:color="auto"/>
            <w:left w:val="none" w:sz="0" w:space="0" w:color="auto"/>
            <w:bottom w:val="none" w:sz="0" w:space="0" w:color="auto"/>
            <w:right w:val="none" w:sz="0" w:space="0" w:color="auto"/>
          </w:divBdr>
        </w:div>
        <w:div w:id="814492713">
          <w:marLeft w:val="0"/>
          <w:marRight w:val="0"/>
          <w:marTop w:val="0"/>
          <w:marBottom w:val="0"/>
          <w:divBdr>
            <w:top w:val="none" w:sz="0" w:space="0" w:color="auto"/>
            <w:left w:val="none" w:sz="0" w:space="0" w:color="auto"/>
            <w:bottom w:val="none" w:sz="0" w:space="0" w:color="auto"/>
            <w:right w:val="none" w:sz="0" w:space="0" w:color="auto"/>
          </w:divBdr>
        </w:div>
        <w:div w:id="1199510563">
          <w:marLeft w:val="0"/>
          <w:marRight w:val="0"/>
          <w:marTop w:val="0"/>
          <w:marBottom w:val="0"/>
          <w:divBdr>
            <w:top w:val="none" w:sz="0" w:space="0" w:color="auto"/>
            <w:left w:val="none" w:sz="0" w:space="0" w:color="auto"/>
            <w:bottom w:val="none" w:sz="0" w:space="0" w:color="auto"/>
            <w:right w:val="none" w:sz="0" w:space="0" w:color="auto"/>
          </w:divBdr>
          <w:divsChild>
            <w:div w:id="1947997901">
              <w:marLeft w:val="0"/>
              <w:marRight w:val="0"/>
              <w:marTop w:val="0"/>
              <w:marBottom w:val="0"/>
              <w:divBdr>
                <w:top w:val="none" w:sz="0" w:space="0" w:color="auto"/>
                <w:left w:val="none" w:sz="0" w:space="0" w:color="auto"/>
                <w:bottom w:val="none" w:sz="0" w:space="0" w:color="auto"/>
                <w:right w:val="none" w:sz="0" w:space="0" w:color="auto"/>
              </w:divBdr>
              <w:divsChild>
                <w:div w:id="1861970808">
                  <w:marLeft w:val="0"/>
                  <w:marRight w:val="0"/>
                  <w:marTop w:val="75"/>
                  <w:marBottom w:val="75"/>
                  <w:divBdr>
                    <w:top w:val="none" w:sz="0" w:space="0" w:color="auto"/>
                    <w:left w:val="none" w:sz="0" w:space="0" w:color="auto"/>
                    <w:bottom w:val="none" w:sz="0" w:space="0" w:color="auto"/>
                    <w:right w:val="none" w:sz="0" w:space="0" w:color="auto"/>
                  </w:divBdr>
                  <w:divsChild>
                    <w:div w:id="991369077">
                      <w:marLeft w:val="0"/>
                      <w:marRight w:val="0"/>
                      <w:marTop w:val="75"/>
                      <w:marBottom w:val="75"/>
                      <w:divBdr>
                        <w:top w:val="none" w:sz="0" w:space="0" w:color="auto"/>
                        <w:left w:val="none" w:sz="0" w:space="0" w:color="auto"/>
                        <w:bottom w:val="none" w:sz="0" w:space="0" w:color="auto"/>
                        <w:right w:val="none" w:sz="0" w:space="0" w:color="auto"/>
                      </w:divBdr>
                    </w:div>
                    <w:div w:id="212354902">
                      <w:marLeft w:val="0"/>
                      <w:marRight w:val="0"/>
                      <w:marTop w:val="75"/>
                      <w:marBottom w:val="75"/>
                      <w:divBdr>
                        <w:top w:val="none" w:sz="0" w:space="0" w:color="auto"/>
                        <w:left w:val="none" w:sz="0" w:space="0" w:color="auto"/>
                        <w:bottom w:val="none" w:sz="0" w:space="0" w:color="auto"/>
                        <w:right w:val="none" w:sz="0" w:space="0" w:color="auto"/>
                      </w:divBdr>
                      <w:divsChild>
                        <w:div w:id="5005071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522207725">
          <w:marLeft w:val="0"/>
          <w:marRight w:val="0"/>
          <w:marTop w:val="150"/>
          <w:marBottom w:val="0"/>
          <w:divBdr>
            <w:top w:val="none" w:sz="0" w:space="0" w:color="auto"/>
            <w:left w:val="none" w:sz="0" w:space="0" w:color="auto"/>
            <w:bottom w:val="single" w:sz="6" w:space="23" w:color="E6E6E6"/>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javascript:window.clo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javascript:window.print();"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2021-04-13T15:55:00Z</dcterms:created>
  <dcterms:modified xsi:type="dcterms:W3CDTF">2021-04-13T15:56:00Z</dcterms:modified>
</cp:coreProperties>
</file>