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13" w:lineRule="auto" w:before="0"/>
        <w:ind w:left="234" w:right="0" w:firstLine="0"/>
        <w:jc w:val="left"/>
        <w:rPr>
          <w:rFonts w:ascii="方正书宋(翅膀整理)" w:eastAsia="方正书宋(翅膀整理)" w:hint="eastAsia"/>
          <w:sz w:val="144"/>
        </w:rPr>
      </w:pPr>
      <w:r>
        <w:rPr>
          <w:rFonts w:ascii="方正书宋(翅膀整理)" w:eastAsia="方正书宋(翅膀整理)" w:hint="eastAsia"/>
          <w:color w:val="FF0000"/>
          <w:w w:val="50"/>
          <w:sz w:val="144"/>
        </w:rPr>
        <w:t>无锡市人民政府</w:t>
      </w:r>
      <w:r>
        <w:rPr>
          <w:rFonts w:ascii="方正书宋(翅膀整理)" w:eastAsia="方正书宋(翅膀整理)" w:hint="eastAsia"/>
          <w:color w:val="FF0000"/>
          <w:w w:val="50"/>
          <w:position w:val="1"/>
          <w:sz w:val="144"/>
        </w:rPr>
        <w:t>办公室文件</w:t>
      </w:r>
    </w:p>
    <w:p>
      <w:pPr>
        <w:pStyle w:val="BodyText"/>
        <w:spacing w:before="11"/>
        <w:rPr>
          <w:rFonts w:ascii="方正书宋(翅膀整理)"/>
          <w:sz w:val="8"/>
        </w:rPr>
      </w:pPr>
    </w:p>
    <w:p>
      <w:pPr>
        <w:pStyle w:val="BodyText"/>
        <w:spacing w:before="28"/>
        <w:ind w:left="606" w:right="763"/>
        <w:jc w:val="center"/>
      </w:pPr>
      <w:r>
        <w:rPr/>
        <w:pict>
          <v:shape style="position:absolute;margin-left:79.400131pt;margin-top:34.701675pt;width:442.25pt;height:.1pt;mso-position-horizontal-relative:page;mso-position-vertical-relative:paragraph;z-index:-251658240;mso-wrap-distance-left:0;mso-wrap-distance-right:0" coordorigin="1588,694" coordsize="8845,0" path="m1588,694l10433,694e" filled="false" stroked="true" strokeweight="2.00013pt" strokecolor="#ff0000">
            <v:path arrowok="t"/>
            <v:stroke dashstyle="solid"/>
            <w10:wrap type="topAndBottom"/>
          </v:shape>
        </w:pict>
      </w:r>
      <w:r>
        <w:rPr/>
        <w:t>锡政办发〔</w:t>
      </w:r>
      <w:r>
        <w:rPr>
          <w:rFonts w:ascii="Times New Roman" w:eastAsia="Times New Roman"/>
        </w:rPr>
        <w:t>2020</w:t>
      </w:r>
      <w:r>
        <w:rPr/>
        <w:t>〕</w:t>
      </w:r>
      <w:r>
        <w:rPr>
          <w:rFonts w:ascii="Times New Roman" w:eastAsia="Times New Roman"/>
        </w:rPr>
        <w:t>81 </w:t>
      </w:r>
      <w:r>
        <w:rPr/>
        <w:t>号</w:t>
      </w:r>
    </w:p>
    <w:p>
      <w:pPr>
        <w:pStyle w:val="BodyText"/>
        <w:rPr>
          <w:sz w:val="38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187" w:lineRule="auto" w:before="0"/>
        <w:ind w:left="608" w:right="763" w:firstLine="0"/>
        <w:jc w:val="center"/>
        <w:rPr>
          <w:rFonts w:ascii="方正书宋(翅膀整理)" w:eastAsia="方正书宋(翅膀整理)" w:hint="eastAsia"/>
          <w:sz w:val="44"/>
        </w:rPr>
      </w:pPr>
      <w:r>
        <w:rPr>
          <w:rFonts w:ascii="方正书宋(翅膀整理)" w:eastAsia="方正书宋(翅膀整理)" w:hint="eastAsia"/>
          <w:w w:val="95"/>
          <w:sz w:val="44"/>
        </w:rPr>
        <w:t>市政府办公室关于进一步加快现代服务业</w:t>
      </w:r>
      <w:r>
        <w:rPr>
          <w:rFonts w:ascii="方正书宋(翅膀整理)" w:eastAsia="方正书宋(翅膀整理)" w:hint="eastAsia"/>
          <w:sz w:val="44"/>
        </w:rPr>
        <w:t>高质量发展的若干政策意见</w:t>
      </w:r>
    </w:p>
    <w:p>
      <w:pPr>
        <w:pStyle w:val="BodyText"/>
        <w:spacing w:before="10"/>
        <w:rPr>
          <w:rFonts w:ascii="方正书宋(翅膀整理)"/>
          <w:sz w:val="33"/>
        </w:rPr>
      </w:pPr>
    </w:p>
    <w:p>
      <w:pPr>
        <w:pStyle w:val="BodyText"/>
        <w:ind w:left="109"/>
      </w:pPr>
      <w:r>
        <w:rPr>
          <w:spacing w:val="-3"/>
        </w:rPr>
        <w:t>各市</w:t>
      </w:r>
      <w:r>
        <w:rPr>
          <w:spacing w:val="-5"/>
        </w:rPr>
        <w:t>（</w:t>
      </w:r>
      <w:r>
        <w:rPr>
          <w:spacing w:val="-3"/>
        </w:rPr>
        <w:t>县</w:t>
      </w:r>
      <w:r>
        <w:rPr>
          <w:spacing w:val="-161"/>
        </w:rPr>
        <w:t>）</w:t>
      </w:r>
      <w:r>
        <w:rPr>
          <w:spacing w:val="-5"/>
        </w:rPr>
        <w:t>、区人民政府，市各委办局，市各直属单位：</w:t>
      </w:r>
    </w:p>
    <w:p>
      <w:pPr>
        <w:pStyle w:val="BodyText"/>
        <w:spacing w:line="259" w:lineRule="auto" w:before="45"/>
        <w:ind w:left="109" w:right="112" w:firstLine="631"/>
      </w:pPr>
      <w:r>
        <w:rPr/>
        <w:t>为贯彻落实《中共无锡市委 无锡市人民政府印发〈关于进</w:t>
      </w:r>
      <w:r>
        <w:rPr>
          <w:spacing w:val="-8"/>
        </w:rPr>
        <w:t>一步深化现代产业发展政策的意见〉的通知</w:t>
      </w:r>
      <w:r>
        <w:rPr>
          <w:spacing w:val="-200"/>
        </w:rPr>
        <w:t>》</w:t>
      </w:r>
      <w:r>
        <w:rPr>
          <w:spacing w:val="-5"/>
        </w:rPr>
        <w:t>（</w:t>
      </w:r>
      <w:r>
        <w:rPr>
          <w:spacing w:val="-14"/>
        </w:rPr>
        <w:t>锡委发〔</w:t>
      </w:r>
      <w:r>
        <w:rPr>
          <w:rFonts w:ascii="Times New Roman" w:eastAsia="Times New Roman"/>
          <w:spacing w:val="-3"/>
        </w:rPr>
        <w:t>2019</w:t>
      </w:r>
      <w:r>
        <w:rPr>
          <w:spacing w:val="-41"/>
        </w:rPr>
        <w:t>〕</w:t>
      </w:r>
      <w:r>
        <w:rPr>
          <w:rFonts w:ascii="Times New Roman" w:eastAsia="Times New Roman"/>
        </w:rPr>
        <w:t>21 </w:t>
      </w:r>
      <w:r>
        <w:rPr>
          <w:spacing w:val="-3"/>
        </w:rPr>
        <w:t>号）</w:t>
      </w:r>
      <w:r>
        <w:rPr>
          <w:spacing w:val="-5"/>
        </w:rPr>
        <w:t>精神，聚焦高水平全面建成小康社会、开启基本实现现代化</w:t>
      </w:r>
      <w:r>
        <w:rPr>
          <w:spacing w:val="-18"/>
          <w:w w:val="95"/>
        </w:rPr>
        <w:t>新征程的迫切需要，推动无锡现代服务业高质量发展取得新突破、  </w:t>
      </w:r>
      <w:r>
        <w:rPr>
          <w:spacing w:val="-5"/>
        </w:rPr>
        <w:t>增创新优势，进一步提升城市能级和综合竞争力，重点发展金融服务、科技服务、物流服务、信息服务、人力资源和咨询服务、会展服务六大生产性服务业，加快发展文化创意服务、旅游休闲服务、健康养老服务、商贸服务四大生活性服务业。现结合无锡</w:t>
      </w:r>
    </w:p>
    <w:p>
      <w:pPr>
        <w:spacing w:after="0" w:line="259" w:lineRule="auto"/>
        <w:sectPr>
          <w:footerReference w:type="default" r:id="rId5"/>
          <w:footerReference w:type="even" r:id="rId6"/>
          <w:type w:val="continuous"/>
          <w:pgSz w:w="11910" w:h="16840"/>
          <w:pgMar w:footer="1728" w:top="1580" w:bottom="1920" w:left="1480" w:right="12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9"/>
        <w:ind w:left="109"/>
      </w:pPr>
      <w:r>
        <w:rPr/>
        <w:t>实际，提出如下政策意见。</w:t>
      </w:r>
    </w:p>
    <w:p>
      <w:pPr>
        <w:pStyle w:val="BodyText"/>
        <w:spacing w:before="79"/>
        <w:ind w:left="740"/>
        <w:rPr>
          <w:rFonts w:ascii="黑体" w:eastAsia="黑体" w:hint="eastAsia"/>
        </w:rPr>
      </w:pPr>
      <w:r>
        <w:rPr>
          <w:rFonts w:ascii="黑体" w:eastAsia="黑体" w:hint="eastAsia"/>
        </w:rPr>
        <w:t>一、促进服务业集聚发展</w:t>
      </w:r>
    </w:p>
    <w:p>
      <w:pPr>
        <w:pStyle w:val="BodyText"/>
        <w:spacing w:line="259" w:lineRule="auto" w:before="116"/>
        <w:ind w:left="109" w:right="110" w:firstLine="631"/>
      </w:pPr>
      <w:r>
        <w:rPr>
          <w:rFonts w:ascii="方正楷体_GBK" w:eastAsia="方正楷体_GBK" w:hint="eastAsia"/>
          <w:spacing w:val="-3"/>
        </w:rPr>
        <w:t>（一</w:t>
      </w:r>
      <w:r>
        <w:rPr>
          <w:rFonts w:ascii="方正楷体_GBK" w:eastAsia="方正楷体_GBK" w:hint="eastAsia"/>
          <w:spacing w:val="-5"/>
        </w:rPr>
        <w:t>）推动服务业集聚区提档升级。</w:t>
      </w:r>
      <w:r>
        <w:rPr>
          <w:spacing w:val="-5"/>
        </w:rPr>
        <w:t>根据集聚区的自身条件和整体差异性，突出各自业态和功能特色，推动各地区服务业专</w:t>
      </w:r>
      <w:r>
        <w:rPr>
          <w:spacing w:val="-17"/>
          <w:w w:val="95"/>
        </w:rPr>
        <w:t>业化、高端化发展。每年对市级现代服务业集聚区进行综合评价，  </w:t>
      </w:r>
      <w:r>
        <w:rPr>
          <w:spacing w:val="-5"/>
        </w:rPr>
        <w:t>给予主导产业突出、公共服务功能完善、产业发展引领作用明显</w:t>
      </w:r>
      <w:r>
        <w:rPr>
          <w:spacing w:val="-15"/>
        </w:rPr>
        <w:t>的集聚区最高 </w:t>
      </w:r>
      <w:r>
        <w:rPr>
          <w:rFonts w:ascii="Times New Roman" w:eastAsia="Times New Roman"/>
          <w:spacing w:val="-3"/>
        </w:rPr>
        <w:t>300 </w:t>
      </w:r>
      <w:r>
        <w:rPr>
          <w:spacing w:val="-18"/>
        </w:rPr>
        <w:t>万元资金支持，用于规划编制、重大项目建设、</w:t>
      </w:r>
      <w:r>
        <w:rPr>
          <w:spacing w:val="-5"/>
        </w:rPr>
        <w:t>人才和专业管理团队引进、基础设施建设、公共平台建设和运营等。扶持资金不重复用于已享受本意见其他扶持政策的项目。</w:t>
      </w:r>
    </w:p>
    <w:p>
      <w:pPr>
        <w:pStyle w:val="BodyText"/>
        <w:spacing w:before="53"/>
        <w:ind w:left="740"/>
        <w:rPr>
          <w:rFonts w:ascii="黑体" w:eastAsia="黑体" w:hint="eastAsia"/>
        </w:rPr>
      </w:pPr>
      <w:r>
        <w:rPr>
          <w:rFonts w:ascii="黑体" w:eastAsia="黑体" w:hint="eastAsia"/>
        </w:rPr>
        <w:t>二、支持公共服务平台建设</w:t>
      </w:r>
    </w:p>
    <w:p>
      <w:pPr>
        <w:pStyle w:val="BodyText"/>
        <w:spacing w:line="261" w:lineRule="auto" w:before="113"/>
        <w:ind w:left="109" w:right="106" w:firstLine="631"/>
      </w:pPr>
      <w:r>
        <w:rPr>
          <w:rFonts w:ascii="方正楷体_GBK" w:eastAsia="方正楷体_GBK" w:hint="eastAsia"/>
          <w:spacing w:val="-3"/>
        </w:rPr>
        <w:t>（二</w:t>
      </w:r>
      <w:r>
        <w:rPr>
          <w:rFonts w:ascii="方正楷体_GBK" w:eastAsia="方正楷体_GBK" w:hint="eastAsia"/>
          <w:spacing w:val="-5"/>
        </w:rPr>
        <w:t>）激励公共服务平台提高竞争力。</w:t>
      </w:r>
      <w:r>
        <w:rPr>
          <w:spacing w:val="-5"/>
        </w:rPr>
        <w:t>对企业化运作的、已</w:t>
      </w:r>
      <w:r>
        <w:rPr>
          <w:spacing w:val="-14"/>
        </w:rPr>
        <w:t>建成并投入运行 </w:t>
      </w:r>
      <w:r>
        <w:rPr>
          <w:rFonts w:ascii="Times New Roman" w:eastAsia="Times New Roman"/>
        </w:rPr>
        <w:t>2 </w:t>
      </w:r>
      <w:r>
        <w:rPr>
          <w:spacing w:val="-5"/>
        </w:rPr>
        <w:t>年以上，为企业提供信息查询、技术创新、质</w:t>
      </w:r>
      <w:r>
        <w:rPr>
          <w:spacing w:val="-17"/>
          <w:w w:val="95"/>
        </w:rPr>
        <w:t>量检测、法规标准、管理咨询、创业辅导、市场开拓、人员培训、  </w:t>
      </w:r>
      <w:r>
        <w:rPr>
          <w:spacing w:val="-5"/>
        </w:rPr>
        <w:t>设备共享等服务且业绩较好、公信度较高、服务面广的公共服务平台，根据服务中小企业的成果和业绩给予运营经费补助，补助</w:t>
      </w:r>
      <w:r>
        <w:rPr>
          <w:spacing w:val="-5"/>
          <w:w w:val="99"/>
        </w:rPr>
        <w:t>比例不高于上一年度运营经费的</w:t>
      </w:r>
      <w:r>
        <w:rPr>
          <w:spacing w:val="-76"/>
        </w:rPr>
        <w:t> </w:t>
      </w:r>
      <w:r>
        <w:rPr>
          <w:rFonts w:ascii="Times New Roman" w:eastAsia="Times New Roman"/>
          <w:spacing w:val="-4"/>
          <w:w w:val="99"/>
        </w:rPr>
        <w:t>3</w:t>
      </w:r>
      <w:r>
        <w:rPr>
          <w:rFonts w:ascii="Times New Roman" w:eastAsia="Times New Roman"/>
          <w:spacing w:val="-2"/>
          <w:w w:val="99"/>
        </w:rPr>
        <w:t>0%</w:t>
      </w:r>
      <w:r>
        <w:rPr>
          <w:spacing w:val="-24"/>
          <w:w w:val="99"/>
        </w:rPr>
        <w:t>，当期最高不超过</w:t>
      </w:r>
      <w:r>
        <w:rPr>
          <w:spacing w:val="-76"/>
        </w:rPr>
        <w:t> </w:t>
      </w:r>
      <w:r>
        <w:rPr>
          <w:rFonts w:ascii="Times New Roman" w:eastAsia="Times New Roman"/>
          <w:spacing w:val="-2"/>
          <w:w w:val="99"/>
        </w:rPr>
        <w:t>10</w:t>
      </w:r>
      <w:r>
        <w:rPr>
          <w:rFonts w:ascii="Times New Roman" w:eastAsia="Times New Roman"/>
          <w:w w:val="99"/>
        </w:rPr>
        <w:t>0</w:t>
      </w:r>
      <w:r>
        <w:rPr>
          <w:rFonts w:ascii="Times New Roman" w:eastAsia="Times New Roman"/>
        </w:rPr>
        <w:t> </w:t>
      </w:r>
      <w:r>
        <w:rPr>
          <w:spacing w:val="-2"/>
          <w:w w:val="99"/>
        </w:rPr>
        <w:t>万元。</w:t>
      </w:r>
      <w:r>
        <w:rPr>
          <w:spacing w:val="-9"/>
        </w:rPr>
        <w:t>每年支持服务业公共服务平台不超过 </w:t>
      </w:r>
      <w:r>
        <w:rPr>
          <w:rFonts w:ascii="Times New Roman" w:eastAsia="Times New Roman"/>
        </w:rPr>
        <w:t>10 </w:t>
      </w:r>
      <w:r>
        <w:rPr>
          <w:spacing w:val="-20"/>
        </w:rPr>
        <w:t>家。已获得省市其他资金</w:t>
      </w:r>
      <w:r>
        <w:rPr>
          <w:spacing w:val="-5"/>
        </w:rPr>
        <w:t>支持的平台不重复支持。</w:t>
      </w:r>
    </w:p>
    <w:p>
      <w:pPr>
        <w:pStyle w:val="BodyText"/>
        <w:spacing w:line="496" w:lineRule="exact"/>
        <w:ind w:left="740"/>
      </w:pPr>
      <w:r>
        <w:rPr>
          <w:rFonts w:ascii="方正楷体_GBK" w:eastAsia="方正楷体_GBK" w:hint="eastAsia"/>
          <w:spacing w:val="-3"/>
          <w:w w:val="95"/>
        </w:rPr>
        <w:t>（三</w:t>
      </w:r>
      <w:r>
        <w:rPr>
          <w:rFonts w:ascii="方正楷体_GBK" w:eastAsia="方正楷体_GBK" w:hint="eastAsia"/>
          <w:spacing w:val="-5"/>
          <w:w w:val="95"/>
        </w:rPr>
        <w:t>）培育壮大互联网平台企业。</w:t>
      </w:r>
      <w:r>
        <w:rPr>
          <w:spacing w:val="-5"/>
          <w:w w:val="95"/>
        </w:rPr>
        <w:t>上一年度平台交易额超过</w:t>
      </w:r>
    </w:p>
    <w:p>
      <w:pPr>
        <w:pStyle w:val="BodyText"/>
        <w:spacing w:line="261" w:lineRule="auto" w:before="43"/>
        <w:ind w:left="109" w:right="264"/>
        <w:jc w:val="both"/>
      </w:pP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15"/>
        </w:rPr>
        <w:t> </w:t>
      </w:r>
      <w:r>
        <w:rPr>
          <w:spacing w:val="-8"/>
        </w:rPr>
        <w:t>亿元，或上一年度平台交易额不低于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15"/>
        </w:rPr>
        <w:t> </w:t>
      </w:r>
      <w:r>
        <w:rPr>
          <w:spacing w:val="-4"/>
        </w:rPr>
        <w:t>亿元</w:t>
      </w:r>
      <w:r>
        <w:rPr>
          <w:spacing w:val="-5"/>
        </w:rPr>
        <w:t>（云计算、大数据</w:t>
      </w:r>
      <w:r>
        <w:rPr>
          <w:spacing w:val="-10"/>
        </w:rPr>
        <w:t>类型平台年度的主营业务收入不低于 </w:t>
      </w:r>
      <w:r>
        <w:rPr>
          <w:rFonts w:ascii="Times New Roman" w:eastAsia="Times New Roman"/>
        </w:rPr>
        <w:t>5000</w:t>
      </w:r>
      <w:r>
        <w:rPr>
          <w:rFonts w:ascii="Times New Roman" w:eastAsia="Times New Roman"/>
          <w:spacing w:val="-17"/>
        </w:rPr>
        <w:t> </w:t>
      </w:r>
      <w:r>
        <w:rPr>
          <w:spacing w:val="-3"/>
        </w:rPr>
        <w:t>万元</w:t>
      </w:r>
      <w:r>
        <w:rPr>
          <w:spacing w:val="-164"/>
        </w:rPr>
        <w:t>）</w:t>
      </w:r>
      <w:r>
        <w:rPr>
          <w:spacing w:val="-5"/>
        </w:rPr>
        <w:t>且交易额近两年</w:t>
      </w:r>
      <w:r>
        <w:rPr>
          <w:spacing w:val="-16"/>
        </w:rPr>
        <w:t>内平均增速超过 </w:t>
      </w:r>
      <w:r>
        <w:rPr>
          <w:rFonts w:ascii="Times New Roman" w:eastAsia="Times New Roman"/>
          <w:spacing w:val="-3"/>
        </w:rPr>
        <w:t>30%</w:t>
      </w:r>
      <w:r>
        <w:rPr>
          <w:spacing w:val="-8"/>
        </w:rPr>
        <w:t>的互联网平台企业，可以参与评选市级互联</w:t>
      </w:r>
    </w:p>
    <w:p>
      <w:pPr>
        <w:spacing w:after="0" w:line="261" w:lineRule="auto"/>
        <w:jc w:val="both"/>
        <w:sectPr>
          <w:pgSz w:w="11910" w:h="16840"/>
          <w:pgMar w:header="0" w:footer="1728" w:top="1580" w:bottom="1920" w:left="14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59" w:lineRule="auto" w:before="19"/>
        <w:ind w:left="109" w:right="265"/>
        <w:jc w:val="both"/>
      </w:pPr>
      <w:r>
        <w:rPr>
          <w:spacing w:val="-5"/>
          <w:w w:val="95"/>
        </w:rPr>
        <w:t>网平台经济示范企业（包括网络销售服务平台、物流专业服务平  台、满足多样化需求的细分服务平台、信息资讯服务平台和互联 </w:t>
      </w:r>
      <w:r>
        <w:rPr>
          <w:spacing w:val="-2"/>
        </w:rPr>
        <w:t>网金融服务平台等</w:t>
      </w:r>
      <w:r>
        <w:rPr>
          <w:spacing w:val="-154"/>
        </w:rPr>
        <w:t>）</w:t>
      </w:r>
      <w:r>
        <w:rPr>
          <w:spacing w:val="2"/>
        </w:rPr>
        <w:t>。经评审认定后，给予每家企业不超过 </w:t>
      </w:r>
      <w:r>
        <w:rPr>
          <w:rFonts w:ascii="Times New Roman" w:eastAsia="Times New Roman"/>
        </w:rPr>
        <w:t>100 </w:t>
      </w:r>
      <w:r>
        <w:rPr>
          <w:spacing w:val="-16"/>
        </w:rPr>
        <w:t>万元的资金奖励。每年支持互联网平台企业不超过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16"/>
        </w:rPr>
        <w:t> </w:t>
      </w:r>
      <w:r>
        <w:rPr>
          <w:spacing w:val="-20"/>
        </w:rPr>
        <w:t>家。平台已</w:t>
      </w:r>
      <w:r>
        <w:rPr>
          <w:spacing w:val="-5"/>
        </w:rPr>
        <w:t>获得省市其他资金支持的企业不重复支持。</w:t>
      </w:r>
    </w:p>
    <w:p>
      <w:pPr>
        <w:pStyle w:val="BodyText"/>
        <w:spacing w:before="50"/>
        <w:ind w:left="740"/>
        <w:rPr>
          <w:rFonts w:ascii="黑体" w:eastAsia="黑体" w:hint="eastAsia"/>
        </w:rPr>
      </w:pPr>
      <w:r>
        <w:rPr>
          <w:rFonts w:ascii="黑体" w:eastAsia="黑体" w:hint="eastAsia"/>
        </w:rPr>
        <w:t>三、扶持服务业重点项目</w:t>
      </w:r>
    </w:p>
    <w:p>
      <w:pPr>
        <w:pStyle w:val="BodyText"/>
        <w:spacing w:line="261" w:lineRule="auto" w:before="113"/>
        <w:ind w:left="109" w:right="109" w:firstLine="631"/>
      </w:pPr>
      <w:r>
        <w:rPr>
          <w:rFonts w:ascii="方正楷体_GBK" w:eastAsia="方正楷体_GBK" w:hint="eastAsia"/>
          <w:spacing w:val="-3"/>
        </w:rPr>
        <w:t>（四</w:t>
      </w:r>
      <w:r>
        <w:rPr>
          <w:rFonts w:ascii="方正楷体_GBK" w:eastAsia="方正楷体_GBK" w:hint="eastAsia"/>
          <w:spacing w:val="-5"/>
        </w:rPr>
        <w:t>）扶持现代服务业重点项目建设。</w:t>
      </w:r>
      <w:r>
        <w:rPr>
          <w:spacing w:val="-5"/>
        </w:rPr>
        <w:t>对企业在科技服务、</w:t>
      </w:r>
      <w:r>
        <w:rPr>
          <w:spacing w:val="-18"/>
          <w:w w:val="95"/>
        </w:rPr>
        <w:t>物流服务、信息服务领域新增投资项目或融资租赁企业新购设备，  </w:t>
      </w:r>
      <w:r>
        <w:rPr>
          <w:spacing w:val="-14"/>
        </w:rPr>
        <w:t>且当期投资达到 </w:t>
      </w:r>
      <w:r>
        <w:rPr>
          <w:rFonts w:ascii="Times New Roman" w:eastAsia="Times New Roman"/>
          <w:spacing w:val="-2"/>
        </w:rPr>
        <w:t>500 </w:t>
      </w:r>
      <w:r>
        <w:rPr>
          <w:spacing w:val="-10"/>
        </w:rPr>
        <w:t>万元以上的，给予当期投资额 </w:t>
      </w:r>
      <w:r>
        <w:rPr>
          <w:rFonts w:ascii="Times New Roman" w:eastAsia="Times New Roman"/>
          <w:spacing w:val="-3"/>
        </w:rPr>
        <w:t>10%</w:t>
      </w:r>
      <w:r>
        <w:rPr>
          <w:spacing w:val="-3"/>
        </w:rPr>
        <w:t>的补助。</w:t>
      </w:r>
      <w:r>
        <w:rPr>
          <w:spacing w:val="-10"/>
        </w:rPr>
        <w:t>对同一项目连续扶持时间不超过 </w:t>
      </w:r>
      <w:r>
        <w:rPr>
          <w:rFonts w:ascii="Times New Roman" w:eastAsia="Times New Roman"/>
        </w:rPr>
        <w:t>2 </w:t>
      </w:r>
      <w:r>
        <w:rPr>
          <w:spacing w:val="-5"/>
        </w:rPr>
        <w:t>年，累计最高补助额度不超过</w:t>
      </w:r>
      <w:r>
        <w:rPr>
          <w:rFonts w:ascii="Times New Roman" w:eastAsia="Times New Roman"/>
          <w:spacing w:val="-5"/>
        </w:rPr>
        <w:t>300</w:t>
      </w:r>
      <w:r>
        <w:rPr>
          <w:rFonts w:ascii="Times New Roman" w:eastAsia="Times New Roman"/>
          <w:spacing w:val="-27"/>
        </w:rPr>
        <w:t> </w:t>
      </w:r>
      <w:r>
        <w:rPr>
          <w:spacing w:val="-12"/>
        </w:rPr>
        <w:t>万元。对企业在金融服务、人力资源和咨询服务、会展服务、</w:t>
      </w:r>
      <w:r>
        <w:rPr>
          <w:spacing w:val="-5"/>
        </w:rPr>
        <w:t>文化创意服务、旅游休闲服务、健康养老服务、商贸服务领域新</w:t>
      </w:r>
      <w:r>
        <w:rPr>
          <w:spacing w:val="-10"/>
        </w:rPr>
        <w:t>增投资项目，且当期投资达到 </w:t>
      </w:r>
      <w:r>
        <w:rPr>
          <w:rFonts w:ascii="Times New Roman" w:eastAsia="Times New Roman"/>
          <w:spacing w:val="-3"/>
        </w:rPr>
        <w:t>300 </w:t>
      </w:r>
      <w:r>
        <w:rPr>
          <w:spacing w:val="-5"/>
        </w:rPr>
        <w:t>万元以上的，给予当期投资额</w:t>
      </w:r>
      <w:r>
        <w:rPr>
          <w:rFonts w:ascii="Times New Roman" w:eastAsia="Times New Roman"/>
          <w:spacing w:val="-3"/>
        </w:rPr>
        <w:t>10%</w:t>
      </w:r>
      <w:r>
        <w:rPr>
          <w:spacing w:val="-8"/>
        </w:rPr>
        <w:t>的补助。对同一项目连续扶持时间不超过 </w:t>
      </w:r>
      <w:r>
        <w:rPr>
          <w:rFonts w:ascii="Times New Roman" w:eastAsia="Times New Roman"/>
        </w:rPr>
        <w:t>2 </w:t>
      </w:r>
      <w:r>
        <w:rPr>
          <w:spacing w:val="-5"/>
        </w:rPr>
        <w:t>年，累计最高补</w:t>
      </w:r>
      <w:r>
        <w:rPr>
          <w:spacing w:val="-14"/>
        </w:rPr>
        <w:t>助额度不超过 </w:t>
      </w:r>
      <w:r>
        <w:rPr>
          <w:rFonts w:ascii="Times New Roman" w:eastAsia="Times New Roman"/>
          <w:spacing w:val="-3"/>
        </w:rPr>
        <w:t>200 </w:t>
      </w:r>
      <w:r>
        <w:rPr>
          <w:spacing w:val="-2"/>
        </w:rPr>
        <w:t>万元。</w:t>
      </w:r>
    </w:p>
    <w:p>
      <w:pPr>
        <w:pStyle w:val="BodyText"/>
        <w:spacing w:before="12"/>
        <w:ind w:left="740"/>
        <w:rPr>
          <w:rFonts w:ascii="黑体" w:eastAsia="黑体" w:hint="eastAsia"/>
        </w:rPr>
      </w:pPr>
      <w:r>
        <w:rPr>
          <w:rFonts w:ascii="黑体" w:eastAsia="黑体" w:hint="eastAsia"/>
        </w:rPr>
        <w:t>四、培育服务业骨干企业</w:t>
      </w:r>
    </w:p>
    <w:p>
      <w:pPr>
        <w:pStyle w:val="BodyText"/>
        <w:spacing w:line="261" w:lineRule="auto" w:before="114"/>
        <w:ind w:left="109" w:right="109" w:firstLine="631"/>
      </w:pPr>
      <w:r>
        <w:rPr>
          <w:rFonts w:ascii="方正楷体_GBK" w:eastAsia="方正楷体_GBK" w:hint="eastAsia"/>
          <w:spacing w:val="-3"/>
        </w:rPr>
        <w:t>（五</w:t>
      </w:r>
      <w:r>
        <w:rPr>
          <w:rFonts w:ascii="方正楷体_GBK" w:eastAsia="方正楷体_GBK" w:hint="eastAsia"/>
          <w:spacing w:val="-5"/>
        </w:rPr>
        <w:t>）鼓励领军型企业加快发展。</w:t>
      </w:r>
      <w:r>
        <w:rPr>
          <w:spacing w:val="-5"/>
        </w:rPr>
        <w:t>支持现代服务业重点发展领域规上企业发展，其中科技服务、物流服务、信息服务领域的</w:t>
      </w:r>
      <w:r>
        <w:rPr>
          <w:spacing w:val="-11"/>
        </w:rPr>
        <w:t>企业主营业务销售收入超 </w:t>
      </w:r>
      <w:r>
        <w:rPr>
          <w:rFonts w:ascii="Times New Roman" w:eastAsia="Times New Roman"/>
        </w:rPr>
        <w:t>5000 </w:t>
      </w:r>
      <w:r>
        <w:rPr>
          <w:spacing w:val="-16"/>
        </w:rPr>
        <w:t>万元，金融服务、人力资源和咨询</w:t>
      </w:r>
      <w:r>
        <w:rPr>
          <w:spacing w:val="-18"/>
          <w:w w:val="95"/>
        </w:rPr>
        <w:t>服务、会展服务、文化创意服务、旅游休闲服务、健康养老服务、  </w:t>
      </w:r>
      <w:r>
        <w:rPr>
          <w:spacing w:val="-9"/>
        </w:rPr>
        <w:t>商贸服务领域的企业主营业务销售收入超 </w:t>
      </w:r>
      <w:r>
        <w:rPr>
          <w:rFonts w:ascii="Times New Roman" w:eastAsia="Times New Roman"/>
        </w:rPr>
        <w:t>3000 </w:t>
      </w:r>
      <w:r>
        <w:rPr>
          <w:spacing w:val="-24"/>
        </w:rPr>
        <w:t>万元，且重点领域</w:t>
      </w:r>
      <w:r>
        <w:rPr>
          <w:spacing w:val="-9"/>
        </w:rPr>
        <w:t>主营业务收入不低于企业营业收入的 </w:t>
      </w:r>
      <w:r>
        <w:rPr>
          <w:rFonts w:ascii="Times New Roman" w:eastAsia="Times New Roman"/>
          <w:spacing w:val="-7"/>
        </w:rPr>
        <w:t>70%</w:t>
      </w:r>
      <w:r>
        <w:rPr>
          <w:spacing w:val="-7"/>
        </w:rPr>
        <w:t>，经评审认定后，奖励</w:t>
      </w:r>
    </w:p>
    <w:p>
      <w:pPr>
        <w:spacing w:after="0" w:line="261" w:lineRule="auto"/>
        <w:sectPr>
          <w:pgSz w:w="11910" w:h="16840"/>
          <w:pgMar w:header="0" w:footer="1728" w:top="1580" w:bottom="1920" w:left="14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14"/>
        </w:rPr>
      </w:pPr>
    </w:p>
    <w:p>
      <w:pPr>
        <w:pStyle w:val="BodyText"/>
        <w:spacing w:line="259" w:lineRule="auto" w:before="28"/>
        <w:ind w:left="109" w:right="269"/>
      </w:pPr>
      <w:r>
        <w:rPr>
          <w:spacing w:val="-11"/>
        </w:rPr>
        <w:t>每家领军型企业最高不超过 </w:t>
      </w:r>
      <w:r>
        <w:rPr>
          <w:rFonts w:ascii="Times New Roman" w:eastAsia="Times New Roman"/>
          <w:spacing w:val="-2"/>
        </w:rPr>
        <w:t>100 </w:t>
      </w:r>
      <w:r>
        <w:rPr>
          <w:spacing w:val="-5"/>
        </w:rPr>
        <w:t>万元。每年支持领军型企业总数</w:t>
      </w:r>
      <w:r>
        <w:rPr>
          <w:spacing w:val="-20"/>
        </w:rPr>
        <w:t>不超过 </w:t>
      </w:r>
      <w:r>
        <w:rPr>
          <w:rFonts w:ascii="Times New Roman" w:eastAsia="Times New Roman"/>
        </w:rPr>
        <w:t>15 </w:t>
      </w:r>
      <w:r>
        <w:rPr>
          <w:spacing w:val="-5"/>
        </w:rPr>
        <w:t>家。本政策意见执行期间，同一企业不重复享受。</w:t>
      </w:r>
    </w:p>
    <w:p>
      <w:pPr>
        <w:pStyle w:val="BodyText"/>
        <w:spacing w:line="259" w:lineRule="auto" w:before="6"/>
        <w:ind w:left="109" w:right="109" w:firstLine="631"/>
      </w:pPr>
      <w:r>
        <w:rPr>
          <w:rFonts w:ascii="方正楷体_GBK" w:eastAsia="方正楷体_GBK" w:hint="eastAsia"/>
          <w:spacing w:val="-3"/>
        </w:rPr>
        <w:t>（六</w:t>
      </w:r>
      <w:r>
        <w:rPr>
          <w:rFonts w:ascii="方正楷体_GBK" w:eastAsia="方正楷体_GBK" w:hint="eastAsia"/>
          <w:spacing w:val="-5"/>
        </w:rPr>
        <w:t>）支持高成长性企业加快发展。</w:t>
      </w:r>
      <w:r>
        <w:rPr>
          <w:spacing w:val="-5"/>
        </w:rPr>
        <w:t>支持现代服务业重点发展领域规上企业发展，科技服务、物流服务、信息服务企业连续</w:t>
      </w:r>
      <w:r>
        <w:rPr>
          <w:rFonts w:ascii="Times New Roman" w:eastAsia="Times New Roman"/>
          <w:spacing w:val="-5"/>
        </w:rPr>
        <w:t>3</w:t>
      </w:r>
      <w:r>
        <w:rPr>
          <w:rFonts w:ascii="Times New Roman" w:eastAsia="Times New Roman"/>
          <w:spacing w:val="16"/>
        </w:rPr>
        <w:t> </w:t>
      </w:r>
      <w:r>
        <w:rPr>
          <w:spacing w:val="-8"/>
        </w:rPr>
        <w:t>年主营业务收入年均增速超过 </w:t>
      </w:r>
      <w:r>
        <w:rPr>
          <w:rFonts w:ascii="Times New Roman" w:eastAsia="Times New Roman"/>
          <w:spacing w:val="-3"/>
        </w:rPr>
        <w:t>20%</w:t>
      </w:r>
      <w:r>
        <w:rPr>
          <w:spacing w:val="-3"/>
        </w:rPr>
        <w:t>（含）</w:t>
      </w:r>
      <w:r>
        <w:rPr>
          <w:spacing w:val="-5"/>
        </w:rPr>
        <w:t>且上一年主营业务收</w:t>
      </w:r>
      <w:r>
        <w:rPr>
          <w:spacing w:val="-19"/>
        </w:rPr>
        <w:t>入不低于 </w:t>
      </w:r>
      <w:r>
        <w:rPr>
          <w:rFonts w:ascii="Times New Roman" w:eastAsia="Times New Roman"/>
        </w:rPr>
        <w:t>2000 </w:t>
      </w:r>
      <w:r>
        <w:rPr>
          <w:spacing w:val="-22"/>
        </w:rPr>
        <w:t>万元，金融服务、人力资源和咨询服务、会展服务、</w:t>
      </w:r>
      <w:r>
        <w:rPr>
          <w:spacing w:val="-5"/>
        </w:rPr>
        <w:t>文化创意服务、旅游休闲服务、健康养老服务、商贸服务领域企</w:t>
      </w:r>
      <w:r>
        <w:rPr>
          <w:spacing w:val="-20"/>
        </w:rPr>
        <w:t>业连续 </w:t>
      </w:r>
      <w:r>
        <w:rPr>
          <w:rFonts w:ascii="Times New Roman" w:eastAsia="Times New Roman"/>
        </w:rPr>
        <w:t>3 </w:t>
      </w:r>
      <w:r>
        <w:rPr>
          <w:spacing w:val="-10"/>
        </w:rPr>
        <w:t>年主营业务收入年均增速超过 </w:t>
      </w:r>
      <w:r>
        <w:rPr>
          <w:rFonts w:ascii="Times New Roman" w:eastAsia="Times New Roman"/>
          <w:spacing w:val="-7"/>
        </w:rPr>
        <w:t>15%</w:t>
      </w:r>
      <w:r>
        <w:rPr>
          <w:spacing w:val="-7"/>
        </w:rPr>
        <w:t>（</w:t>
      </w:r>
      <w:r>
        <w:rPr>
          <w:spacing w:val="-3"/>
        </w:rPr>
        <w:t>含</w:t>
      </w:r>
      <w:r>
        <w:rPr>
          <w:spacing w:val="-17"/>
        </w:rPr>
        <w:t>）</w:t>
      </w:r>
      <w:r>
        <w:rPr>
          <w:spacing w:val="-4"/>
        </w:rPr>
        <w:t>且上一年主营</w:t>
      </w:r>
      <w:r>
        <w:rPr>
          <w:spacing w:val="-14"/>
        </w:rPr>
        <w:t>业务收入不低于 </w:t>
      </w:r>
      <w:r>
        <w:rPr>
          <w:rFonts w:ascii="Times New Roman" w:eastAsia="Times New Roman"/>
        </w:rPr>
        <w:t>1500 </w:t>
      </w:r>
      <w:r>
        <w:rPr>
          <w:spacing w:val="-17"/>
        </w:rPr>
        <w:t>万元，经评审认定后，奖励每家企业最高不</w:t>
      </w:r>
      <w:r>
        <w:rPr>
          <w:spacing w:val="-26"/>
        </w:rPr>
        <w:t>超过 </w:t>
      </w:r>
      <w:r>
        <w:rPr>
          <w:rFonts w:ascii="Times New Roman" w:eastAsia="Times New Roman"/>
          <w:spacing w:val="-2"/>
        </w:rPr>
        <w:t>100 </w:t>
      </w:r>
      <w:r>
        <w:rPr>
          <w:spacing w:val="-17"/>
        </w:rPr>
        <w:t>万元资金。每年支持高成长企业总数不超过 </w:t>
      </w:r>
      <w:r>
        <w:rPr>
          <w:rFonts w:ascii="Times New Roman" w:eastAsia="Times New Roman"/>
        </w:rPr>
        <w:t>15 </w:t>
      </w:r>
      <w:r>
        <w:rPr>
          <w:spacing w:val="-23"/>
        </w:rPr>
        <w:t>家。本政</w:t>
      </w:r>
      <w:r>
        <w:rPr>
          <w:spacing w:val="-5"/>
        </w:rPr>
        <w:t>策意见执行期间，同一企业不重复享受。</w:t>
      </w:r>
    </w:p>
    <w:p>
      <w:pPr>
        <w:pStyle w:val="BodyText"/>
        <w:spacing w:before="59"/>
        <w:ind w:left="740"/>
        <w:rPr>
          <w:rFonts w:ascii="黑体" w:eastAsia="黑体" w:hint="eastAsia"/>
        </w:rPr>
      </w:pPr>
      <w:r>
        <w:rPr>
          <w:rFonts w:ascii="黑体" w:eastAsia="黑体" w:hint="eastAsia"/>
        </w:rPr>
        <w:t>五、鼓励开展服务业试点示范</w:t>
      </w:r>
    </w:p>
    <w:p>
      <w:pPr>
        <w:pStyle w:val="BodyText"/>
        <w:spacing w:line="259" w:lineRule="auto" w:before="113"/>
        <w:ind w:left="109" w:right="107" w:firstLine="631"/>
        <w:jc w:val="both"/>
      </w:pPr>
      <w:r>
        <w:rPr>
          <w:rFonts w:ascii="方正楷体_GBK" w:eastAsia="方正楷体_GBK" w:hint="eastAsia"/>
          <w:spacing w:val="-3"/>
        </w:rPr>
        <w:t>（七</w:t>
      </w:r>
      <w:r>
        <w:rPr>
          <w:rFonts w:ascii="方正楷体_GBK" w:eastAsia="方正楷体_GBK" w:hint="eastAsia"/>
          <w:spacing w:val="-5"/>
        </w:rPr>
        <w:t>）鼓励企业发挥示范引领作用。</w:t>
      </w:r>
      <w:r>
        <w:rPr>
          <w:spacing w:val="-5"/>
        </w:rPr>
        <w:t>对入选国家级、省级现</w:t>
      </w:r>
      <w:r>
        <w:rPr>
          <w:spacing w:val="-9"/>
        </w:rPr>
        <w:t>代服务业重点专项政策名单的企业，给予 </w:t>
      </w:r>
      <w:r>
        <w:rPr>
          <w:rFonts w:ascii="Times New Roman" w:eastAsia="Times New Roman"/>
        </w:rPr>
        <w:t>50 </w:t>
      </w:r>
      <w:r>
        <w:rPr>
          <w:spacing w:val="-5"/>
        </w:rPr>
        <w:t>万元的一次性奖励。</w:t>
      </w:r>
    </w:p>
    <w:p>
      <w:pPr>
        <w:pStyle w:val="BodyText"/>
        <w:spacing w:line="259" w:lineRule="auto" w:before="6"/>
        <w:ind w:left="109" w:right="268" w:firstLine="631"/>
        <w:jc w:val="both"/>
      </w:pPr>
      <w:r>
        <w:rPr>
          <w:rFonts w:ascii="方正楷体_GBK" w:eastAsia="方正楷体_GBK" w:hint="eastAsia"/>
          <w:spacing w:val="-3"/>
          <w:w w:val="95"/>
        </w:rPr>
        <w:t>（八</w:t>
      </w:r>
      <w:r>
        <w:rPr>
          <w:rFonts w:ascii="方正楷体_GBK" w:eastAsia="方正楷体_GBK" w:hint="eastAsia"/>
          <w:spacing w:val="-5"/>
          <w:w w:val="95"/>
        </w:rPr>
        <w:t>）支持服务业综合改革试点工作。</w:t>
      </w:r>
      <w:r>
        <w:rPr>
          <w:spacing w:val="-5"/>
          <w:w w:val="95"/>
        </w:rPr>
        <w:t>鼓励各地区积极争取 国家级、省级服务业综合改革试点，对获得国家级、省服务业综  合改革试点地区，按年度分解下达服务业综合改革目标任务。连 </w:t>
      </w:r>
      <w:r>
        <w:rPr>
          <w:spacing w:val="-30"/>
        </w:rPr>
        <w:t>续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8"/>
        </w:rPr>
        <w:t> </w:t>
      </w:r>
      <w:r>
        <w:rPr>
          <w:spacing w:val="-10"/>
        </w:rPr>
        <w:t>年每年分别给予试点区 </w:t>
      </w:r>
      <w:r>
        <w:rPr>
          <w:rFonts w:ascii="Times New Roman" w:eastAsia="Times New Roman"/>
          <w:spacing w:val="-3"/>
        </w:rPr>
        <w:t>300 </w:t>
      </w:r>
      <w:r>
        <w:rPr>
          <w:spacing w:val="-3"/>
        </w:rPr>
        <w:t>万元、</w:t>
      </w:r>
      <w:r>
        <w:rPr>
          <w:rFonts w:ascii="Times New Roman" w:eastAsia="Times New Roman"/>
          <w:spacing w:val="-2"/>
        </w:rPr>
        <w:t>200 </w:t>
      </w:r>
      <w:r>
        <w:rPr>
          <w:spacing w:val="-5"/>
        </w:rPr>
        <w:t>万元资金奖励，用于改革试点主要任务和重点项目建设。</w:t>
      </w:r>
    </w:p>
    <w:p>
      <w:pPr>
        <w:pStyle w:val="BodyText"/>
        <w:spacing w:line="261" w:lineRule="auto" w:before="11"/>
        <w:ind w:left="109" w:right="265" w:firstLine="631"/>
        <w:jc w:val="both"/>
        <w:rPr>
          <w:rFonts w:ascii="Times New Roman" w:eastAsia="Times New Roman"/>
        </w:rPr>
      </w:pPr>
      <w:r>
        <w:rPr>
          <w:rFonts w:ascii="方正楷体_GBK" w:eastAsia="方正楷体_GBK" w:hint="eastAsia"/>
          <w:spacing w:val="-3"/>
          <w:w w:val="95"/>
        </w:rPr>
        <w:t>（九</w:t>
      </w:r>
      <w:r>
        <w:rPr>
          <w:rFonts w:ascii="方正楷体_GBK" w:eastAsia="方正楷体_GBK" w:hint="eastAsia"/>
          <w:spacing w:val="-5"/>
          <w:w w:val="95"/>
        </w:rPr>
        <w:t>）支持开展先进制造业和现代服务业深度融合试点。</w:t>
      </w:r>
      <w:r>
        <w:rPr>
          <w:w w:val="95"/>
        </w:rPr>
        <w:t>每 </w:t>
      </w:r>
      <w:r>
        <w:rPr>
          <w:spacing w:val="-11"/>
        </w:rPr>
        <w:t>年组织开展试点单位绩效评价，对评价排名前 </w:t>
      </w:r>
      <w:r>
        <w:rPr>
          <w:rFonts w:ascii="Times New Roman" w:eastAsia="Times New Roman"/>
          <w:spacing w:val="-4"/>
        </w:rPr>
        <w:t>20%</w:t>
      </w:r>
      <w:r>
        <w:rPr>
          <w:spacing w:val="-4"/>
        </w:rPr>
        <w:t>的骨干龙头企</w:t>
      </w:r>
      <w:r>
        <w:rPr>
          <w:spacing w:val="-16"/>
        </w:rPr>
        <w:t>业、区域集聚</w:t>
      </w:r>
      <w:r>
        <w:rPr>
          <w:spacing w:val="-5"/>
        </w:rPr>
        <w:t>（包括产业集群</w:t>
      </w:r>
      <w:r>
        <w:rPr>
          <w:spacing w:val="-37"/>
        </w:rPr>
        <w:t>）</w:t>
      </w:r>
      <w:r>
        <w:rPr>
          <w:spacing w:val="-16"/>
        </w:rPr>
        <w:t>试点，每年分别给予 </w:t>
      </w:r>
      <w:r>
        <w:rPr>
          <w:rFonts w:ascii="Times New Roman" w:eastAsia="Times New Roman"/>
        </w:rPr>
        <w:t>50</w:t>
      </w:r>
      <w:r>
        <w:rPr>
          <w:rFonts w:ascii="Times New Roman" w:eastAsia="Times New Roman"/>
          <w:spacing w:val="-15"/>
        </w:rPr>
        <w:t> </w:t>
      </w:r>
      <w:r>
        <w:rPr>
          <w:spacing w:val="-14"/>
        </w:rPr>
        <w:t>万元、</w:t>
      </w:r>
      <w:r>
        <w:rPr>
          <w:rFonts w:ascii="Times New Roman" w:eastAsia="Times New Roman"/>
        </w:rPr>
        <w:t>80</w:t>
      </w:r>
    </w:p>
    <w:p>
      <w:pPr>
        <w:spacing w:after="0" w:line="261" w:lineRule="auto"/>
        <w:jc w:val="both"/>
        <w:rPr>
          <w:rFonts w:ascii="Times New Roman" w:eastAsia="Times New Roman"/>
        </w:rPr>
        <w:sectPr>
          <w:pgSz w:w="11910" w:h="16840"/>
          <w:pgMar w:header="0" w:footer="1728" w:top="1580" w:bottom="1920" w:left="1480" w:right="12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BodyText"/>
        <w:spacing w:before="19"/>
        <w:ind w:left="109"/>
      </w:pPr>
      <w:r>
        <w:rPr/>
        <w:t>万元的奖励，用于试点示范和重点项目建设。</w:t>
      </w:r>
    </w:p>
    <w:p>
      <w:pPr>
        <w:pStyle w:val="BodyText"/>
        <w:spacing w:before="80"/>
        <w:ind w:left="740"/>
        <w:rPr>
          <w:rFonts w:ascii="黑体" w:eastAsia="黑体" w:hint="eastAsia"/>
        </w:rPr>
      </w:pPr>
      <w:r>
        <w:rPr>
          <w:rFonts w:ascii="黑体" w:eastAsia="黑体" w:hint="eastAsia"/>
        </w:rPr>
        <w:t>六、完善服务业考核统计制度</w:t>
      </w:r>
    </w:p>
    <w:p>
      <w:pPr>
        <w:pStyle w:val="BodyText"/>
        <w:spacing w:line="261" w:lineRule="auto" w:before="115"/>
        <w:ind w:left="109" w:right="268" w:firstLine="631"/>
        <w:jc w:val="both"/>
      </w:pPr>
      <w:r>
        <w:rPr>
          <w:rFonts w:ascii="方正楷体_GBK" w:eastAsia="方正楷体_GBK" w:hint="eastAsia"/>
          <w:spacing w:val="-3"/>
          <w:w w:val="95"/>
        </w:rPr>
        <w:t>（十</w:t>
      </w:r>
      <w:r>
        <w:rPr>
          <w:rFonts w:ascii="方正楷体_GBK" w:eastAsia="方正楷体_GBK" w:hint="eastAsia"/>
          <w:spacing w:val="-5"/>
          <w:w w:val="95"/>
        </w:rPr>
        <w:t>）鼓励规上服务业企业入库。</w:t>
      </w:r>
      <w:r>
        <w:rPr>
          <w:spacing w:val="-5"/>
          <w:w w:val="95"/>
        </w:rPr>
        <w:t>继续强化对规上服务业企 业新增入库数增幅的考核，对入库数净增情况设立年度考核目标  和政策争取目标，对同时完成年度考核目标及政策争取目标的地 </w:t>
      </w:r>
      <w:r>
        <w:rPr>
          <w:spacing w:val="-13"/>
        </w:rPr>
        <w:t>区给予工作奖补 </w:t>
      </w:r>
      <w:r>
        <w:rPr>
          <w:rFonts w:ascii="Times New Roman" w:eastAsia="Times New Roman"/>
          <w:spacing w:val="-2"/>
        </w:rPr>
        <w:t>100 </w:t>
      </w:r>
      <w:r>
        <w:rPr>
          <w:spacing w:val="-2"/>
        </w:rPr>
        <w:t>万元。</w:t>
      </w:r>
    </w:p>
    <w:p>
      <w:pPr>
        <w:pStyle w:val="BodyText"/>
        <w:spacing w:line="261" w:lineRule="auto"/>
        <w:ind w:left="109" w:right="270" w:firstLine="631"/>
        <w:jc w:val="both"/>
      </w:pPr>
      <w:r>
        <w:rPr>
          <w:spacing w:val="-5"/>
          <w:w w:val="95"/>
        </w:rPr>
        <w:t>政策奖励另行制定资金管理办法和申报指南，若同一事项涉 及市政府出台其他政策意见的多条扶持政策，按最高标准执行， </w:t>
      </w:r>
      <w:r>
        <w:rPr>
          <w:spacing w:val="-4"/>
        </w:rPr>
        <w:t>不重复奖励。</w:t>
      </w:r>
    </w:p>
    <w:p>
      <w:pPr>
        <w:pStyle w:val="BodyText"/>
        <w:spacing w:line="508" w:lineRule="exact"/>
        <w:ind w:left="740"/>
      </w:pPr>
      <w:r>
        <w:rPr>
          <w:spacing w:val="8"/>
          <w:w w:val="95"/>
        </w:rPr>
        <w:t>本意见适用范围为市区，江阴市、宜兴市参照执行。各市</w:t>
      </w:r>
    </w:p>
    <w:p>
      <w:pPr>
        <w:pStyle w:val="BodyText"/>
        <w:spacing w:line="261" w:lineRule="auto" w:before="32"/>
        <w:ind w:left="740" w:right="268" w:hanging="632"/>
      </w:pPr>
      <w:r>
        <w:rPr>
          <w:spacing w:val="-3"/>
        </w:rPr>
        <w:t>（县</w:t>
      </w:r>
      <w:r>
        <w:rPr>
          <w:spacing w:val="-161"/>
        </w:rPr>
        <w:t>）</w:t>
      </w:r>
      <w:r>
        <w:rPr>
          <w:spacing w:val="-5"/>
        </w:rPr>
        <w:t>、区根据自身产业特色和发展重点制定相应的配套政策。</w:t>
      </w:r>
      <w:r>
        <w:rPr>
          <w:spacing w:val="-10"/>
        </w:rPr>
        <w:t>该政策意见自发文之日起实施，有效期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-15"/>
        </w:rPr>
        <w:t> </w:t>
      </w:r>
      <w:r>
        <w:rPr>
          <w:spacing w:val="-5"/>
        </w:rPr>
        <w:t>年，原《市政府关</w:t>
      </w:r>
    </w:p>
    <w:p>
      <w:pPr>
        <w:pStyle w:val="BodyText"/>
        <w:spacing w:line="512" w:lineRule="exact"/>
        <w:ind w:left="109"/>
      </w:pPr>
      <w:r>
        <w:rPr>
          <w:spacing w:val="7"/>
          <w:w w:val="95"/>
        </w:rPr>
        <w:t>于进一步加快现代服务业提质增效的若干政策意见》</w:t>
      </w:r>
      <w:r>
        <w:rPr>
          <w:spacing w:val="14"/>
          <w:w w:val="95"/>
        </w:rPr>
        <w:t>（</w:t>
      </w:r>
      <w:r>
        <w:rPr>
          <w:spacing w:val="10"/>
          <w:w w:val="95"/>
        </w:rPr>
        <w:t>锡政发</w:t>
      </w:r>
    </w:p>
    <w:p>
      <w:pPr>
        <w:pStyle w:val="BodyText"/>
        <w:spacing w:before="43"/>
        <w:ind w:left="109"/>
      </w:pPr>
      <w:r>
        <w:rPr/>
        <w:pict>
          <v:group style="position:absolute;margin-left:308.449982pt;margin-top:24.546883pt;width:158.050pt;height:121.9pt;mso-position-horizontal-relative:page;mso-position-vertical-relative:paragraph;z-index:251660288" coordorigin="6169,491" coordsize="3161,2438">
            <v:shape style="position:absolute;left:6498;top:490;width:2438;height:2438" type="#_x0000_t75" stroked="false">
              <v:imagedata r:id="rId7" o:title=""/>
            </v:shape>
            <v:shape style="position:absolute;left:6398;top:490;width:1220;height:360" type="#_x0000_t75" stroked="false">
              <v:imagedata r:id="rId8" o:title=""/>
            </v:shape>
            <v:shape style="position:absolute;left:6169;top:490;width:3161;height:243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40"/>
                      </w:rPr>
                    </w:pPr>
                  </w:p>
                  <w:p>
                    <w:pPr>
                      <w:spacing w:before="0"/>
                      <w:ind w:left="40" w:right="40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无锡市人民政府办公室</w:t>
                    </w:r>
                  </w:p>
                  <w:p>
                    <w:pPr>
                      <w:spacing w:before="46"/>
                      <w:ind w:left="40" w:right="40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rFonts w:ascii="Times New Roman" w:eastAsia="Times New Roman"/>
                        <w:sz w:val="32"/>
                      </w:rPr>
                      <w:t>2020</w:t>
                    </w:r>
                    <w:r>
                      <w:rPr>
                        <w:sz w:val="32"/>
                      </w:rPr>
                      <w:t>年</w:t>
                    </w:r>
                    <w:r>
                      <w:rPr>
                        <w:rFonts w:ascii="Times New Roman" w:eastAsia="Times New Roman"/>
                        <w:sz w:val="32"/>
                      </w:rPr>
                      <w:t>12</w:t>
                    </w:r>
                    <w:r>
                      <w:rPr>
                        <w:sz w:val="32"/>
                      </w:rPr>
                      <w:t>月</w:t>
                    </w:r>
                    <w:r>
                      <w:rPr>
                        <w:rFonts w:ascii="Times New Roman" w:eastAsia="Times New Roman"/>
                        <w:sz w:val="32"/>
                      </w:rPr>
                      <w:t>15</w:t>
                    </w:r>
                    <w:r>
                      <w:rPr>
                        <w:sz w:val="32"/>
                      </w:rPr>
                      <w:t>日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〔</w:t>
      </w:r>
      <w:r>
        <w:rPr>
          <w:rFonts w:ascii="Times New Roman" w:eastAsia="Times New Roman"/>
        </w:rPr>
        <w:t>2018</w:t>
      </w:r>
      <w:r>
        <w:rPr/>
        <w:t>〕</w:t>
      </w:r>
      <w:r>
        <w:rPr>
          <w:rFonts w:ascii="Times New Roman" w:eastAsia="Times New Roman"/>
        </w:rPr>
        <w:t>49 </w:t>
      </w:r>
      <w:r>
        <w:rPr/>
        <w:t>号）停止执行。</w:t>
      </w:r>
    </w:p>
    <w:p>
      <w:pPr>
        <w:spacing w:after="0"/>
        <w:sectPr>
          <w:pgSz w:w="11910" w:h="16840"/>
          <w:pgMar w:header="0" w:footer="1728" w:top="1580" w:bottom="1920" w:left="14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 w:after="1"/>
        <w:rPr>
          <w:sz w:val="23"/>
        </w:rPr>
      </w:pPr>
    </w:p>
    <w:p>
      <w:pPr>
        <w:pStyle w:val="BodyText"/>
        <w:spacing w:line="20" w:lineRule="exact"/>
        <w:ind w:left="70"/>
        <w:rPr>
          <w:sz w:val="2"/>
        </w:rPr>
      </w:pPr>
      <w:r>
        <w:rPr>
          <w:sz w:val="2"/>
        </w:rPr>
        <w:pict>
          <v:group style="width:442.45pt;height:1pt;mso-position-horizontal-relative:char;mso-position-vertical-relative:line" coordorigin="0,0" coordsize="8849,20">
            <v:line style="position:absolute" from="0,10" to="4424,10" stroked="true" strokeweight=".96006pt" strokecolor="#000000">
              <v:stroke dashstyle="solid"/>
            </v:line>
            <v:rect style="position:absolute;left:4423;top:0;width:20;height:20" filled="true" fillcolor="#000000" stroked="false">
              <v:fill type="solid"/>
            </v:rect>
            <v:line style="position:absolute" from="4443,10" to="8848,10" stroked="true" strokeweight=".9600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tabs>
          <w:tab w:pos="5757" w:val="left" w:leader="none"/>
        </w:tabs>
        <w:spacing w:before="39"/>
        <w:ind w:left="426" w:right="0" w:firstLine="0"/>
        <w:jc w:val="left"/>
        <w:rPr>
          <w:sz w:val="28"/>
        </w:rPr>
      </w:pPr>
      <w:r>
        <w:rPr/>
        <w:pict>
          <v:group style="position:absolute;margin-left:77.303902pt;margin-top:23.175213pt;width:443.15pt;height:1pt;mso-position-horizontal-relative:page;mso-position-vertical-relative:paragraph;z-index:251662336" coordorigin="1546,464" coordsize="8863,20">
            <v:line style="position:absolute" from="1546,473" to="5984,473" stroked="true" strokeweight=".96006pt" strokecolor="#000000">
              <v:stroke dashstyle="solid"/>
            </v:line>
            <v:rect style="position:absolute;left:5969;top:463;width:20;height:20" filled="true" fillcolor="#000000" stroked="false">
              <v:fill type="solid"/>
            </v:rect>
            <v:line style="position:absolute" from="5989,473" to="10409,473" stroked="true" strokeweight=".96006pt" strokecolor="#000000">
              <v:stroke dashstyle="solid"/>
            </v:line>
            <w10:wrap type="none"/>
          </v:group>
        </w:pict>
      </w:r>
      <w:r>
        <w:rPr>
          <w:spacing w:val="-5"/>
          <w:sz w:val="28"/>
        </w:rPr>
        <w:t>无锡市人民政府办公</w:t>
      </w:r>
      <w:r>
        <w:rPr>
          <w:sz w:val="28"/>
        </w:rPr>
        <w:t>室</w:t>
        <w:tab/>
      </w:r>
      <w:r>
        <w:rPr>
          <w:rFonts w:ascii="Times New Roman" w:eastAsia="Times New Roman"/>
          <w:sz w:val="28"/>
        </w:rPr>
        <w:t>2020</w:t>
      </w:r>
      <w:r>
        <w:rPr>
          <w:rFonts w:ascii="Times New Roman" w:eastAsia="Times New Roman"/>
          <w:spacing w:val="-8"/>
          <w:sz w:val="28"/>
        </w:rPr>
        <w:t> </w:t>
      </w:r>
      <w:r>
        <w:rPr>
          <w:sz w:val="28"/>
        </w:rPr>
        <w:t>年</w:t>
      </w:r>
      <w:r>
        <w:rPr>
          <w:spacing w:val="-60"/>
          <w:sz w:val="28"/>
        </w:rPr>
        <w:t> </w:t>
      </w:r>
      <w:r>
        <w:rPr>
          <w:rFonts w:ascii="Times New Roman" w:eastAsia="Times New Roman"/>
          <w:sz w:val="28"/>
        </w:rPr>
        <w:t>12</w:t>
      </w:r>
      <w:r>
        <w:rPr>
          <w:rFonts w:ascii="Times New Roman" w:eastAsia="Times New Roman"/>
          <w:spacing w:val="-5"/>
          <w:sz w:val="28"/>
        </w:rPr>
        <w:t> </w:t>
      </w:r>
      <w:r>
        <w:rPr>
          <w:sz w:val="28"/>
        </w:rPr>
        <w:t>月</w:t>
      </w:r>
      <w:r>
        <w:rPr>
          <w:spacing w:val="-59"/>
          <w:sz w:val="28"/>
        </w:rPr>
        <w:t> </w:t>
      </w:r>
      <w:r>
        <w:rPr>
          <w:rFonts w:ascii="Times New Roman" w:eastAsia="Times New Roman"/>
          <w:sz w:val="28"/>
        </w:rPr>
        <w:t>21</w:t>
      </w:r>
      <w:r>
        <w:rPr>
          <w:rFonts w:ascii="Times New Roman" w:eastAsia="Times New Roman"/>
          <w:spacing w:val="-7"/>
          <w:sz w:val="28"/>
        </w:rPr>
        <w:t> </w:t>
      </w:r>
      <w:r>
        <w:rPr>
          <w:spacing w:val="-5"/>
          <w:sz w:val="28"/>
        </w:rPr>
        <w:t>日印</w:t>
      </w:r>
      <w:r>
        <w:rPr>
          <w:sz w:val="28"/>
        </w:rPr>
        <w:t>发</w:t>
      </w:r>
    </w:p>
    <w:sectPr>
      <w:pgSz w:w="11910" w:h="16840"/>
      <w:pgMar w:header="0" w:footer="1728" w:top="1580" w:bottom="1920" w:left="14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仿宋_GBK">
    <w:altName w:val="方正仿宋_GBK"/>
    <w:charset w:val="86"/>
    <w:family w:val="auto"/>
    <w:pitch w:val="variable"/>
  </w:font>
  <w:font w:name="方正书宋(翅膀整理)">
    <w:altName w:val="方正书宋(翅膀整理)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2.659943pt;margin-top:744.528503pt;width:44.15pt;height:17.55pt;mso-position-horizontal-relative:page;mso-position-vertical-relative:page;z-index:-25182515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Times New Roman" w:hAnsi="Times New Roman"/>
                    <w:sz w:val="28"/>
                  </w:rPr>
                </w:pPr>
                <w:r>
                  <w:rPr>
                    <w:rFonts w:ascii="Times New Roman" w:hAnsi="Times New Roman"/>
                    <w:sz w:val="28"/>
                  </w:rPr>
                  <w:t>—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sz w:val="28"/>
                  </w:rPr>
                  <w:t> —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4.423859pt;margin-top:744.528503pt;width:44.15pt;height:17.55pt;mso-position-horizontal-relative:page;mso-position-vertical-relative:page;z-index:-25182412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Times New Roman" w:hAnsi="Times New Roman"/>
                    <w:sz w:val="28"/>
                  </w:rPr>
                </w:pPr>
                <w:r>
                  <w:rPr>
                    <w:rFonts w:ascii="Times New Roman" w:hAnsi="Times New Roman"/>
                    <w:sz w:val="28"/>
                  </w:rPr>
                  <w:t>—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sz w:val="28"/>
                  </w:rPr>
                  <w:t> —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仿宋_GBK" w:hAnsi="方正仿宋_GBK" w:eastAsia="方正仿宋_GBK" w:cs="方正仿宋_GBK"/>
    </w:rPr>
  </w:style>
  <w:style w:styleId="BodyText" w:type="paragraph">
    <w:name w:val="Body Text"/>
    <w:basedOn w:val="Normal"/>
    <w:uiPriority w:val="1"/>
    <w:qFormat/>
    <w:pPr/>
    <w:rPr>
      <w:rFonts w:ascii="方正仿宋_GBK" w:hAnsi="方正仿宋_GBK" w:eastAsia="方正仿宋_GBK" w:cs="方正仿宋_GBK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2021-04-13T16:11:46Z</dcterms:created>
  <dcterms:modified xsi:type="dcterms:W3CDTF">2021-04-13T16:11:46Z</dcterms:modified>
</cp:coreProperties>
</file>