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0"/>
        <w:rPr>
          <w:rFonts w:ascii="Times New Roman"/>
          <w:sz w:val="20"/>
        </w:rPr>
      </w:pPr>
    </w:p>
    <w:p>
      <w:pPr>
        <w:pStyle w:val="BodyText"/>
        <w:ind w:left="0"/>
        <w:rPr>
          <w:rFonts w:ascii="Times New Roman"/>
          <w:sz w:val="20"/>
        </w:rPr>
      </w:pPr>
    </w:p>
    <w:p>
      <w:pPr>
        <w:pStyle w:val="BodyText"/>
        <w:ind w:left="0"/>
        <w:rPr>
          <w:rFonts w:ascii="Times New Roman"/>
          <w:sz w:val="20"/>
        </w:rPr>
      </w:pPr>
    </w:p>
    <w:p>
      <w:pPr>
        <w:pStyle w:val="BodyText"/>
        <w:ind w:left="0"/>
        <w:rPr>
          <w:rFonts w:ascii="Times New Roman"/>
          <w:sz w:val="20"/>
        </w:rPr>
      </w:pPr>
    </w:p>
    <w:p>
      <w:pPr>
        <w:pStyle w:val="BodyText"/>
        <w:ind w:left="0"/>
        <w:rPr>
          <w:rFonts w:ascii="Times New Roman"/>
          <w:sz w:val="20"/>
        </w:rPr>
      </w:pPr>
    </w:p>
    <w:p>
      <w:pPr>
        <w:pStyle w:val="BodyText"/>
        <w:ind w:left="0"/>
        <w:rPr>
          <w:rFonts w:ascii="Times New Roman"/>
          <w:sz w:val="20"/>
        </w:rPr>
      </w:pPr>
    </w:p>
    <w:p>
      <w:pPr>
        <w:pStyle w:val="BodyText"/>
        <w:ind w:left="0"/>
        <w:rPr>
          <w:rFonts w:ascii="Times New Roman"/>
          <w:sz w:val="20"/>
        </w:rPr>
      </w:pPr>
    </w:p>
    <w:p>
      <w:pPr>
        <w:pStyle w:val="BodyText"/>
        <w:spacing w:before="5"/>
        <w:ind w:left="0"/>
        <w:rPr>
          <w:rFonts w:ascii="Times New Roman"/>
          <w:sz w:val="26"/>
        </w:rPr>
      </w:pPr>
    </w:p>
    <w:p>
      <w:pPr>
        <w:spacing w:before="38"/>
        <w:ind w:left="0" w:right="10" w:firstLine="0"/>
        <w:jc w:val="center"/>
        <w:rPr>
          <w:b/>
          <w:sz w:val="44"/>
        </w:rPr>
      </w:pPr>
      <w:r>
        <w:rPr>
          <w:b/>
          <w:sz w:val="44"/>
        </w:rPr>
        <w:t>桂林市国家物流枢纽布局城市建设规划</w:t>
      </w:r>
    </w:p>
    <w:p>
      <w:pPr>
        <w:pStyle w:val="BodyText"/>
        <w:ind w:left="0"/>
        <w:rPr>
          <w:b/>
          <w:sz w:val="44"/>
        </w:rPr>
      </w:pPr>
    </w:p>
    <w:p>
      <w:pPr>
        <w:pStyle w:val="BodyText"/>
        <w:ind w:left="0"/>
        <w:rPr>
          <w:b/>
          <w:sz w:val="44"/>
        </w:rPr>
      </w:pPr>
    </w:p>
    <w:p>
      <w:pPr>
        <w:pStyle w:val="BodyText"/>
        <w:ind w:left="0"/>
        <w:rPr>
          <w:b/>
          <w:sz w:val="44"/>
        </w:rPr>
      </w:pPr>
    </w:p>
    <w:p>
      <w:pPr>
        <w:pStyle w:val="BodyText"/>
        <w:ind w:left="0"/>
        <w:rPr>
          <w:b/>
          <w:sz w:val="44"/>
        </w:rPr>
      </w:pPr>
    </w:p>
    <w:p>
      <w:pPr>
        <w:pStyle w:val="BodyText"/>
        <w:ind w:left="0"/>
        <w:rPr>
          <w:b/>
          <w:sz w:val="44"/>
        </w:rPr>
      </w:pPr>
    </w:p>
    <w:p>
      <w:pPr>
        <w:pStyle w:val="BodyText"/>
        <w:ind w:left="0"/>
        <w:rPr>
          <w:b/>
          <w:sz w:val="44"/>
        </w:rPr>
      </w:pPr>
    </w:p>
    <w:p>
      <w:pPr>
        <w:pStyle w:val="BodyText"/>
        <w:ind w:left="0"/>
        <w:rPr>
          <w:b/>
          <w:sz w:val="44"/>
        </w:rPr>
      </w:pPr>
    </w:p>
    <w:p>
      <w:pPr>
        <w:pStyle w:val="BodyText"/>
        <w:ind w:left="0"/>
        <w:rPr>
          <w:b/>
          <w:sz w:val="44"/>
        </w:rPr>
      </w:pPr>
    </w:p>
    <w:p>
      <w:pPr>
        <w:pStyle w:val="BodyText"/>
        <w:ind w:left="0"/>
        <w:rPr>
          <w:b/>
          <w:sz w:val="44"/>
        </w:rPr>
      </w:pPr>
    </w:p>
    <w:p>
      <w:pPr>
        <w:pStyle w:val="BodyText"/>
        <w:ind w:left="0"/>
        <w:rPr>
          <w:b/>
          <w:sz w:val="44"/>
        </w:rPr>
      </w:pPr>
    </w:p>
    <w:p>
      <w:pPr>
        <w:pStyle w:val="BodyText"/>
        <w:ind w:left="0"/>
        <w:rPr>
          <w:b/>
          <w:sz w:val="44"/>
        </w:rPr>
      </w:pPr>
    </w:p>
    <w:p>
      <w:pPr>
        <w:pStyle w:val="BodyText"/>
        <w:ind w:left="0"/>
        <w:rPr>
          <w:b/>
          <w:sz w:val="44"/>
        </w:rPr>
      </w:pPr>
    </w:p>
    <w:p>
      <w:pPr>
        <w:pStyle w:val="BodyText"/>
        <w:ind w:left="0"/>
        <w:rPr>
          <w:b/>
          <w:sz w:val="44"/>
        </w:rPr>
      </w:pPr>
    </w:p>
    <w:p>
      <w:pPr>
        <w:pStyle w:val="BodyText"/>
        <w:spacing w:before="1"/>
        <w:ind w:left="0"/>
        <w:rPr>
          <w:b/>
          <w:sz w:val="33"/>
        </w:rPr>
      </w:pPr>
    </w:p>
    <w:p>
      <w:pPr>
        <w:spacing w:line="427" w:lineRule="auto" w:before="0"/>
        <w:ind w:left="2624" w:right="2639" w:firstLine="0"/>
        <w:jc w:val="center"/>
        <w:rPr>
          <w:b/>
          <w:sz w:val="36"/>
        </w:rPr>
      </w:pPr>
      <w:r>
        <w:rPr>
          <w:b/>
          <w:spacing w:val="-2"/>
          <w:sz w:val="36"/>
        </w:rPr>
        <w:t>桂林市发展和改革委员会</w:t>
      </w:r>
      <w:r>
        <w:rPr>
          <w:b/>
          <w:sz w:val="36"/>
        </w:rPr>
        <w:t>2020</w:t>
      </w:r>
      <w:r>
        <w:rPr>
          <w:b/>
          <w:spacing w:val="-61"/>
          <w:sz w:val="36"/>
        </w:rPr>
        <w:t> 年 </w:t>
      </w:r>
      <w:r>
        <w:rPr>
          <w:b/>
          <w:sz w:val="36"/>
        </w:rPr>
        <w:t>6</w:t>
      </w:r>
      <w:r>
        <w:rPr>
          <w:b/>
          <w:spacing w:val="-46"/>
          <w:sz w:val="36"/>
        </w:rPr>
        <w:t> 月</w:t>
      </w:r>
    </w:p>
    <w:p>
      <w:pPr>
        <w:spacing w:after="0" w:line="427" w:lineRule="auto"/>
        <w:jc w:val="center"/>
        <w:rPr>
          <w:sz w:val="36"/>
        </w:rPr>
        <w:sectPr>
          <w:type w:val="continuous"/>
          <w:pgSz w:w="11910" w:h="16840"/>
          <w:pgMar w:top="1580" w:bottom="280" w:left="1240" w:right="1220"/>
        </w:sectPr>
      </w:pPr>
    </w:p>
    <w:p>
      <w:pPr>
        <w:tabs>
          <w:tab w:pos="722" w:val="left" w:leader="none"/>
        </w:tabs>
        <w:spacing w:before="21"/>
        <w:ind w:left="0" w:right="17" w:firstLine="0"/>
        <w:jc w:val="center"/>
        <w:rPr>
          <w:b/>
          <w:sz w:val="36"/>
        </w:rPr>
      </w:pPr>
      <w:r>
        <w:rPr>
          <w:b/>
          <w:sz w:val="36"/>
        </w:rPr>
        <w:t>目</w:t>
        <w:tab/>
        <w:t>录</w:t>
      </w:r>
    </w:p>
    <w:p>
      <w:pPr>
        <w:spacing w:after="0"/>
        <w:jc w:val="center"/>
        <w:rPr>
          <w:sz w:val="36"/>
        </w:rPr>
        <w:sectPr>
          <w:footerReference w:type="default" r:id="rId5"/>
          <w:pgSz w:w="11910" w:h="16840"/>
          <w:pgMar w:footer="1126" w:header="0" w:top="1440" w:bottom="1605" w:left="1240" w:right="1220"/>
          <w:pgNumType w:start="1"/>
        </w:sectPr>
      </w:pPr>
    </w:p>
    <w:sdt>
      <w:sdtPr>
        <w:docPartObj>
          <w:docPartGallery w:val="Table of Contents"/>
          <w:docPartUnique/>
        </w:docPartObj>
      </w:sdtPr>
      <w:sdtEndPr/>
      <w:sdtContent>
        <w:p>
          <w:pPr>
            <w:pStyle w:val="TOC1"/>
            <w:tabs>
              <w:tab w:pos="8306" w:val="right" w:leader="dot"/>
            </w:tabs>
            <w:rPr>
              <w:rFonts w:ascii="Times New Roman" w:eastAsia="Times New Roman"/>
            </w:rPr>
          </w:pPr>
          <w:hyperlink w:history="true" w:anchor="_bookmark0">
            <w:r>
              <w:rPr/>
              <w:t>前 言</w:t>
              <w:tab/>
            </w:r>
            <w:r>
              <w:rPr>
                <w:rFonts w:ascii="Times New Roman" w:eastAsia="Times New Roman"/>
              </w:rPr>
              <w:t>1</w:t>
            </w:r>
          </w:hyperlink>
        </w:p>
        <w:p>
          <w:pPr>
            <w:pStyle w:val="TOC2"/>
            <w:tabs>
              <w:tab w:pos="8866" w:val="right" w:leader="dot"/>
            </w:tabs>
            <w:spacing w:before="161"/>
            <w:rPr>
              <w:rFonts w:ascii="Times New Roman" w:eastAsia="Times New Roman"/>
            </w:rPr>
          </w:pPr>
          <w:hyperlink w:history="true" w:anchor="_bookmark1">
            <w:r>
              <w:rPr/>
              <w:t>一、发展基础与环境</w:t>
              <w:tab/>
            </w:r>
            <w:r>
              <w:rPr>
                <w:rFonts w:ascii="Times New Roman" w:eastAsia="Times New Roman"/>
              </w:rPr>
              <w:t>2</w:t>
            </w:r>
          </w:hyperlink>
        </w:p>
        <w:p>
          <w:pPr>
            <w:pStyle w:val="TOC3"/>
            <w:tabs>
              <w:tab w:pos="8866" w:val="right" w:leader="dot"/>
            </w:tabs>
            <w:spacing w:before="160"/>
            <w:rPr>
              <w:rFonts w:ascii="Times New Roman" w:eastAsia="Times New Roman"/>
            </w:rPr>
          </w:pPr>
          <w:hyperlink w:history="true" w:anchor="_bookmark2">
            <w:r>
              <w:rPr>
                <w:rFonts w:ascii="楷体" w:eastAsia="楷体" w:hint="eastAsia"/>
              </w:rPr>
              <w:t>（一）发展成效</w:t>
              <w:tab/>
            </w:r>
            <w:r>
              <w:rPr>
                <w:rFonts w:ascii="Times New Roman" w:eastAsia="Times New Roman"/>
              </w:rPr>
              <w:t>2</w:t>
            </w:r>
          </w:hyperlink>
        </w:p>
        <w:p>
          <w:pPr>
            <w:pStyle w:val="TOC4"/>
            <w:numPr>
              <w:ilvl w:val="0"/>
              <w:numId w:val="1"/>
            </w:numPr>
            <w:tabs>
              <w:tab w:pos="1284" w:val="left" w:leader="none"/>
              <w:tab w:pos="8866" w:val="right" w:leader="dot"/>
            </w:tabs>
            <w:spacing w:line="240" w:lineRule="auto" w:before="158" w:after="0"/>
            <w:ind w:left="1283" w:right="0" w:hanging="242"/>
            <w:jc w:val="left"/>
            <w:rPr>
              <w:rFonts w:ascii="Times New Roman" w:eastAsia="Times New Roman"/>
            </w:rPr>
          </w:pPr>
          <w:hyperlink w:history="true" w:anchor="_bookmark3">
            <w:r>
              <w:rPr/>
              <w:t>交通物流基础设施条件不断完善</w:t>
              <w:tab/>
            </w:r>
            <w:r>
              <w:rPr>
                <w:rFonts w:ascii="Times New Roman" w:eastAsia="Times New Roman"/>
              </w:rPr>
              <w:t>2</w:t>
            </w:r>
          </w:hyperlink>
        </w:p>
        <w:p>
          <w:pPr>
            <w:pStyle w:val="TOC4"/>
            <w:numPr>
              <w:ilvl w:val="0"/>
              <w:numId w:val="1"/>
            </w:numPr>
            <w:tabs>
              <w:tab w:pos="1284" w:val="left" w:leader="none"/>
              <w:tab w:pos="8866" w:val="right" w:leader="dot"/>
            </w:tabs>
            <w:spacing w:line="240" w:lineRule="auto" w:before="158" w:after="0"/>
            <w:ind w:left="1283" w:right="0" w:hanging="242"/>
            <w:jc w:val="left"/>
            <w:rPr>
              <w:rFonts w:ascii="Times New Roman" w:eastAsia="Times New Roman"/>
            </w:rPr>
          </w:pPr>
          <w:hyperlink w:history="true" w:anchor="_bookmark4">
            <w:r>
              <w:rPr/>
              <w:t>商贸物流持续快速发展</w:t>
              <w:tab/>
            </w:r>
            <w:r>
              <w:rPr>
                <w:rFonts w:ascii="Times New Roman" w:eastAsia="Times New Roman"/>
              </w:rPr>
              <w:t>4</w:t>
            </w:r>
          </w:hyperlink>
        </w:p>
        <w:p>
          <w:pPr>
            <w:pStyle w:val="TOC4"/>
            <w:numPr>
              <w:ilvl w:val="0"/>
              <w:numId w:val="1"/>
            </w:numPr>
            <w:tabs>
              <w:tab w:pos="1284" w:val="left" w:leader="none"/>
              <w:tab w:pos="8866" w:val="right" w:leader="dot"/>
            </w:tabs>
            <w:spacing w:line="240" w:lineRule="auto" w:before="161" w:after="0"/>
            <w:ind w:left="1283" w:right="0" w:hanging="242"/>
            <w:jc w:val="left"/>
            <w:rPr>
              <w:rFonts w:ascii="Times New Roman" w:eastAsia="Times New Roman"/>
            </w:rPr>
          </w:pPr>
          <w:hyperlink w:history="true" w:anchor="_bookmark5">
            <w:r>
              <w:rPr/>
              <w:t>电商快递物流成为新的发展亮点</w:t>
              <w:tab/>
            </w:r>
            <w:r>
              <w:rPr>
                <w:rFonts w:ascii="Times New Roman" w:eastAsia="Times New Roman"/>
              </w:rPr>
              <w:t>6</w:t>
            </w:r>
          </w:hyperlink>
        </w:p>
        <w:p>
          <w:pPr>
            <w:pStyle w:val="TOC4"/>
            <w:numPr>
              <w:ilvl w:val="0"/>
              <w:numId w:val="1"/>
            </w:numPr>
            <w:tabs>
              <w:tab w:pos="1284" w:val="left" w:leader="none"/>
              <w:tab w:pos="8866" w:val="right" w:leader="dot"/>
            </w:tabs>
            <w:spacing w:line="240" w:lineRule="auto" w:before="160" w:after="0"/>
            <w:ind w:left="1283" w:right="0" w:hanging="242"/>
            <w:jc w:val="left"/>
            <w:rPr>
              <w:rFonts w:ascii="Times New Roman" w:eastAsia="Times New Roman"/>
            </w:rPr>
          </w:pPr>
          <w:hyperlink w:history="true" w:anchor="_bookmark6">
            <w:r>
              <w:rPr/>
              <w:t>区位优势日益凸显</w:t>
              <w:tab/>
            </w:r>
            <w:r>
              <w:rPr>
                <w:rFonts w:ascii="Times New Roman" w:eastAsia="Times New Roman"/>
              </w:rPr>
              <w:t>6</w:t>
            </w:r>
          </w:hyperlink>
        </w:p>
        <w:p>
          <w:pPr>
            <w:pStyle w:val="TOC4"/>
            <w:numPr>
              <w:ilvl w:val="0"/>
              <w:numId w:val="1"/>
            </w:numPr>
            <w:tabs>
              <w:tab w:pos="1284" w:val="left" w:leader="none"/>
              <w:tab w:pos="8866" w:val="right" w:leader="dot"/>
            </w:tabs>
            <w:spacing w:line="240" w:lineRule="auto" w:before="159" w:after="0"/>
            <w:ind w:left="1283" w:right="0" w:hanging="242"/>
            <w:jc w:val="left"/>
            <w:rPr>
              <w:rFonts w:ascii="Times New Roman" w:eastAsia="Times New Roman"/>
            </w:rPr>
          </w:pPr>
          <w:hyperlink w:history="true" w:anchor="_bookmark7">
            <w:r>
              <w:rPr/>
              <w:t>发展政策环境持续改善</w:t>
              <w:tab/>
            </w:r>
            <w:r>
              <w:rPr>
                <w:rFonts w:ascii="Times New Roman" w:eastAsia="Times New Roman"/>
              </w:rPr>
              <w:t>7</w:t>
            </w:r>
          </w:hyperlink>
        </w:p>
        <w:p>
          <w:pPr>
            <w:pStyle w:val="TOC3"/>
            <w:tabs>
              <w:tab w:pos="8866" w:val="right" w:leader="dot"/>
            </w:tabs>
            <w:spacing w:before="160"/>
            <w:rPr>
              <w:rFonts w:ascii="Times New Roman" w:eastAsia="Times New Roman"/>
            </w:rPr>
          </w:pPr>
          <w:hyperlink w:history="true" w:anchor="_bookmark8">
            <w:r>
              <w:rPr>
                <w:rFonts w:ascii="楷体" w:eastAsia="楷体" w:hint="eastAsia"/>
              </w:rPr>
              <w:t>（二）主要困难和不足</w:t>
              <w:tab/>
            </w:r>
            <w:r>
              <w:rPr>
                <w:rFonts w:ascii="Times New Roman" w:eastAsia="Times New Roman"/>
              </w:rPr>
              <w:t>8</w:t>
            </w:r>
          </w:hyperlink>
        </w:p>
        <w:p>
          <w:pPr>
            <w:pStyle w:val="TOC4"/>
            <w:numPr>
              <w:ilvl w:val="0"/>
              <w:numId w:val="2"/>
            </w:numPr>
            <w:tabs>
              <w:tab w:pos="1284" w:val="left" w:leader="none"/>
              <w:tab w:pos="8866" w:val="right" w:leader="dot"/>
            </w:tabs>
            <w:spacing w:line="240" w:lineRule="auto" w:before="158" w:after="0"/>
            <w:ind w:left="1283" w:right="0" w:hanging="242"/>
            <w:jc w:val="left"/>
            <w:rPr>
              <w:rFonts w:ascii="Times New Roman" w:eastAsia="Times New Roman"/>
            </w:rPr>
          </w:pPr>
          <w:hyperlink w:history="true" w:anchor="_bookmark9">
            <w:r>
              <w:rPr/>
              <w:t>大型物流园区规划建设不足</w:t>
              <w:tab/>
            </w:r>
            <w:r>
              <w:rPr>
                <w:rFonts w:ascii="Times New Roman" w:eastAsia="Times New Roman"/>
              </w:rPr>
              <w:t>8</w:t>
            </w:r>
          </w:hyperlink>
        </w:p>
        <w:p>
          <w:pPr>
            <w:pStyle w:val="TOC4"/>
            <w:numPr>
              <w:ilvl w:val="0"/>
              <w:numId w:val="2"/>
            </w:numPr>
            <w:tabs>
              <w:tab w:pos="1284" w:val="left" w:leader="none"/>
              <w:tab w:pos="8866" w:val="right" w:leader="dot"/>
            </w:tabs>
            <w:spacing w:line="240" w:lineRule="auto" w:before="161" w:after="0"/>
            <w:ind w:left="1283" w:right="0" w:hanging="242"/>
            <w:jc w:val="left"/>
            <w:rPr>
              <w:rFonts w:ascii="Times New Roman" w:hAnsi="Times New Roman" w:eastAsia="Times New Roman"/>
            </w:rPr>
          </w:pPr>
          <w:hyperlink w:history="true" w:anchor="_bookmark10">
            <w:r>
              <w:rPr/>
              <w:t>物流业市场主体“小散弱”现象严重</w:t>
              <w:tab/>
            </w:r>
            <w:r>
              <w:rPr>
                <w:rFonts w:ascii="Times New Roman" w:hAnsi="Times New Roman" w:eastAsia="Times New Roman"/>
              </w:rPr>
              <w:t>8</w:t>
            </w:r>
          </w:hyperlink>
        </w:p>
        <w:p>
          <w:pPr>
            <w:pStyle w:val="TOC4"/>
            <w:numPr>
              <w:ilvl w:val="0"/>
              <w:numId w:val="2"/>
            </w:numPr>
            <w:tabs>
              <w:tab w:pos="1284" w:val="left" w:leader="none"/>
              <w:tab w:pos="8866" w:val="right" w:leader="dot"/>
            </w:tabs>
            <w:spacing w:line="240" w:lineRule="auto" w:before="158" w:after="0"/>
            <w:ind w:left="1283" w:right="0" w:hanging="242"/>
            <w:jc w:val="left"/>
            <w:rPr>
              <w:rFonts w:ascii="Times New Roman" w:eastAsia="Times New Roman"/>
            </w:rPr>
          </w:pPr>
          <w:hyperlink w:history="true" w:anchor="_bookmark11">
            <w:r>
              <w:rPr/>
              <w:t>物流组织方式和发展模式落后</w:t>
              <w:tab/>
            </w:r>
            <w:r>
              <w:rPr>
                <w:rFonts w:ascii="Times New Roman" w:eastAsia="Times New Roman"/>
              </w:rPr>
              <w:t>8</w:t>
            </w:r>
          </w:hyperlink>
        </w:p>
        <w:p>
          <w:pPr>
            <w:pStyle w:val="TOC4"/>
            <w:numPr>
              <w:ilvl w:val="0"/>
              <w:numId w:val="2"/>
            </w:numPr>
            <w:tabs>
              <w:tab w:pos="1284" w:val="left" w:leader="none"/>
              <w:tab w:pos="8866" w:val="right" w:leader="dot"/>
            </w:tabs>
            <w:spacing w:line="240" w:lineRule="auto" w:before="160" w:after="0"/>
            <w:ind w:left="1283" w:right="0" w:hanging="242"/>
            <w:jc w:val="left"/>
            <w:rPr>
              <w:rFonts w:ascii="Times New Roman" w:eastAsia="Times New Roman"/>
            </w:rPr>
          </w:pPr>
          <w:hyperlink w:history="true" w:anchor="_bookmark12">
            <w:r>
              <w:rPr/>
              <w:t>公路货运以外的其他运输方式短板明显</w:t>
              <w:tab/>
            </w:r>
            <w:r>
              <w:rPr>
                <w:rFonts w:ascii="Times New Roman" w:eastAsia="Times New Roman"/>
              </w:rPr>
              <w:t>9</w:t>
            </w:r>
          </w:hyperlink>
        </w:p>
        <w:p>
          <w:pPr>
            <w:pStyle w:val="TOC3"/>
            <w:tabs>
              <w:tab w:pos="8866" w:val="right" w:leader="dot"/>
            </w:tabs>
            <w:rPr>
              <w:rFonts w:ascii="Times New Roman" w:eastAsia="Times New Roman"/>
            </w:rPr>
          </w:pPr>
          <w:hyperlink w:history="true" w:anchor="_bookmark13">
            <w:r>
              <w:rPr>
                <w:rFonts w:ascii="楷体" w:eastAsia="楷体" w:hint="eastAsia"/>
              </w:rPr>
              <w:t>（三）发展机遇</w:t>
              <w:tab/>
            </w:r>
            <w:r>
              <w:rPr>
                <w:rFonts w:ascii="Times New Roman" w:eastAsia="Times New Roman"/>
              </w:rPr>
              <w:t>9</w:t>
            </w:r>
          </w:hyperlink>
        </w:p>
        <w:p>
          <w:pPr>
            <w:pStyle w:val="TOC3"/>
            <w:tabs>
              <w:tab w:pos="8868" w:val="right" w:leader="dot"/>
            </w:tabs>
            <w:spacing w:before="161"/>
            <w:rPr>
              <w:rFonts w:ascii="Times New Roman" w:eastAsia="Times New Roman"/>
            </w:rPr>
          </w:pPr>
          <w:hyperlink w:history="true" w:anchor="_bookmark14">
            <w:r>
              <w:rPr>
                <w:rFonts w:ascii="楷体" w:eastAsia="楷体" w:hint="eastAsia"/>
              </w:rPr>
              <w:t>（四）主要挑战</w:t>
              <w:tab/>
            </w:r>
            <w:r>
              <w:rPr>
                <w:rFonts w:ascii="Times New Roman" w:eastAsia="Times New Roman"/>
                <w:spacing w:val="-5"/>
              </w:rPr>
              <w:t>11</w:t>
            </w:r>
          </w:hyperlink>
        </w:p>
        <w:p>
          <w:pPr>
            <w:pStyle w:val="TOC2"/>
            <w:tabs>
              <w:tab w:pos="8868" w:val="right" w:leader="dot"/>
            </w:tabs>
            <w:rPr>
              <w:rFonts w:ascii="Times New Roman" w:eastAsia="Times New Roman"/>
            </w:rPr>
          </w:pPr>
          <w:hyperlink w:history="true" w:anchor="_bookmark15">
            <w:r>
              <w:rPr/>
              <w:t>二、总体要求</w:t>
              <w:tab/>
            </w:r>
            <w:r>
              <w:rPr>
                <w:rFonts w:ascii="Times New Roman" w:eastAsia="Times New Roman"/>
                <w:spacing w:val="-4"/>
              </w:rPr>
              <w:t>11</w:t>
            </w:r>
          </w:hyperlink>
        </w:p>
        <w:p>
          <w:pPr>
            <w:pStyle w:val="TOC3"/>
            <w:tabs>
              <w:tab w:pos="8868" w:val="right" w:leader="dot"/>
            </w:tabs>
            <w:spacing w:before="160"/>
            <w:rPr>
              <w:rFonts w:ascii="Times New Roman" w:eastAsia="Times New Roman"/>
            </w:rPr>
          </w:pPr>
          <w:hyperlink w:history="true" w:anchor="_bookmark16">
            <w:r>
              <w:rPr>
                <w:rFonts w:ascii="楷体" w:eastAsia="楷体" w:hint="eastAsia"/>
              </w:rPr>
              <w:t>（一）指导思想</w:t>
              <w:tab/>
            </w:r>
            <w:r>
              <w:rPr>
                <w:rFonts w:ascii="Times New Roman" w:eastAsia="Times New Roman"/>
                <w:spacing w:val="-5"/>
              </w:rPr>
              <w:t>11</w:t>
            </w:r>
          </w:hyperlink>
        </w:p>
        <w:p>
          <w:pPr>
            <w:pStyle w:val="TOC3"/>
            <w:tabs>
              <w:tab w:pos="8866" w:val="right" w:leader="dot"/>
            </w:tabs>
            <w:spacing w:before="161"/>
            <w:rPr>
              <w:rFonts w:ascii="Times New Roman" w:eastAsia="Times New Roman"/>
            </w:rPr>
          </w:pPr>
          <w:hyperlink w:history="true" w:anchor="_bookmark17">
            <w:r>
              <w:rPr>
                <w:rFonts w:ascii="楷体" w:eastAsia="楷体" w:hint="eastAsia"/>
              </w:rPr>
              <w:t>（二）基本原则</w:t>
              <w:tab/>
            </w:r>
            <w:r>
              <w:rPr>
                <w:rFonts w:ascii="Times New Roman" w:eastAsia="Times New Roman"/>
              </w:rPr>
              <w:t>12</w:t>
            </w:r>
          </w:hyperlink>
        </w:p>
        <w:p>
          <w:pPr>
            <w:pStyle w:val="TOC3"/>
            <w:tabs>
              <w:tab w:pos="8866" w:val="right" w:leader="dot"/>
            </w:tabs>
            <w:rPr>
              <w:rFonts w:ascii="Times New Roman" w:eastAsia="Times New Roman"/>
            </w:rPr>
          </w:pPr>
          <w:hyperlink w:history="true" w:anchor="_bookmark18">
            <w:r>
              <w:rPr>
                <w:rFonts w:ascii="楷体" w:eastAsia="楷体" w:hint="eastAsia"/>
              </w:rPr>
              <w:t>（三）战略定位</w:t>
              <w:tab/>
            </w:r>
            <w:r>
              <w:rPr>
                <w:rFonts w:ascii="Times New Roman" w:eastAsia="Times New Roman"/>
              </w:rPr>
              <w:t>13</w:t>
            </w:r>
          </w:hyperlink>
        </w:p>
        <w:p>
          <w:pPr>
            <w:pStyle w:val="TOC4"/>
            <w:numPr>
              <w:ilvl w:val="0"/>
              <w:numId w:val="3"/>
            </w:numPr>
            <w:tabs>
              <w:tab w:pos="1284" w:val="left" w:leader="none"/>
              <w:tab w:pos="8866" w:val="right" w:leader="dot"/>
            </w:tabs>
            <w:spacing w:line="240" w:lineRule="auto" w:before="158" w:after="0"/>
            <w:ind w:left="1283" w:right="0" w:hanging="242"/>
            <w:jc w:val="left"/>
            <w:rPr>
              <w:rFonts w:ascii="Times New Roman" w:eastAsia="Times New Roman"/>
            </w:rPr>
          </w:pPr>
          <w:hyperlink w:history="true" w:anchor="_bookmark19">
            <w:r>
              <w:rPr/>
              <w:t>国家物流枢纽区域性中心</w:t>
              <w:tab/>
            </w:r>
            <w:r>
              <w:rPr>
                <w:rFonts w:ascii="Times New Roman" w:eastAsia="Times New Roman"/>
              </w:rPr>
              <w:t>13</w:t>
            </w:r>
          </w:hyperlink>
        </w:p>
        <w:p>
          <w:pPr>
            <w:pStyle w:val="TOC4"/>
            <w:numPr>
              <w:ilvl w:val="0"/>
              <w:numId w:val="3"/>
            </w:numPr>
            <w:tabs>
              <w:tab w:pos="1284" w:val="left" w:leader="none"/>
              <w:tab w:pos="8866" w:val="right" w:leader="dot"/>
            </w:tabs>
            <w:spacing w:line="240" w:lineRule="auto" w:before="161" w:after="0"/>
            <w:ind w:left="1283" w:right="0" w:hanging="242"/>
            <w:jc w:val="left"/>
            <w:rPr>
              <w:rFonts w:ascii="Times New Roman" w:eastAsia="Times New Roman"/>
            </w:rPr>
          </w:pPr>
          <w:hyperlink w:history="true" w:anchor="_bookmark20">
            <w:r>
              <w:rPr/>
              <w:t>西部陆海新通道重要的节点城市</w:t>
              <w:tab/>
            </w:r>
            <w:r>
              <w:rPr>
                <w:rFonts w:ascii="Times New Roman" w:eastAsia="Times New Roman"/>
              </w:rPr>
              <w:t>13</w:t>
            </w:r>
          </w:hyperlink>
        </w:p>
        <w:p>
          <w:pPr>
            <w:pStyle w:val="TOC4"/>
            <w:numPr>
              <w:ilvl w:val="0"/>
              <w:numId w:val="3"/>
            </w:numPr>
            <w:tabs>
              <w:tab w:pos="1284" w:val="left" w:leader="none"/>
              <w:tab w:pos="8866" w:val="right" w:leader="dot"/>
            </w:tabs>
            <w:spacing w:line="240" w:lineRule="auto" w:before="158" w:after="0"/>
            <w:ind w:left="1283" w:right="0" w:hanging="242"/>
            <w:jc w:val="left"/>
            <w:rPr>
              <w:rFonts w:ascii="Times New Roman" w:hAnsi="Times New Roman" w:eastAsia="Times New Roman"/>
            </w:rPr>
          </w:pPr>
          <w:hyperlink w:history="true" w:anchor="_bookmark21">
            <w:r>
              <w:rPr/>
              <w:t>“一带一路”重要的区域性商贸物流组织中心</w:t>
              <w:tab/>
            </w:r>
            <w:r>
              <w:rPr>
                <w:rFonts w:ascii="Times New Roman" w:hAnsi="Times New Roman" w:eastAsia="Times New Roman"/>
              </w:rPr>
              <w:t>14</w:t>
            </w:r>
          </w:hyperlink>
        </w:p>
        <w:p>
          <w:pPr>
            <w:pStyle w:val="TOC3"/>
            <w:tabs>
              <w:tab w:pos="8866" w:val="right" w:leader="dot"/>
            </w:tabs>
            <w:spacing w:before="160"/>
            <w:rPr>
              <w:rFonts w:ascii="Times New Roman" w:eastAsia="Times New Roman"/>
            </w:rPr>
          </w:pPr>
          <w:hyperlink w:history="true" w:anchor="_bookmark22">
            <w:r>
              <w:rPr>
                <w:rFonts w:ascii="楷体" w:eastAsia="楷体" w:hint="eastAsia"/>
              </w:rPr>
              <w:t>（四）发展目标</w:t>
              <w:tab/>
            </w:r>
            <w:r>
              <w:rPr>
                <w:rFonts w:ascii="Times New Roman" w:eastAsia="Times New Roman"/>
              </w:rPr>
              <w:t>14</w:t>
            </w:r>
          </w:hyperlink>
        </w:p>
        <w:p>
          <w:pPr>
            <w:pStyle w:val="TOC4"/>
            <w:numPr>
              <w:ilvl w:val="0"/>
              <w:numId w:val="4"/>
            </w:numPr>
            <w:tabs>
              <w:tab w:pos="1284" w:val="left" w:leader="none"/>
              <w:tab w:pos="8866" w:val="right" w:leader="dot"/>
            </w:tabs>
            <w:spacing w:line="240" w:lineRule="auto" w:before="161" w:after="0"/>
            <w:ind w:left="1283" w:right="0" w:hanging="242"/>
            <w:jc w:val="left"/>
            <w:rPr>
              <w:rFonts w:ascii="Times New Roman" w:eastAsia="Times New Roman"/>
            </w:rPr>
          </w:pPr>
          <w:hyperlink w:history="true" w:anchor="_bookmark23">
            <w:r>
              <w:rPr/>
              <w:t>近期目标</w:t>
              <w:tab/>
            </w:r>
            <w:r>
              <w:rPr>
                <w:rFonts w:ascii="Times New Roman" w:eastAsia="Times New Roman"/>
              </w:rPr>
              <w:t>14</w:t>
            </w:r>
          </w:hyperlink>
        </w:p>
        <w:p>
          <w:pPr>
            <w:pStyle w:val="TOC4"/>
            <w:numPr>
              <w:ilvl w:val="0"/>
              <w:numId w:val="4"/>
            </w:numPr>
            <w:tabs>
              <w:tab w:pos="1284" w:val="left" w:leader="none"/>
              <w:tab w:pos="8866" w:val="right" w:leader="dot"/>
            </w:tabs>
            <w:spacing w:line="240" w:lineRule="auto" w:before="158" w:after="0"/>
            <w:ind w:left="1283" w:right="0" w:hanging="242"/>
            <w:jc w:val="left"/>
            <w:rPr>
              <w:rFonts w:ascii="Times New Roman" w:eastAsia="Times New Roman"/>
            </w:rPr>
          </w:pPr>
          <w:hyperlink w:history="true" w:anchor="_bookmark24">
            <w:r>
              <w:rPr/>
              <w:t>中期目标</w:t>
              <w:tab/>
            </w:r>
            <w:r>
              <w:rPr>
                <w:rFonts w:ascii="Times New Roman" w:eastAsia="Times New Roman"/>
              </w:rPr>
              <w:t>15</w:t>
            </w:r>
          </w:hyperlink>
        </w:p>
        <w:p>
          <w:pPr>
            <w:pStyle w:val="TOC4"/>
            <w:numPr>
              <w:ilvl w:val="0"/>
              <w:numId w:val="4"/>
            </w:numPr>
            <w:tabs>
              <w:tab w:pos="1284" w:val="left" w:leader="none"/>
              <w:tab w:pos="8866" w:val="right" w:leader="dot"/>
            </w:tabs>
            <w:spacing w:line="240" w:lineRule="auto" w:before="160" w:after="0"/>
            <w:ind w:left="1283" w:right="0" w:hanging="242"/>
            <w:jc w:val="left"/>
            <w:rPr>
              <w:rFonts w:ascii="Times New Roman" w:eastAsia="Times New Roman"/>
            </w:rPr>
          </w:pPr>
          <w:hyperlink w:history="true" w:anchor="_bookmark25">
            <w:r>
              <w:rPr/>
              <w:t>远期目标</w:t>
              <w:tab/>
            </w:r>
            <w:r>
              <w:rPr>
                <w:rFonts w:ascii="Times New Roman" w:eastAsia="Times New Roman"/>
              </w:rPr>
              <w:t>15</w:t>
            </w:r>
          </w:hyperlink>
        </w:p>
        <w:p>
          <w:pPr>
            <w:pStyle w:val="TOC4"/>
            <w:numPr>
              <w:ilvl w:val="0"/>
              <w:numId w:val="4"/>
            </w:numPr>
            <w:tabs>
              <w:tab w:pos="1284" w:val="left" w:leader="none"/>
              <w:tab w:pos="8866" w:val="right" w:leader="dot"/>
            </w:tabs>
            <w:spacing w:line="240" w:lineRule="auto" w:before="158" w:after="0"/>
            <w:ind w:left="1283" w:right="0" w:hanging="242"/>
            <w:jc w:val="left"/>
            <w:rPr>
              <w:rFonts w:ascii="Times New Roman" w:eastAsia="Times New Roman"/>
            </w:rPr>
          </w:pPr>
          <w:hyperlink w:history="true" w:anchor="_bookmark26">
            <w:r>
              <w:rPr/>
              <w:t>定量指标</w:t>
              <w:tab/>
            </w:r>
            <w:r>
              <w:rPr>
                <w:rFonts w:ascii="Times New Roman" w:eastAsia="Times New Roman"/>
              </w:rPr>
              <w:t>16</w:t>
            </w:r>
          </w:hyperlink>
        </w:p>
        <w:p>
          <w:pPr>
            <w:pStyle w:val="TOC2"/>
            <w:tabs>
              <w:tab w:pos="8866" w:val="right" w:leader="dot"/>
            </w:tabs>
            <w:spacing w:before="161" w:after="20"/>
            <w:rPr>
              <w:rFonts w:ascii="Times New Roman" w:eastAsia="Times New Roman"/>
            </w:rPr>
          </w:pPr>
          <w:hyperlink w:history="true" w:anchor="_bookmark27">
            <w:r>
              <w:rPr/>
              <w:t>三、空间布局</w:t>
              <w:tab/>
            </w:r>
            <w:r>
              <w:rPr>
                <w:rFonts w:ascii="Times New Roman" w:eastAsia="Times New Roman"/>
              </w:rPr>
              <w:t>16</w:t>
            </w:r>
          </w:hyperlink>
        </w:p>
        <w:p>
          <w:pPr>
            <w:pStyle w:val="TOC3"/>
            <w:tabs>
              <w:tab w:pos="8866" w:val="right" w:leader="dot"/>
            </w:tabs>
            <w:spacing w:before="61"/>
            <w:rPr>
              <w:rFonts w:ascii="Times New Roman" w:eastAsia="Times New Roman"/>
            </w:rPr>
          </w:pPr>
          <w:hyperlink w:history="true" w:anchor="_bookmark28">
            <w:r>
              <w:rPr>
                <w:rFonts w:ascii="楷体" w:eastAsia="楷体" w:hint="eastAsia"/>
              </w:rPr>
              <w:t>（一）物流枢纽和节点布局</w:t>
              <w:tab/>
            </w:r>
            <w:r>
              <w:rPr>
                <w:rFonts w:ascii="Times New Roman" w:eastAsia="Times New Roman"/>
              </w:rPr>
              <w:t>17</w:t>
            </w:r>
          </w:hyperlink>
        </w:p>
        <w:p>
          <w:pPr>
            <w:pStyle w:val="TOC4"/>
            <w:numPr>
              <w:ilvl w:val="0"/>
              <w:numId w:val="5"/>
            </w:numPr>
            <w:tabs>
              <w:tab w:pos="1284" w:val="left" w:leader="none"/>
              <w:tab w:pos="8866" w:val="right" w:leader="dot"/>
            </w:tabs>
            <w:spacing w:line="240" w:lineRule="auto" w:before="158" w:after="0"/>
            <w:ind w:left="1283" w:right="0" w:hanging="242"/>
            <w:jc w:val="left"/>
            <w:rPr>
              <w:rFonts w:ascii="Times New Roman" w:eastAsia="Times New Roman"/>
            </w:rPr>
          </w:pPr>
          <w:r>
            <w:rPr/>
            <w:t>国家物流枢纽布局</w:t>
            <w:tab/>
          </w:r>
          <w:r>
            <w:rPr>
              <w:rFonts w:ascii="Times New Roman" w:eastAsia="Times New Roman"/>
            </w:rPr>
            <w:t>17</w:t>
          </w:r>
        </w:p>
        <w:p>
          <w:pPr>
            <w:pStyle w:val="TOC4"/>
            <w:numPr>
              <w:ilvl w:val="0"/>
              <w:numId w:val="5"/>
            </w:numPr>
            <w:tabs>
              <w:tab w:pos="1284" w:val="left" w:leader="none"/>
              <w:tab w:pos="8866" w:val="right" w:leader="dot"/>
            </w:tabs>
            <w:spacing w:line="240" w:lineRule="auto" w:before="161" w:after="0"/>
            <w:ind w:left="1283" w:right="0" w:hanging="242"/>
            <w:jc w:val="left"/>
            <w:rPr>
              <w:rFonts w:ascii="Times New Roman" w:eastAsia="Times New Roman"/>
            </w:rPr>
          </w:pPr>
          <w:hyperlink w:history="true" w:anchor="_bookmark30">
            <w:r>
              <w:rPr/>
              <w:t>地方物流枢纽布局</w:t>
              <w:tab/>
            </w:r>
            <w:r>
              <w:rPr>
                <w:rFonts w:ascii="Times New Roman" w:eastAsia="Times New Roman"/>
              </w:rPr>
              <w:t>25</w:t>
            </w:r>
          </w:hyperlink>
        </w:p>
        <w:p>
          <w:pPr>
            <w:pStyle w:val="TOC4"/>
            <w:numPr>
              <w:ilvl w:val="0"/>
              <w:numId w:val="5"/>
            </w:numPr>
            <w:tabs>
              <w:tab w:pos="1284" w:val="left" w:leader="none"/>
              <w:tab w:pos="8866" w:val="right" w:leader="dot"/>
            </w:tabs>
            <w:spacing w:line="240" w:lineRule="auto" w:before="158" w:after="0"/>
            <w:ind w:left="1283" w:right="0" w:hanging="242"/>
            <w:jc w:val="left"/>
            <w:rPr>
              <w:rFonts w:ascii="Times New Roman" w:eastAsia="Times New Roman"/>
            </w:rPr>
          </w:pPr>
          <w:hyperlink w:history="true" w:anchor="_bookmark31">
            <w:r>
              <w:rPr/>
              <w:t>现代物流集聚中心布局</w:t>
              <w:tab/>
            </w:r>
            <w:r>
              <w:rPr>
                <w:rFonts w:ascii="Times New Roman" w:eastAsia="Times New Roman"/>
              </w:rPr>
              <w:t>26</w:t>
            </w:r>
          </w:hyperlink>
        </w:p>
        <w:p>
          <w:pPr>
            <w:pStyle w:val="TOC4"/>
            <w:numPr>
              <w:ilvl w:val="0"/>
              <w:numId w:val="5"/>
            </w:numPr>
            <w:tabs>
              <w:tab w:pos="1284" w:val="left" w:leader="none"/>
              <w:tab w:pos="8866" w:val="right" w:leader="dot"/>
            </w:tabs>
            <w:spacing w:line="240" w:lineRule="auto" w:before="160" w:after="0"/>
            <w:ind w:left="1283" w:right="0" w:hanging="242"/>
            <w:jc w:val="left"/>
            <w:rPr>
              <w:rFonts w:ascii="Times New Roman" w:eastAsia="Times New Roman"/>
            </w:rPr>
          </w:pPr>
          <w:hyperlink w:history="true" w:anchor="_bookmark32">
            <w:r>
              <w:rPr/>
              <w:t>县域物流基地布局</w:t>
              <w:tab/>
            </w:r>
            <w:r>
              <w:rPr>
                <w:rFonts w:ascii="Times New Roman" w:eastAsia="Times New Roman"/>
              </w:rPr>
              <w:t>28</w:t>
            </w:r>
          </w:hyperlink>
        </w:p>
        <w:p>
          <w:pPr>
            <w:pStyle w:val="TOC3"/>
            <w:tabs>
              <w:tab w:pos="8866" w:val="right" w:leader="dot"/>
            </w:tabs>
            <w:rPr>
              <w:rFonts w:ascii="Times New Roman" w:eastAsia="Times New Roman"/>
            </w:rPr>
          </w:pPr>
          <w:hyperlink w:history="true" w:anchor="_bookmark33">
            <w:r>
              <w:rPr/>
              <w:t>（二）物流通道布局</w:t>
              <w:tab/>
            </w:r>
            <w:r>
              <w:rPr>
                <w:rFonts w:ascii="Times New Roman" w:eastAsia="Times New Roman"/>
              </w:rPr>
              <w:t>30</w:t>
            </w:r>
          </w:hyperlink>
        </w:p>
        <w:p>
          <w:pPr>
            <w:pStyle w:val="TOC3"/>
            <w:tabs>
              <w:tab w:pos="8866" w:val="right" w:leader="dot"/>
            </w:tabs>
            <w:spacing w:before="161"/>
            <w:rPr>
              <w:rFonts w:ascii="Times New Roman" w:eastAsia="Times New Roman"/>
            </w:rPr>
          </w:pPr>
          <w:hyperlink w:history="true" w:anchor="_bookmark34">
            <w:r>
              <w:rPr/>
              <w:t>（三）城乡三级物流网络布局</w:t>
              <w:tab/>
            </w:r>
            <w:r>
              <w:rPr>
                <w:rFonts w:ascii="Times New Roman" w:eastAsia="Times New Roman"/>
              </w:rPr>
              <w:t>32</w:t>
            </w:r>
          </w:hyperlink>
        </w:p>
        <w:p>
          <w:pPr>
            <w:pStyle w:val="TOC2"/>
            <w:tabs>
              <w:tab w:pos="8866" w:val="right" w:leader="dot"/>
            </w:tabs>
            <w:rPr>
              <w:rFonts w:ascii="Times New Roman" w:eastAsia="Times New Roman"/>
            </w:rPr>
          </w:pPr>
          <w:hyperlink w:history="true" w:anchor="_bookmark35">
            <w:r>
              <w:rPr/>
              <w:t>四、主要任务</w:t>
              <w:tab/>
            </w:r>
            <w:r>
              <w:rPr>
                <w:rFonts w:ascii="Times New Roman" w:eastAsia="Times New Roman"/>
              </w:rPr>
              <w:t>33</w:t>
            </w:r>
          </w:hyperlink>
        </w:p>
        <w:p>
          <w:pPr>
            <w:pStyle w:val="TOC3"/>
            <w:tabs>
              <w:tab w:pos="8866" w:val="right" w:leader="dot"/>
            </w:tabs>
            <w:spacing w:before="160"/>
            <w:rPr>
              <w:rFonts w:ascii="Times New Roman" w:eastAsia="Times New Roman"/>
            </w:rPr>
          </w:pPr>
          <w:hyperlink w:history="true" w:anchor="_bookmark36">
            <w:r>
              <w:rPr/>
              <w:t>（一）建设和培育国家物流枢纽</w:t>
              <w:tab/>
            </w:r>
            <w:r>
              <w:rPr>
                <w:rFonts w:ascii="Times New Roman" w:eastAsia="Times New Roman"/>
              </w:rPr>
              <w:t>33</w:t>
            </w:r>
          </w:hyperlink>
        </w:p>
        <w:p>
          <w:pPr>
            <w:pStyle w:val="TOC4"/>
            <w:numPr>
              <w:ilvl w:val="0"/>
              <w:numId w:val="6"/>
            </w:numPr>
            <w:tabs>
              <w:tab w:pos="1284" w:val="left" w:leader="none"/>
              <w:tab w:pos="8866" w:val="right" w:leader="dot"/>
            </w:tabs>
            <w:spacing w:line="240" w:lineRule="auto" w:before="159" w:after="0"/>
            <w:ind w:left="1283" w:right="0" w:hanging="242"/>
            <w:jc w:val="left"/>
            <w:rPr>
              <w:sz w:val="22"/>
            </w:rPr>
          </w:pPr>
          <w:hyperlink w:history="true" w:anchor="_bookmark37">
            <w:r>
              <w:rPr/>
              <w:t>培育协同高效的运营主体</w:t>
              <w:tab/>
            </w:r>
            <w:r>
              <w:rPr>
                <w:rFonts w:ascii="Times New Roman" w:eastAsia="Times New Roman"/>
              </w:rPr>
              <w:t>33</w:t>
            </w:r>
          </w:hyperlink>
        </w:p>
        <w:p>
          <w:pPr>
            <w:pStyle w:val="TOC4"/>
            <w:numPr>
              <w:ilvl w:val="0"/>
              <w:numId w:val="6"/>
            </w:numPr>
            <w:tabs>
              <w:tab w:pos="1284" w:val="left" w:leader="none"/>
              <w:tab w:pos="8866" w:val="right" w:leader="dot"/>
            </w:tabs>
            <w:spacing w:line="240" w:lineRule="auto" w:before="160" w:after="0"/>
            <w:ind w:left="1283" w:right="0" w:hanging="242"/>
            <w:jc w:val="left"/>
            <w:rPr>
              <w:sz w:val="22"/>
            </w:rPr>
          </w:pPr>
          <w:hyperlink w:history="true" w:anchor="_bookmark38">
            <w:r>
              <w:rPr/>
              <w:t>推动物流设施集约整合</w:t>
              <w:tab/>
            </w:r>
            <w:r>
              <w:rPr>
                <w:rFonts w:ascii="Times New Roman" w:eastAsia="Times New Roman"/>
              </w:rPr>
              <w:t>34</w:t>
            </w:r>
          </w:hyperlink>
        </w:p>
        <w:p>
          <w:pPr>
            <w:pStyle w:val="TOC4"/>
            <w:numPr>
              <w:ilvl w:val="0"/>
              <w:numId w:val="6"/>
            </w:numPr>
            <w:tabs>
              <w:tab w:pos="1224" w:val="left" w:leader="none"/>
              <w:tab w:pos="8866" w:val="right" w:leader="dot"/>
            </w:tabs>
            <w:spacing w:line="240" w:lineRule="auto" w:before="158" w:after="0"/>
            <w:ind w:left="1223" w:right="0" w:hanging="182"/>
            <w:jc w:val="left"/>
            <w:rPr>
              <w:rFonts w:ascii="Times New Roman" w:eastAsia="Times New Roman"/>
              <w:sz w:val="22"/>
            </w:rPr>
          </w:pPr>
          <w:hyperlink w:history="true" w:anchor="_bookmark39">
            <w:r>
              <w:rPr/>
              <w:t>加快建设推动物流资源交易平台</w:t>
              <w:tab/>
            </w:r>
            <w:r>
              <w:rPr>
                <w:rFonts w:ascii="Times New Roman" w:eastAsia="Times New Roman"/>
              </w:rPr>
              <w:t>34</w:t>
            </w:r>
          </w:hyperlink>
        </w:p>
        <w:p>
          <w:pPr>
            <w:pStyle w:val="TOC4"/>
            <w:numPr>
              <w:ilvl w:val="0"/>
              <w:numId w:val="6"/>
            </w:numPr>
            <w:tabs>
              <w:tab w:pos="1284" w:val="left" w:leader="none"/>
              <w:tab w:pos="8866" w:val="right" w:leader="dot"/>
            </w:tabs>
            <w:spacing w:line="240" w:lineRule="auto" w:before="161" w:after="0"/>
            <w:ind w:left="1283" w:right="0" w:hanging="242"/>
            <w:jc w:val="left"/>
            <w:rPr>
              <w:sz w:val="22"/>
            </w:rPr>
          </w:pPr>
          <w:hyperlink w:history="true" w:anchor="_bookmark40">
            <w:r>
              <w:rPr/>
              <w:t>促进国家物流枢纽军民融合发展</w:t>
              <w:tab/>
            </w:r>
            <w:r>
              <w:rPr>
                <w:rFonts w:ascii="Times New Roman" w:eastAsia="Times New Roman"/>
              </w:rPr>
              <w:t>34</w:t>
            </w:r>
          </w:hyperlink>
        </w:p>
        <w:p>
          <w:pPr>
            <w:pStyle w:val="TOC3"/>
            <w:tabs>
              <w:tab w:pos="8866" w:val="right" w:leader="dot"/>
            </w:tabs>
            <w:spacing w:before="160"/>
            <w:rPr>
              <w:rFonts w:ascii="Times New Roman" w:eastAsia="Times New Roman"/>
            </w:rPr>
          </w:pPr>
          <w:hyperlink w:history="true" w:anchor="_bookmark41">
            <w:r>
              <w:rPr/>
              <w:t>（二）加快交通物流重大基础设施建设</w:t>
              <w:tab/>
            </w:r>
            <w:r>
              <w:rPr>
                <w:rFonts w:ascii="Times New Roman" w:eastAsia="Times New Roman"/>
              </w:rPr>
              <w:t>34</w:t>
            </w:r>
          </w:hyperlink>
        </w:p>
        <w:p>
          <w:pPr>
            <w:pStyle w:val="TOC4"/>
            <w:numPr>
              <w:ilvl w:val="0"/>
              <w:numId w:val="7"/>
            </w:numPr>
            <w:tabs>
              <w:tab w:pos="1284" w:val="left" w:leader="none"/>
              <w:tab w:pos="8866" w:val="right" w:leader="dot"/>
            </w:tabs>
            <w:spacing w:line="240" w:lineRule="auto" w:before="158" w:after="0"/>
            <w:ind w:left="1283" w:right="0" w:hanging="242"/>
            <w:jc w:val="left"/>
            <w:rPr>
              <w:rFonts w:ascii="Times New Roman" w:eastAsia="Times New Roman"/>
            </w:rPr>
          </w:pPr>
          <w:hyperlink w:history="true" w:anchor="_bookmark42">
            <w:r>
              <w:rPr/>
              <w:t>加快物流园区建设与综合提升</w:t>
              <w:tab/>
            </w:r>
            <w:r>
              <w:rPr>
                <w:rFonts w:ascii="Times New Roman" w:eastAsia="Times New Roman"/>
              </w:rPr>
              <w:t>34</w:t>
            </w:r>
          </w:hyperlink>
        </w:p>
        <w:p>
          <w:pPr>
            <w:pStyle w:val="TOC4"/>
            <w:numPr>
              <w:ilvl w:val="0"/>
              <w:numId w:val="7"/>
            </w:numPr>
            <w:tabs>
              <w:tab w:pos="1284" w:val="left" w:leader="none"/>
              <w:tab w:pos="8866" w:val="right" w:leader="dot"/>
            </w:tabs>
            <w:spacing w:line="240" w:lineRule="auto" w:before="161" w:after="0"/>
            <w:ind w:left="1283" w:right="0" w:hanging="242"/>
            <w:jc w:val="left"/>
            <w:rPr>
              <w:rFonts w:ascii="Times New Roman" w:eastAsia="Times New Roman"/>
            </w:rPr>
          </w:pPr>
          <w:hyperlink w:history="true" w:anchor="_bookmark43">
            <w:r>
              <w:rPr/>
              <w:t>构建完善物流干线通道网络</w:t>
              <w:tab/>
            </w:r>
            <w:r>
              <w:rPr>
                <w:rFonts w:ascii="Times New Roman" w:eastAsia="Times New Roman"/>
              </w:rPr>
              <w:t>36</w:t>
            </w:r>
          </w:hyperlink>
        </w:p>
        <w:p>
          <w:pPr>
            <w:pStyle w:val="TOC3"/>
            <w:tabs>
              <w:tab w:pos="8866" w:val="right" w:leader="dot"/>
            </w:tabs>
            <w:rPr>
              <w:rFonts w:ascii="Times New Roman" w:eastAsia="Times New Roman"/>
            </w:rPr>
          </w:pPr>
          <w:hyperlink w:history="true" w:anchor="_bookmark44">
            <w:r>
              <w:rPr/>
              <w:t>（三）促进物流与制造业高效融合发展</w:t>
              <w:tab/>
            </w:r>
            <w:r>
              <w:rPr>
                <w:rFonts w:ascii="Times New Roman" w:eastAsia="Times New Roman"/>
              </w:rPr>
              <w:t>37</w:t>
            </w:r>
          </w:hyperlink>
        </w:p>
        <w:p>
          <w:pPr>
            <w:pStyle w:val="TOC3"/>
            <w:tabs>
              <w:tab w:pos="8866" w:val="right" w:leader="dot"/>
            </w:tabs>
            <w:rPr>
              <w:rFonts w:ascii="Times New Roman" w:eastAsia="Times New Roman"/>
            </w:rPr>
          </w:pPr>
          <w:hyperlink w:history="true" w:anchor="_bookmark45">
            <w:r>
              <w:rPr/>
              <w:t>（四）努力构建国际商贸物流新格局</w:t>
              <w:tab/>
            </w:r>
            <w:r>
              <w:rPr>
                <w:rFonts w:ascii="Times New Roman" w:eastAsia="Times New Roman"/>
              </w:rPr>
              <w:t>39</w:t>
            </w:r>
          </w:hyperlink>
        </w:p>
        <w:p>
          <w:pPr>
            <w:pStyle w:val="TOC4"/>
            <w:numPr>
              <w:ilvl w:val="0"/>
              <w:numId w:val="8"/>
            </w:numPr>
            <w:tabs>
              <w:tab w:pos="1284" w:val="left" w:leader="none"/>
              <w:tab w:pos="8866" w:val="right" w:leader="dot"/>
            </w:tabs>
            <w:spacing w:line="240" w:lineRule="auto" w:before="161" w:after="0"/>
            <w:ind w:left="1283" w:right="0" w:hanging="242"/>
            <w:jc w:val="left"/>
            <w:rPr>
              <w:rFonts w:ascii="Times New Roman" w:eastAsia="Times New Roman"/>
            </w:rPr>
          </w:pPr>
          <w:hyperlink w:history="true" w:anchor="_bookmark46">
            <w:r>
              <w:rPr/>
              <w:t>加快国际物流基础设施建设</w:t>
              <w:tab/>
            </w:r>
            <w:r>
              <w:rPr>
                <w:rFonts w:ascii="Times New Roman" w:eastAsia="Times New Roman"/>
              </w:rPr>
              <w:t>39</w:t>
            </w:r>
          </w:hyperlink>
        </w:p>
        <w:p>
          <w:pPr>
            <w:pStyle w:val="TOC4"/>
            <w:numPr>
              <w:ilvl w:val="0"/>
              <w:numId w:val="8"/>
            </w:numPr>
            <w:tabs>
              <w:tab w:pos="1284" w:val="left" w:leader="none"/>
              <w:tab w:pos="8866" w:val="right" w:leader="dot"/>
            </w:tabs>
            <w:spacing w:line="240" w:lineRule="auto" w:before="160" w:after="0"/>
            <w:ind w:left="1283" w:right="0" w:hanging="242"/>
            <w:jc w:val="left"/>
            <w:rPr>
              <w:rFonts w:ascii="Times New Roman" w:eastAsia="Times New Roman"/>
            </w:rPr>
          </w:pPr>
          <w:hyperlink w:history="true" w:anchor="_bookmark47">
            <w:r>
              <w:rPr/>
              <w:t>提升国际物流综合服务水平</w:t>
              <w:tab/>
            </w:r>
            <w:r>
              <w:rPr>
                <w:rFonts w:ascii="Times New Roman" w:eastAsia="Times New Roman"/>
              </w:rPr>
              <w:t>41</w:t>
            </w:r>
          </w:hyperlink>
        </w:p>
        <w:p>
          <w:pPr>
            <w:pStyle w:val="TOC3"/>
            <w:tabs>
              <w:tab w:pos="8866" w:val="right" w:leader="dot"/>
            </w:tabs>
            <w:rPr>
              <w:rFonts w:ascii="Times New Roman" w:eastAsia="Times New Roman"/>
            </w:rPr>
          </w:pPr>
          <w:hyperlink w:history="true" w:anchor="_bookmark48">
            <w:r>
              <w:rPr/>
              <w:t>（五）推动电商快递物流集聚发展</w:t>
              <w:tab/>
            </w:r>
            <w:r>
              <w:rPr>
                <w:rFonts w:ascii="Times New Roman" w:eastAsia="Times New Roman"/>
              </w:rPr>
              <w:t>42</w:t>
            </w:r>
          </w:hyperlink>
        </w:p>
        <w:p>
          <w:pPr>
            <w:pStyle w:val="TOC4"/>
            <w:numPr>
              <w:ilvl w:val="0"/>
              <w:numId w:val="9"/>
            </w:numPr>
            <w:tabs>
              <w:tab w:pos="1284" w:val="left" w:leader="none"/>
              <w:tab w:pos="8866" w:val="right" w:leader="dot"/>
            </w:tabs>
            <w:spacing w:line="240" w:lineRule="auto" w:before="161" w:after="0"/>
            <w:ind w:left="1283" w:right="0" w:hanging="242"/>
            <w:jc w:val="left"/>
            <w:rPr>
              <w:rFonts w:ascii="Times New Roman" w:eastAsia="Times New Roman"/>
            </w:rPr>
          </w:pPr>
          <w:hyperlink w:history="true" w:anchor="_bookmark49">
            <w:r>
              <w:rPr/>
              <w:t>支持快递专业类物流园区建设</w:t>
              <w:tab/>
            </w:r>
            <w:r>
              <w:rPr>
                <w:rFonts w:ascii="Times New Roman" w:eastAsia="Times New Roman"/>
              </w:rPr>
              <w:t>42</w:t>
            </w:r>
          </w:hyperlink>
        </w:p>
        <w:p>
          <w:pPr>
            <w:pStyle w:val="TOC4"/>
            <w:numPr>
              <w:ilvl w:val="0"/>
              <w:numId w:val="9"/>
            </w:numPr>
            <w:tabs>
              <w:tab w:pos="1284" w:val="left" w:leader="none"/>
              <w:tab w:pos="8866" w:val="right" w:leader="dot"/>
            </w:tabs>
            <w:spacing w:line="240" w:lineRule="auto" w:before="158" w:after="0"/>
            <w:ind w:left="1283" w:right="0" w:hanging="242"/>
            <w:jc w:val="left"/>
            <w:rPr>
              <w:rFonts w:ascii="Times New Roman" w:eastAsia="Times New Roman"/>
            </w:rPr>
          </w:pPr>
          <w:hyperlink w:history="true" w:anchor="_bookmark50">
            <w:r>
              <w:rPr/>
              <w:t>鼓励快递企业设立区域性集疏分拨中心</w:t>
              <w:tab/>
            </w:r>
            <w:r>
              <w:rPr>
                <w:rFonts w:ascii="Times New Roman" w:eastAsia="Times New Roman"/>
              </w:rPr>
              <w:t>43</w:t>
            </w:r>
          </w:hyperlink>
        </w:p>
        <w:p>
          <w:pPr>
            <w:pStyle w:val="TOC4"/>
            <w:numPr>
              <w:ilvl w:val="0"/>
              <w:numId w:val="9"/>
            </w:numPr>
            <w:tabs>
              <w:tab w:pos="1284" w:val="left" w:leader="none"/>
              <w:tab w:pos="8866" w:val="right" w:leader="dot"/>
            </w:tabs>
            <w:spacing w:line="240" w:lineRule="auto" w:before="160" w:after="0"/>
            <w:ind w:left="1283" w:right="0" w:hanging="242"/>
            <w:jc w:val="left"/>
            <w:rPr>
              <w:rFonts w:ascii="Times New Roman" w:eastAsia="Times New Roman"/>
            </w:rPr>
          </w:pPr>
          <w:hyperlink w:history="true" w:anchor="_bookmark51">
            <w:r>
              <w:rPr/>
              <w:t>推动快递与农村电子商务融合发展</w:t>
              <w:tab/>
            </w:r>
            <w:r>
              <w:rPr>
                <w:rFonts w:ascii="Times New Roman" w:eastAsia="Times New Roman"/>
              </w:rPr>
              <w:t>43</w:t>
            </w:r>
          </w:hyperlink>
        </w:p>
        <w:p>
          <w:pPr>
            <w:pStyle w:val="TOC3"/>
            <w:tabs>
              <w:tab w:pos="8866" w:val="right" w:leader="dot"/>
            </w:tabs>
            <w:spacing w:before="161"/>
            <w:rPr>
              <w:rFonts w:ascii="Times New Roman" w:eastAsia="Times New Roman"/>
            </w:rPr>
          </w:pPr>
          <w:hyperlink w:history="true" w:anchor="_bookmark52">
            <w:r>
              <w:rPr/>
              <w:t>（六）构建完善冷链物流服务体系</w:t>
              <w:tab/>
            </w:r>
            <w:r>
              <w:rPr>
                <w:rFonts w:ascii="Times New Roman" w:eastAsia="Times New Roman"/>
              </w:rPr>
              <w:t>45</w:t>
            </w:r>
          </w:hyperlink>
        </w:p>
        <w:p>
          <w:pPr>
            <w:pStyle w:val="TOC4"/>
            <w:numPr>
              <w:ilvl w:val="0"/>
              <w:numId w:val="10"/>
            </w:numPr>
            <w:tabs>
              <w:tab w:pos="1284" w:val="left" w:leader="none"/>
              <w:tab w:pos="8866" w:val="right" w:leader="dot"/>
            </w:tabs>
            <w:spacing w:line="240" w:lineRule="auto" w:before="158" w:after="0"/>
            <w:ind w:left="1283" w:right="0" w:hanging="242"/>
            <w:jc w:val="left"/>
            <w:rPr>
              <w:rFonts w:ascii="Times New Roman" w:eastAsia="Times New Roman"/>
            </w:rPr>
          </w:pPr>
          <w:hyperlink w:history="true" w:anchor="_bookmark53">
            <w:r>
              <w:rPr/>
              <w:t>建设区域性冷链物流枢纽</w:t>
              <w:tab/>
            </w:r>
            <w:r>
              <w:rPr>
                <w:rFonts w:ascii="Times New Roman" w:eastAsia="Times New Roman"/>
              </w:rPr>
              <w:t>45</w:t>
            </w:r>
          </w:hyperlink>
        </w:p>
        <w:p>
          <w:pPr>
            <w:pStyle w:val="TOC4"/>
            <w:numPr>
              <w:ilvl w:val="0"/>
              <w:numId w:val="10"/>
            </w:numPr>
            <w:tabs>
              <w:tab w:pos="1284" w:val="left" w:leader="none"/>
              <w:tab w:pos="8866" w:val="right" w:leader="dot"/>
            </w:tabs>
            <w:spacing w:line="240" w:lineRule="auto" w:before="158" w:after="0"/>
            <w:ind w:left="1283" w:right="0" w:hanging="242"/>
            <w:jc w:val="left"/>
            <w:rPr>
              <w:rFonts w:ascii="Times New Roman" w:eastAsia="Times New Roman"/>
            </w:rPr>
          </w:pPr>
          <w:hyperlink w:history="true" w:anchor="_bookmark54">
            <w:r>
              <w:rPr/>
              <w:t>促进农产品冷链物流突破发展</w:t>
              <w:tab/>
            </w:r>
            <w:r>
              <w:rPr>
                <w:rFonts w:ascii="Times New Roman" w:eastAsia="Times New Roman"/>
              </w:rPr>
              <w:t>45</w:t>
            </w:r>
          </w:hyperlink>
        </w:p>
        <w:p>
          <w:pPr>
            <w:pStyle w:val="TOC4"/>
            <w:numPr>
              <w:ilvl w:val="0"/>
              <w:numId w:val="10"/>
            </w:numPr>
            <w:tabs>
              <w:tab w:pos="1284" w:val="left" w:leader="none"/>
              <w:tab w:pos="8866" w:val="right" w:leader="dot"/>
            </w:tabs>
            <w:spacing w:line="240" w:lineRule="auto" w:before="160" w:after="0"/>
            <w:ind w:left="1283" w:right="0" w:hanging="242"/>
            <w:jc w:val="left"/>
            <w:rPr>
              <w:rFonts w:ascii="Times New Roman" w:eastAsia="Times New Roman"/>
            </w:rPr>
          </w:pPr>
          <w:hyperlink w:history="true" w:anchor="_bookmark55">
            <w:r>
              <w:rPr/>
              <w:t>促进冷链物流与产业联动发展</w:t>
              <w:tab/>
            </w:r>
            <w:r>
              <w:rPr>
                <w:rFonts w:ascii="Times New Roman" w:eastAsia="Times New Roman"/>
              </w:rPr>
              <w:t>46</w:t>
            </w:r>
          </w:hyperlink>
        </w:p>
        <w:p>
          <w:pPr>
            <w:pStyle w:val="TOC3"/>
            <w:tabs>
              <w:tab w:pos="8866" w:val="right" w:leader="dot"/>
            </w:tabs>
            <w:spacing w:after="240"/>
            <w:rPr>
              <w:rFonts w:ascii="Times New Roman" w:eastAsia="Times New Roman"/>
            </w:rPr>
          </w:pPr>
          <w:hyperlink w:history="true" w:anchor="_bookmark56">
            <w:r>
              <w:rPr/>
              <w:t>（七）创新运输组织方式</w:t>
              <w:tab/>
            </w:r>
            <w:r>
              <w:rPr>
                <w:rFonts w:ascii="Times New Roman" w:eastAsia="Times New Roman"/>
              </w:rPr>
              <w:t>48</w:t>
            </w:r>
          </w:hyperlink>
        </w:p>
        <w:p>
          <w:pPr>
            <w:pStyle w:val="TOC4"/>
            <w:numPr>
              <w:ilvl w:val="0"/>
              <w:numId w:val="11"/>
            </w:numPr>
            <w:tabs>
              <w:tab w:pos="1284" w:val="left" w:leader="none"/>
              <w:tab w:pos="8866" w:val="right" w:leader="dot"/>
            </w:tabs>
            <w:spacing w:line="240" w:lineRule="auto" w:before="61" w:after="0"/>
            <w:ind w:left="1283" w:right="0" w:hanging="242"/>
            <w:jc w:val="left"/>
            <w:rPr>
              <w:rFonts w:ascii="Times New Roman" w:eastAsia="Times New Roman"/>
            </w:rPr>
          </w:pPr>
          <w:hyperlink w:history="true" w:anchor="_bookmark57">
            <w:r>
              <w:rPr/>
              <w:t>建设完善多式联运体系</w:t>
              <w:tab/>
            </w:r>
            <w:r>
              <w:rPr>
                <w:rFonts w:ascii="Times New Roman" w:eastAsia="Times New Roman"/>
              </w:rPr>
              <w:t>48</w:t>
            </w:r>
          </w:hyperlink>
        </w:p>
        <w:p>
          <w:pPr>
            <w:pStyle w:val="TOC4"/>
            <w:numPr>
              <w:ilvl w:val="0"/>
              <w:numId w:val="11"/>
            </w:numPr>
            <w:tabs>
              <w:tab w:pos="1284" w:val="left" w:leader="none"/>
              <w:tab w:pos="8866" w:val="right" w:leader="dot"/>
            </w:tabs>
            <w:spacing w:line="240" w:lineRule="auto" w:before="158" w:after="0"/>
            <w:ind w:left="1283" w:right="0" w:hanging="242"/>
            <w:jc w:val="left"/>
            <w:rPr>
              <w:rFonts w:ascii="Times New Roman" w:eastAsia="Times New Roman"/>
            </w:rPr>
          </w:pPr>
          <w:hyperlink w:history="true" w:anchor="_bookmark58">
            <w:r>
              <w:rPr/>
              <w:t>提升城乡物流配送网络</w:t>
              <w:tab/>
            </w:r>
            <w:r>
              <w:rPr>
                <w:rFonts w:ascii="Times New Roman" w:eastAsia="Times New Roman"/>
              </w:rPr>
              <w:t>49</w:t>
            </w:r>
          </w:hyperlink>
        </w:p>
        <w:p>
          <w:pPr>
            <w:pStyle w:val="TOC3"/>
            <w:tabs>
              <w:tab w:pos="8866" w:val="right" w:leader="dot"/>
            </w:tabs>
            <w:spacing w:before="161"/>
            <w:rPr>
              <w:rFonts w:ascii="Times New Roman" w:eastAsia="Times New Roman"/>
            </w:rPr>
          </w:pPr>
          <w:hyperlink w:history="true" w:anchor="_bookmark59">
            <w:r>
              <w:rPr/>
              <w:t>（八）加快发展智慧物流</w:t>
              <w:tab/>
            </w:r>
            <w:r>
              <w:rPr>
                <w:rFonts w:ascii="Times New Roman" w:eastAsia="Times New Roman"/>
              </w:rPr>
              <w:t>51</w:t>
            </w:r>
          </w:hyperlink>
        </w:p>
        <w:p>
          <w:pPr>
            <w:pStyle w:val="TOC4"/>
            <w:numPr>
              <w:ilvl w:val="0"/>
              <w:numId w:val="12"/>
            </w:numPr>
            <w:tabs>
              <w:tab w:pos="1284" w:val="left" w:leader="none"/>
              <w:tab w:pos="8866" w:val="right" w:leader="dot"/>
            </w:tabs>
            <w:spacing w:line="240" w:lineRule="auto" w:before="158" w:after="0"/>
            <w:ind w:left="1283" w:right="0" w:hanging="242"/>
            <w:jc w:val="left"/>
            <w:rPr>
              <w:rFonts w:ascii="Times New Roman" w:eastAsia="Times New Roman"/>
            </w:rPr>
          </w:pPr>
          <w:hyperlink w:history="true" w:anchor="_bookmark60">
            <w:r>
              <w:rPr/>
              <w:t>构建智慧物流发展体系</w:t>
              <w:tab/>
            </w:r>
            <w:r>
              <w:rPr>
                <w:rFonts w:ascii="Times New Roman" w:eastAsia="Times New Roman"/>
              </w:rPr>
              <w:t>51</w:t>
            </w:r>
          </w:hyperlink>
        </w:p>
        <w:p>
          <w:pPr>
            <w:pStyle w:val="TOC4"/>
            <w:numPr>
              <w:ilvl w:val="0"/>
              <w:numId w:val="12"/>
            </w:numPr>
            <w:tabs>
              <w:tab w:pos="1284" w:val="left" w:leader="none"/>
              <w:tab w:pos="8866" w:val="right" w:leader="dot"/>
            </w:tabs>
            <w:spacing w:line="240" w:lineRule="auto" w:before="160" w:after="0"/>
            <w:ind w:left="1283" w:right="0" w:hanging="242"/>
            <w:jc w:val="left"/>
            <w:rPr>
              <w:rFonts w:ascii="Times New Roman" w:eastAsia="Times New Roman"/>
            </w:rPr>
          </w:pPr>
          <w:hyperlink w:history="true" w:anchor="_bookmark61">
            <w:r>
              <w:rPr/>
              <w:t>优化信息基础设施</w:t>
              <w:tab/>
            </w:r>
            <w:r>
              <w:rPr>
                <w:rFonts w:ascii="Times New Roman" w:eastAsia="Times New Roman"/>
              </w:rPr>
              <w:t>51</w:t>
            </w:r>
          </w:hyperlink>
        </w:p>
        <w:p>
          <w:pPr>
            <w:pStyle w:val="TOC4"/>
            <w:numPr>
              <w:ilvl w:val="0"/>
              <w:numId w:val="12"/>
            </w:numPr>
            <w:tabs>
              <w:tab w:pos="1284" w:val="left" w:leader="none"/>
              <w:tab w:pos="8866" w:val="right" w:leader="dot"/>
            </w:tabs>
            <w:spacing w:line="240" w:lineRule="auto" w:before="158" w:after="0"/>
            <w:ind w:left="1283" w:right="0" w:hanging="242"/>
            <w:jc w:val="left"/>
            <w:rPr>
              <w:rFonts w:ascii="Times New Roman" w:eastAsia="Times New Roman"/>
            </w:rPr>
          </w:pPr>
          <w:hyperlink w:history="true" w:anchor="_bookmark62">
            <w:r>
              <w:rPr/>
              <w:t>推广应用先进设施设备</w:t>
              <w:tab/>
            </w:r>
            <w:r>
              <w:rPr>
                <w:rFonts w:ascii="Times New Roman" w:eastAsia="Times New Roman"/>
              </w:rPr>
              <w:t>52</w:t>
            </w:r>
          </w:hyperlink>
        </w:p>
        <w:p>
          <w:pPr>
            <w:pStyle w:val="TOC4"/>
            <w:numPr>
              <w:ilvl w:val="0"/>
              <w:numId w:val="12"/>
            </w:numPr>
            <w:tabs>
              <w:tab w:pos="1284" w:val="left" w:leader="none"/>
              <w:tab w:pos="8866" w:val="right" w:leader="dot"/>
            </w:tabs>
            <w:spacing w:line="240" w:lineRule="auto" w:before="161" w:after="0"/>
            <w:ind w:left="1283" w:right="0" w:hanging="242"/>
            <w:jc w:val="left"/>
            <w:rPr>
              <w:rFonts w:ascii="Times New Roman" w:eastAsia="Times New Roman"/>
            </w:rPr>
          </w:pPr>
          <w:hyperlink w:history="true" w:anchor="_bookmark63">
            <w:r>
              <w:rPr/>
              <w:t>打造智慧物流园区</w:t>
              <w:tab/>
            </w:r>
            <w:r>
              <w:rPr>
                <w:rFonts w:ascii="Times New Roman" w:eastAsia="Times New Roman"/>
              </w:rPr>
              <w:t>52</w:t>
            </w:r>
          </w:hyperlink>
        </w:p>
        <w:p>
          <w:pPr>
            <w:pStyle w:val="TOC4"/>
            <w:numPr>
              <w:ilvl w:val="0"/>
              <w:numId w:val="12"/>
            </w:numPr>
            <w:tabs>
              <w:tab w:pos="1284" w:val="left" w:leader="none"/>
              <w:tab w:pos="8866" w:val="right" w:leader="dot"/>
            </w:tabs>
            <w:spacing w:line="240" w:lineRule="auto" w:before="158" w:after="0"/>
            <w:ind w:left="1283" w:right="0" w:hanging="242"/>
            <w:jc w:val="left"/>
            <w:rPr>
              <w:rFonts w:ascii="Times New Roman" w:eastAsia="Times New Roman"/>
            </w:rPr>
          </w:pPr>
          <w:hyperlink w:history="true" w:anchor="_bookmark64">
            <w:r>
              <w:rPr/>
              <w:t>建设物流信息公共服务平台</w:t>
              <w:tab/>
            </w:r>
            <w:r>
              <w:rPr>
                <w:rFonts w:ascii="Times New Roman" w:eastAsia="Times New Roman"/>
              </w:rPr>
              <w:t>52</w:t>
            </w:r>
          </w:hyperlink>
        </w:p>
        <w:p>
          <w:pPr>
            <w:pStyle w:val="TOC3"/>
            <w:tabs>
              <w:tab w:pos="8866" w:val="right" w:leader="dot"/>
            </w:tabs>
            <w:spacing w:before="160"/>
            <w:rPr>
              <w:rFonts w:ascii="Times New Roman" w:eastAsia="Times New Roman"/>
            </w:rPr>
          </w:pPr>
          <w:hyperlink w:history="true" w:anchor="_bookmark65">
            <w:r>
              <w:rPr/>
              <w:t>（九）打造特色鲜明的枢纽经济</w:t>
              <w:tab/>
            </w:r>
            <w:r>
              <w:rPr>
                <w:rFonts w:ascii="Times New Roman" w:eastAsia="Times New Roman"/>
              </w:rPr>
              <w:t>54</w:t>
            </w:r>
          </w:hyperlink>
        </w:p>
        <w:p>
          <w:pPr>
            <w:pStyle w:val="TOC3"/>
            <w:tabs>
              <w:tab w:pos="8866" w:val="right" w:leader="dot"/>
            </w:tabs>
            <w:spacing w:before="159"/>
            <w:rPr>
              <w:rFonts w:ascii="Times New Roman" w:eastAsia="Times New Roman"/>
            </w:rPr>
          </w:pPr>
          <w:hyperlink w:history="true" w:anchor="_bookmark66">
            <w:r>
              <w:rPr/>
              <w:t>（十）培育壮大物流企业</w:t>
              <w:tab/>
            </w:r>
            <w:r>
              <w:rPr>
                <w:rFonts w:ascii="Times New Roman" w:eastAsia="Times New Roman"/>
              </w:rPr>
              <w:t>56</w:t>
            </w:r>
          </w:hyperlink>
        </w:p>
        <w:p>
          <w:pPr>
            <w:pStyle w:val="TOC2"/>
            <w:tabs>
              <w:tab w:pos="8866" w:val="right" w:leader="dot"/>
            </w:tabs>
            <w:spacing w:before="160"/>
            <w:rPr>
              <w:rFonts w:ascii="Times New Roman" w:eastAsia="Times New Roman"/>
            </w:rPr>
          </w:pPr>
          <w:hyperlink w:history="true" w:anchor="_bookmark67">
            <w:r>
              <w:rPr/>
              <w:t>五、保障措施</w:t>
              <w:tab/>
            </w:r>
            <w:r>
              <w:rPr>
                <w:rFonts w:ascii="Times New Roman" w:eastAsia="Times New Roman"/>
              </w:rPr>
              <w:t>56</w:t>
            </w:r>
          </w:hyperlink>
        </w:p>
        <w:p>
          <w:pPr>
            <w:pStyle w:val="TOC3"/>
            <w:tabs>
              <w:tab w:pos="8866" w:val="right" w:leader="dot"/>
            </w:tabs>
            <w:rPr>
              <w:rFonts w:ascii="Times New Roman" w:eastAsia="Times New Roman"/>
            </w:rPr>
          </w:pPr>
          <w:hyperlink w:history="true" w:anchor="_bookmark68">
            <w:r>
              <w:rPr/>
              <w:t>（一）强化组织实施</w:t>
              <w:tab/>
            </w:r>
            <w:r>
              <w:rPr>
                <w:rFonts w:ascii="Times New Roman" w:eastAsia="Times New Roman"/>
              </w:rPr>
              <w:t>56</w:t>
            </w:r>
          </w:hyperlink>
        </w:p>
        <w:p>
          <w:pPr>
            <w:pStyle w:val="TOC3"/>
            <w:tabs>
              <w:tab w:pos="8866" w:val="right" w:leader="dot"/>
            </w:tabs>
            <w:spacing w:before="161"/>
            <w:rPr>
              <w:rFonts w:ascii="Times New Roman" w:eastAsia="Times New Roman"/>
            </w:rPr>
          </w:pPr>
          <w:hyperlink w:history="true" w:anchor="_bookmark69">
            <w:r>
              <w:rPr/>
              <w:t>（二）加强要素保障</w:t>
              <w:tab/>
            </w:r>
            <w:r>
              <w:rPr>
                <w:rFonts w:ascii="Times New Roman" w:eastAsia="Times New Roman"/>
              </w:rPr>
              <w:t>57</w:t>
            </w:r>
          </w:hyperlink>
        </w:p>
        <w:p>
          <w:pPr>
            <w:pStyle w:val="TOC3"/>
            <w:tabs>
              <w:tab w:pos="8866" w:val="right" w:leader="dot"/>
            </w:tabs>
            <w:spacing w:before="160"/>
            <w:rPr>
              <w:rFonts w:ascii="Times New Roman" w:eastAsia="Times New Roman"/>
            </w:rPr>
          </w:pPr>
          <w:hyperlink w:history="true" w:anchor="_bookmark70">
            <w:r>
              <w:rPr/>
              <w:t>（三）优化发展环境</w:t>
              <w:tab/>
            </w:r>
            <w:r>
              <w:rPr>
                <w:rFonts w:ascii="Times New Roman" w:eastAsia="Times New Roman"/>
              </w:rPr>
              <w:t>58</w:t>
            </w:r>
          </w:hyperlink>
        </w:p>
        <w:p>
          <w:pPr>
            <w:pStyle w:val="TOC3"/>
            <w:tabs>
              <w:tab w:pos="8866" w:val="right" w:leader="dot"/>
            </w:tabs>
            <w:rPr>
              <w:rFonts w:ascii="Times New Roman" w:eastAsia="Times New Roman"/>
            </w:rPr>
          </w:pPr>
          <w:hyperlink w:history="true" w:anchor="_bookmark71">
            <w:r>
              <w:rPr/>
              <w:t>（四）推动降本增效</w:t>
              <w:tab/>
            </w:r>
            <w:r>
              <w:rPr>
                <w:rFonts w:ascii="Times New Roman" w:eastAsia="Times New Roman"/>
              </w:rPr>
              <w:t>60</w:t>
            </w:r>
          </w:hyperlink>
        </w:p>
        <w:p>
          <w:pPr>
            <w:pStyle w:val="TOC3"/>
            <w:tabs>
              <w:tab w:pos="8866" w:val="right" w:leader="dot"/>
            </w:tabs>
            <w:spacing w:before="161"/>
            <w:rPr>
              <w:rFonts w:ascii="Times New Roman" w:eastAsia="Times New Roman"/>
            </w:rPr>
          </w:pPr>
          <w:hyperlink w:history="true" w:anchor="_bookmark72">
            <w:r>
              <w:rPr/>
              <w:t>（五）强化监测考核</w:t>
              <w:tab/>
            </w:r>
            <w:r>
              <w:rPr>
                <w:rFonts w:ascii="Times New Roman" w:eastAsia="Times New Roman"/>
              </w:rPr>
              <w:t>61</w:t>
            </w:r>
          </w:hyperlink>
        </w:p>
      </w:sdtContent>
    </w:sdt>
    <w:p>
      <w:pPr>
        <w:spacing w:after="0"/>
        <w:rPr>
          <w:rFonts w:ascii="Times New Roman" w:eastAsia="Times New Roman"/>
        </w:rPr>
        <w:sectPr>
          <w:type w:val="continuous"/>
          <w:pgSz w:w="11910" w:h="16840"/>
          <w:pgMar w:top="1420" w:bottom="1605" w:left="1240" w:right="1220"/>
        </w:sectPr>
      </w:pPr>
    </w:p>
    <w:p>
      <w:pPr>
        <w:pStyle w:val="BodyText"/>
        <w:spacing w:before="43"/>
        <w:ind w:left="635" w:right="17"/>
        <w:jc w:val="center"/>
        <w:rPr>
          <w:rFonts w:ascii="黑体" w:eastAsia="黑体" w:hint="eastAsia"/>
        </w:rPr>
      </w:pPr>
      <w:bookmarkStart w:name="前 言" w:id="1"/>
      <w:bookmarkEnd w:id="1"/>
      <w:r>
        <w:rPr/>
      </w:r>
      <w:bookmarkStart w:name="_bookmark0" w:id="2"/>
      <w:bookmarkEnd w:id="2"/>
      <w:r>
        <w:rPr/>
      </w:r>
      <w:r>
        <w:rPr>
          <w:rFonts w:ascii="黑体" w:eastAsia="黑体" w:hint="eastAsia"/>
        </w:rPr>
        <w:t>前 言</w:t>
      </w:r>
    </w:p>
    <w:p>
      <w:pPr>
        <w:pStyle w:val="BodyText"/>
        <w:spacing w:before="11"/>
        <w:ind w:left="0"/>
        <w:rPr>
          <w:rFonts w:ascii="黑体"/>
          <w:sz w:val="25"/>
        </w:rPr>
      </w:pPr>
    </w:p>
    <w:p>
      <w:pPr>
        <w:pStyle w:val="BodyText"/>
        <w:spacing w:line="364" w:lineRule="auto"/>
        <w:ind w:right="419" w:firstLine="640"/>
      </w:pPr>
      <w:r>
        <w:rPr>
          <w:spacing w:val="-3"/>
        </w:rPr>
        <w:t>物流业是融合运输、仓储、货代、流通加工、信息、金融等产业的复合型服务业，是支撑国民经济发展的基础性、</w:t>
      </w:r>
      <w:r>
        <w:rPr>
          <w:spacing w:val="-14"/>
          <w:w w:val="95"/>
        </w:rPr>
        <w:t>战略性、先导性产业。物流枢纽是集中实现货物集散、存储、 </w:t>
      </w:r>
      <w:r>
        <w:rPr>
          <w:spacing w:val="-14"/>
        </w:rPr>
        <w:t>分拨、转运等多种功能的物流设施群和物流活动组织中心。</w:t>
      </w:r>
      <w:r>
        <w:rPr>
          <w:spacing w:val="11"/>
        </w:rPr>
        <w:t>国家物流枢纽是物流体系的核心基础设施，是辐射区域更</w:t>
      </w:r>
      <w:r>
        <w:rPr>
          <w:spacing w:val="-2"/>
        </w:rPr>
        <w:t>广、集聚效应更强、服务功能更优、运行效率更高的综合性</w:t>
      </w:r>
      <w:r>
        <w:rPr>
          <w:spacing w:val="-4"/>
        </w:rPr>
        <w:t>物流枢纽，在全国物流网络中发挥关键节点、重要平台和骨干枢纽的作用。</w:t>
      </w:r>
    </w:p>
    <w:p>
      <w:pPr>
        <w:pStyle w:val="BodyText"/>
        <w:spacing w:line="364" w:lineRule="auto" w:before="114"/>
        <w:ind w:right="577" w:firstLine="640"/>
        <w:jc w:val="both"/>
      </w:pPr>
      <w:r>
        <w:rPr/>
        <w:t>2018</w:t>
      </w:r>
      <w:r>
        <w:rPr>
          <w:spacing w:val="-54"/>
        </w:rPr>
        <w:t> 年 </w:t>
      </w:r>
      <w:r>
        <w:rPr/>
        <w:t>12</w:t>
      </w:r>
      <w:r>
        <w:rPr>
          <w:spacing w:val="-7"/>
        </w:rPr>
        <w:t> 月下旬，经国务院同意，国家发展改革委和</w:t>
      </w:r>
      <w:r>
        <w:rPr>
          <w:spacing w:val="-14"/>
          <w:w w:val="95"/>
        </w:rPr>
        <w:t>交通运输部联合印发了《国家物流枢纽布局和建设规划</w:t>
      </w:r>
      <w:r>
        <w:rPr>
          <w:spacing w:val="-221"/>
          <w:w w:val="95"/>
        </w:rPr>
        <w:t>》</w:t>
      </w:r>
      <w:r>
        <w:rPr>
          <w:w w:val="95"/>
        </w:rPr>
        <w:t>（发 </w:t>
      </w:r>
      <w:r>
        <w:rPr>
          <w:spacing w:val="-6"/>
        </w:rPr>
        <w:t>改经贸〔</w:t>
      </w:r>
      <w:r>
        <w:rPr/>
        <w:t>2018</w:t>
      </w:r>
      <w:r>
        <w:rPr>
          <w:spacing w:val="-22"/>
        </w:rPr>
        <w:t>〕</w:t>
      </w:r>
      <w:r>
        <w:rPr/>
        <w:t>1886</w:t>
      </w:r>
      <w:r>
        <w:rPr>
          <w:spacing w:val="-46"/>
        </w:rPr>
        <w:t> 号</w:t>
      </w:r>
      <w:r>
        <w:rPr>
          <w:spacing w:val="-23"/>
        </w:rPr>
        <w:t>）</w:t>
      </w:r>
      <w:r>
        <w:rPr>
          <w:spacing w:val="-5"/>
        </w:rPr>
        <w:t>，桂林市成为国家物流枢纽承载城</w:t>
      </w:r>
      <w:r>
        <w:rPr>
          <w:spacing w:val="-26"/>
        </w:rPr>
        <w:t>市。</w:t>
      </w:r>
      <w:r>
        <w:rPr/>
        <w:t>2019</w:t>
      </w:r>
      <w:r>
        <w:rPr>
          <w:spacing w:val="-57"/>
        </w:rPr>
        <w:t> 年 </w:t>
      </w:r>
      <w:r>
        <w:rPr/>
        <w:t>3</w:t>
      </w:r>
      <w:r>
        <w:rPr>
          <w:spacing w:val="-13"/>
        </w:rPr>
        <w:t> 月底，国家发展改革委和交通运输部联合印发</w:t>
      </w:r>
    </w:p>
    <w:p>
      <w:pPr>
        <w:pStyle w:val="BodyText"/>
        <w:spacing w:line="364" w:lineRule="auto"/>
        <w:ind w:right="418"/>
      </w:pPr>
      <w:r>
        <w:rPr>
          <w:spacing w:val="-6"/>
        </w:rPr>
        <w:t>《国家物流枢纽网络建设实施方案》</w:t>
      </w:r>
      <w:r>
        <w:rPr/>
        <w:t>（</w:t>
      </w:r>
      <w:r>
        <w:rPr>
          <w:spacing w:val="-9"/>
        </w:rPr>
        <w:t>发改经贸〔</w:t>
      </w:r>
      <w:r>
        <w:rPr/>
        <w:t>2019</w:t>
      </w:r>
      <w:r>
        <w:rPr>
          <w:spacing w:val="-41"/>
        </w:rPr>
        <w:t>〕</w:t>
      </w:r>
      <w:r>
        <w:rPr/>
        <w:t>578 号</w:t>
      </w:r>
      <w:r>
        <w:rPr>
          <w:spacing w:val="-84"/>
        </w:rPr>
        <w:t>），</w:t>
      </w:r>
      <w:r>
        <w:rPr>
          <w:spacing w:val="-5"/>
        </w:rPr>
        <w:t>对国家物流枢纽建设进行了进一步安排。</w:t>
      </w:r>
      <w:r>
        <w:rPr/>
        <w:t>2019</w:t>
      </w:r>
      <w:r>
        <w:rPr>
          <w:spacing w:val="-56"/>
        </w:rPr>
        <w:t> 年 </w:t>
      </w:r>
      <w:r>
        <w:rPr/>
        <w:t>8</w:t>
      </w:r>
      <w:r>
        <w:rPr>
          <w:spacing w:val="-28"/>
        </w:rPr>
        <w:t> 月， </w:t>
      </w:r>
      <w:r>
        <w:rPr>
          <w:spacing w:val="-14"/>
        </w:rPr>
        <w:t>经国务院同意，国家发展改革委印发《西部陆海新通道总体</w:t>
      </w:r>
      <w:r>
        <w:rPr>
          <w:spacing w:val="2"/>
        </w:rPr>
        <w:t>规划》；</w:t>
      </w:r>
      <w:r>
        <w:rPr/>
        <w:t>2019</w:t>
      </w:r>
      <w:r>
        <w:rPr>
          <w:spacing w:val="-53"/>
        </w:rPr>
        <w:t> 年 </w:t>
      </w:r>
      <w:r>
        <w:rPr/>
        <w:t>10</w:t>
      </w:r>
      <w:r>
        <w:rPr>
          <w:spacing w:val="-6"/>
        </w:rPr>
        <w:t> 月，经自治区政府同意，自治区发展改</w:t>
      </w:r>
      <w:r>
        <w:rPr>
          <w:spacing w:val="21"/>
        </w:rPr>
        <w:t>革委印发《西部陆海新通道广西物流业发展规划</w:t>
      </w:r>
      <w:r>
        <w:rPr>
          <w:spacing w:val="3"/>
        </w:rPr>
        <w:t>(2019— </w:t>
      </w:r>
      <w:r>
        <w:rPr/>
        <w:t>2025</w:t>
      </w:r>
      <w:r>
        <w:rPr>
          <w:spacing w:val="-15"/>
        </w:rPr>
        <w:t> 年)》。为抓住国家和自治区实施上述规划、方案机遇， </w:t>
      </w:r>
      <w:r>
        <w:rPr>
          <w:spacing w:val="-14"/>
        </w:rPr>
        <w:t>加快桂林国家物流枢纽建设，推动桂林物流业降本增效、转型升级和枢纽经济发展，编制本规划。</w:t>
      </w:r>
    </w:p>
    <w:p>
      <w:pPr>
        <w:pStyle w:val="BodyText"/>
        <w:spacing w:before="111"/>
        <w:ind w:left="1200"/>
      </w:pPr>
      <w:r>
        <w:rPr/>
        <w:t>本规划编制衔接了《桂林国际旅游胜地建设发展规划纲</w:t>
      </w:r>
    </w:p>
    <w:p>
      <w:pPr>
        <w:spacing w:after="0"/>
        <w:sectPr>
          <w:footerReference w:type="default" r:id="rId6"/>
          <w:pgSz w:w="11910" w:h="16840"/>
          <w:pgMar w:footer="902" w:header="0" w:top="1420" w:bottom="1100" w:left="1240" w:right="1220"/>
          <w:pgNumType w:start="1"/>
        </w:sectPr>
      </w:pPr>
    </w:p>
    <w:p>
      <w:pPr>
        <w:pStyle w:val="BodyText"/>
        <w:spacing w:line="364" w:lineRule="auto" w:before="43"/>
        <w:ind w:right="576"/>
        <w:jc w:val="both"/>
      </w:pPr>
      <w:r>
        <w:rPr>
          <w:spacing w:val="-17"/>
        </w:rPr>
        <w:t>要</w:t>
      </w:r>
      <w:r>
        <w:rPr/>
        <w:t>（2012-2020</w:t>
      </w:r>
      <w:r>
        <w:rPr>
          <w:spacing w:val="-48"/>
        </w:rPr>
        <w:t> 年</w:t>
      </w:r>
      <w:r>
        <w:rPr>
          <w:spacing w:val="-17"/>
        </w:rPr>
        <w:t>）</w:t>
      </w:r>
      <w:r>
        <w:rPr>
          <w:spacing w:val="-7"/>
        </w:rPr>
        <w:t>》《桂林市可持续发展规划</w:t>
      </w:r>
      <w:r>
        <w:rPr/>
        <w:t>（2017-2030 </w:t>
      </w:r>
      <w:r>
        <w:rPr>
          <w:spacing w:val="7"/>
        </w:rPr>
        <w:t>年）</w:t>
      </w:r>
      <w:r>
        <w:rPr>
          <w:spacing w:val="2"/>
        </w:rPr>
        <w:t>》《关于以世界一流为发展目标 打造桂林国际旅游胜</w:t>
      </w:r>
      <w:r>
        <w:rPr>
          <w:spacing w:val="1"/>
        </w:rPr>
        <w:t>地的实施意见》</w:t>
      </w:r>
      <w:r>
        <w:rPr/>
        <w:t>（</w:t>
      </w:r>
      <w:r>
        <w:rPr>
          <w:spacing w:val="1"/>
        </w:rPr>
        <w:t>桂发改社会〔</w:t>
      </w:r>
      <w:r>
        <w:rPr/>
        <w:t>2019〕607</w:t>
      </w:r>
      <w:r>
        <w:rPr>
          <w:spacing w:val="-36"/>
        </w:rPr>
        <w:t> 号</w:t>
      </w:r>
      <w:r>
        <w:rPr/>
        <w:t>）</w:t>
      </w:r>
      <w:r>
        <w:rPr>
          <w:spacing w:val="1"/>
        </w:rPr>
        <w:t>等上位规划</w:t>
      </w:r>
      <w:r>
        <w:rPr>
          <w:spacing w:val="11"/>
          <w:w w:val="95"/>
        </w:rPr>
        <w:t>和政策文件，同时注重与《桂林市综合交通体系规划修编</w:t>
      </w:r>
    </w:p>
    <w:p>
      <w:pPr>
        <w:pStyle w:val="BodyText"/>
        <w:spacing w:line="364" w:lineRule="auto"/>
        <w:ind w:right="580"/>
        <w:jc w:val="both"/>
      </w:pPr>
      <w:r>
        <w:rPr/>
        <w:t>（2018-2030</w:t>
      </w:r>
      <w:r>
        <w:rPr>
          <w:spacing w:val="-40"/>
        </w:rPr>
        <w:t> 年</w:t>
      </w:r>
      <w:r>
        <w:rPr/>
        <w:t>）》等专项规划的衔接，是指导桂林国家物</w:t>
      </w:r>
      <w:r>
        <w:rPr>
          <w:spacing w:val="11"/>
          <w:w w:val="95"/>
        </w:rPr>
        <w:t>流枢纽建设培育和推动桂林物流业高质量发展的纲领性文 </w:t>
      </w:r>
      <w:r>
        <w:rPr>
          <w:spacing w:val="-2"/>
        </w:rPr>
        <w:t>件，规划的空间范围包括桂林市全部行政辖区，规划时间近</w:t>
      </w:r>
      <w:r>
        <w:rPr>
          <w:spacing w:val="-27"/>
        </w:rPr>
        <w:t>期到 </w:t>
      </w:r>
      <w:r>
        <w:rPr/>
        <w:t>2022</w:t>
      </w:r>
      <w:r>
        <w:rPr>
          <w:spacing w:val="-25"/>
        </w:rPr>
        <w:t> 年，中期到 </w:t>
      </w:r>
      <w:r>
        <w:rPr/>
        <w:t>2025</w:t>
      </w:r>
      <w:r>
        <w:rPr>
          <w:spacing w:val="-20"/>
        </w:rPr>
        <w:t> 年，远期展望到 </w:t>
      </w:r>
      <w:r>
        <w:rPr/>
        <w:t>2035</w:t>
      </w:r>
      <w:r>
        <w:rPr>
          <w:spacing w:val="-28"/>
        </w:rPr>
        <w:t> 年。</w:t>
      </w:r>
    </w:p>
    <w:p>
      <w:pPr>
        <w:pStyle w:val="BodyText"/>
        <w:spacing w:before="114"/>
        <w:ind w:left="1200"/>
        <w:rPr>
          <w:rFonts w:ascii="黑体" w:eastAsia="黑体" w:hint="eastAsia"/>
        </w:rPr>
      </w:pPr>
      <w:bookmarkStart w:name="一、发展基础与环境" w:id="3"/>
      <w:bookmarkEnd w:id="3"/>
      <w:r>
        <w:rPr/>
      </w:r>
      <w:bookmarkStart w:name="_bookmark1" w:id="4"/>
      <w:bookmarkEnd w:id="4"/>
      <w:r>
        <w:rPr/>
      </w:r>
      <w:r>
        <w:rPr>
          <w:rFonts w:ascii="黑体" w:eastAsia="黑体" w:hint="eastAsia"/>
        </w:rPr>
        <w:t>一、发展基础与环境</w:t>
      </w:r>
    </w:p>
    <w:p>
      <w:pPr>
        <w:pStyle w:val="BodyText"/>
        <w:spacing w:before="11"/>
        <w:ind w:left="0"/>
        <w:rPr>
          <w:rFonts w:ascii="黑体"/>
          <w:sz w:val="25"/>
        </w:rPr>
      </w:pPr>
    </w:p>
    <w:p>
      <w:pPr>
        <w:pStyle w:val="Heading1"/>
        <w:spacing w:before="0"/>
        <w:rPr>
          <w:rFonts w:ascii="楷体" w:eastAsia="楷体" w:hint="eastAsia"/>
        </w:rPr>
      </w:pPr>
      <w:bookmarkStart w:name="（一）发展成效" w:id="5"/>
      <w:bookmarkEnd w:id="5"/>
      <w:r>
        <w:rPr>
          <w:b w:val="0"/>
        </w:rPr>
      </w:r>
      <w:bookmarkStart w:name="_bookmark2" w:id="6"/>
      <w:bookmarkEnd w:id="6"/>
      <w:r>
        <w:rPr>
          <w:b w:val="0"/>
        </w:rPr>
      </w:r>
      <w:r>
        <w:rPr>
          <w:rFonts w:ascii="楷体" w:eastAsia="楷体" w:hint="eastAsia"/>
        </w:rPr>
        <w:t>（一）发展成效</w:t>
      </w:r>
    </w:p>
    <w:p>
      <w:pPr>
        <w:pStyle w:val="BodyText"/>
        <w:spacing w:before="11"/>
        <w:ind w:left="0"/>
        <w:rPr>
          <w:rFonts w:ascii="楷体"/>
          <w:b/>
          <w:sz w:val="25"/>
        </w:rPr>
      </w:pPr>
    </w:p>
    <w:p>
      <w:pPr>
        <w:pStyle w:val="BodyText"/>
        <w:spacing w:line="364" w:lineRule="auto" w:before="1"/>
        <w:ind w:right="577" w:firstLine="640"/>
        <w:jc w:val="both"/>
      </w:pPr>
      <w:r>
        <w:rPr>
          <w:spacing w:val="-2"/>
        </w:rPr>
        <w:t>党的十八大以来，桂林市物流业实现较快发展，在国民</w:t>
      </w:r>
      <w:r>
        <w:rPr>
          <w:spacing w:val="-5"/>
        </w:rPr>
        <w:t>经济中的基础性、战略性、先导性作用进一步加强。交通物</w:t>
      </w:r>
      <w:r>
        <w:rPr>
          <w:spacing w:val="-6"/>
        </w:rPr>
        <w:t>流基础设施条件不断完善，桂粤湘黔四省区交界结合部的区</w:t>
      </w:r>
      <w:r>
        <w:rPr>
          <w:spacing w:val="-6"/>
          <w:w w:val="95"/>
        </w:rPr>
        <w:t>位优势日益凸显，商贸物流稳步发展，电商快递物流成为新 </w:t>
      </w:r>
      <w:r>
        <w:rPr>
          <w:spacing w:val="-6"/>
        </w:rPr>
        <w:t>的发展亮点，物流业发展政策环境持续优化，为建设国家物</w:t>
      </w:r>
      <w:r>
        <w:rPr>
          <w:spacing w:val="-7"/>
        </w:rPr>
        <w:t>流枢纽网络、促进物流业转型升级和发展枢纽经济奠定了良好基础。</w:t>
      </w:r>
    </w:p>
    <w:p>
      <w:pPr>
        <w:pStyle w:val="ListParagraph"/>
        <w:numPr>
          <w:ilvl w:val="1"/>
          <w:numId w:val="12"/>
        </w:numPr>
        <w:tabs>
          <w:tab w:pos="1463" w:val="left" w:leader="none"/>
        </w:tabs>
        <w:spacing w:line="240" w:lineRule="auto" w:before="114" w:after="0"/>
        <w:ind w:left="1462" w:right="0" w:hanging="303"/>
        <w:jc w:val="left"/>
        <w:rPr>
          <w:b/>
          <w:sz w:val="30"/>
        </w:rPr>
      </w:pPr>
      <w:bookmarkStart w:name="1.交通物流基础设施条件不断完善" w:id="7"/>
      <w:bookmarkEnd w:id="7"/>
      <w:r>
        <w:rPr/>
      </w:r>
      <w:bookmarkStart w:name="_bookmark3" w:id="8"/>
      <w:bookmarkEnd w:id="8"/>
      <w:r>
        <w:rPr/>
      </w:r>
      <w:bookmarkStart w:name="_bookmark3" w:id="9"/>
      <w:bookmarkEnd w:id="9"/>
      <w:r>
        <w:rPr>
          <w:b/>
          <w:sz w:val="30"/>
        </w:rPr>
        <w:t>交通物流基础设施条件不断完善</w:t>
      </w:r>
    </w:p>
    <w:p>
      <w:pPr>
        <w:pStyle w:val="BodyText"/>
        <w:ind w:left="0"/>
        <w:rPr>
          <w:b/>
          <w:sz w:val="25"/>
        </w:rPr>
      </w:pPr>
    </w:p>
    <w:p>
      <w:pPr>
        <w:pStyle w:val="BodyText"/>
        <w:spacing w:line="364" w:lineRule="auto"/>
        <w:ind w:right="419" w:firstLine="640"/>
      </w:pPr>
      <w:r>
        <w:rPr>
          <w:spacing w:val="-1"/>
        </w:rPr>
        <w:t>桂林市四通八达的公路直通广西各地和临近省份，全市拥有G321</w:t>
      </w:r>
      <w:r>
        <w:rPr>
          <w:spacing w:val="-58"/>
        </w:rPr>
        <w:t>、</w:t>
      </w:r>
      <w:r>
        <w:rPr/>
        <w:t>G322</w:t>
      </w:r>
      <w:r>
        <w:rPr>
          <w:spacing w:val="-58"/>
        </w:rPr>
        <w:t>、</w:t>
      </w:r>
      <w:r>
        <w:rPr/>
        <w:t>G323</w:t>
      </w:r>
      <w:r>
        <w:rPr>
          <w:spacing w:val="-58"/>
        </w:rPr>
        <w:t>、</w:t>
      </w:r>
      <w:r>
        <w:rPr/>
        <w:t>G357</w:t>
      </w:r>
      <w:r>
        <w:rPr>
          <w:spacing w:val="-42"/>
        </w:rPr>
        <w:t> 和</w:t>
      </w:r>
      <w:r>
        <w:rPr/>
        <w:t>G241</w:t>
      </w:r>
      <w:r>
        <w:rPr>
          <w:spacing w:val="-56"/>
        </w:rPr>
        <w:t> 等 </w:t>
      </w:r>
      <w:r>
        <w:rPr/>
        <w:t>5</w:t>
      </w:r>
      <w:r>
        <w:rPr>
          <w:spacing w:val="-34"/>
        </w:rPr>
        <w:t> 条国道 </w:t>
      </w:r>
      <w:r>
        <w:rPr/>
        <w:t>1126</w:t>
      </w:r>
      <w:r>
        <w:rPr>
          <w:spacing w:val="-21"/>
        </w:rPr>
        <w:t> 公里， </w:t>
      </w:r>
      <w:r>
        <w:rPr>
          <w:spacing w:val="-8"/>
        </w:rPr>
        <w:t>其中</w:t>
      </w:r>
      <w:r>
        <w:rPr/>
        <w:t>G321</w:t>
      </w:r>
      <w:r>
        <w:rPr>
          <w:spacing w:val="-7"/>
        </w:rPr>
        <w:t> 桂林至阳朔段已改造成高等级公路;桂柳高速公路</w:t>
      </w:r>
    </w:p>
    <w:p>
      <w:pPr>
        <w:spacing w:after="0" w:line="364" w:lineRule="auto"/>
        <w:sectPr>
          <w:pgSz w:w="11910" w:h="16840"/>
          <w:pgMar w:header="0" w:footer="902" w:top="1420" w:bottom="1180" w:left="1240" w:right="1220"/>
        </w:sectPr>
      </w:pPr>
    </w:p>
    <w:p>
      <w:pPr>
        <w:pStyle w:val="BodyText"/>
        <w:spacing w:line="364" w:lineRule="auto" w:before="43"/>
        <w:ind w:right="418"/>
      </w:pPr>
      <w:r>
        <w:rPr>
          <w:spacing w:val="-14"/>
        </w:rPr>
        <w:t>南接柳州、南宁、北海，北达湖南；桂梧高速公路建成通车， </w:t>
      </w:r>
      <w:r>
        <w:rPr>
          <w:spacing w:val="-1"/>
        </w:rPr>
        <w:t>极大缩短了桂林至珠江三角洲和港澳地区的距离，构筑起桂</w:t>
      </w:r>
      <w:r>
        <w:rPr>
          <w:spacing w:val="-2"/>
        </w:rPr>
        <w:t>北地区及湘贵川东进粤港澳最便捷的公路通道；兴安至桂林</w:t>
      </w:r>
      <w:r>
        <w:rPr>
          <w:spacing w:val="-8"/>
        </w:rPr>
        <w:t>高速和灌阳至凤凰高速分别于 </w:t>
      </w:r>
      <w:r>
        <w:rPr/>
        <w:t>2013</w:t>
      </w:r>
      <w:r>
        <w:rPr>
          <w:spacing w:val="-42"/>
        </w:rPr>
        <w:t> 年和 </w:t>
      </w:r>
      <w:r>
        <w:rPr/>
        <w:t>2015</w:t>
      </w:r>
      <w:r>
        <w:rPr>
          <w:spacing w:val="-13"/>
        </w:rPr>
        <w:t> 年开通运营，</w:t>
      </w:r>
    </w:p>
    <w:p>
      <w:pPr>
        <w:pStyle w:val="BodyText"/>
        <w:spacing w:line="406" w:lineRule="exact"/>
      </w:pPr>
      <w:r>
        <w:rPr/>
        <w:t>资源至兴安高速和桂林至三江高速公路于 2017 年开通运营，</w:t>
      </w:r>
    </w:p>
    <w:p>
      <w:pPr>
        <w:spacing w:line="364" w:lineRule="auto" w:before="212"/>
        <w:ind w:left="560" w:right="576" w:firstLine="0"/>
        <w:jc w:val="both"/>
        <w:rPr>
          <w:sz w:val="32"/>
        </w:rPr>
      </w:pPr>
      <w:r>
        <w:rPr>
          <w:spacing w:val="-3"/>
          <w:sz w:val="30"/>
        </w:rPr>
        <w:t>阳朔至鹿寨、贺州至巴马(钟山至昭平段)高速公路 </w:t>
      </w:r>
      <w:r>
        <w:rPr>
          <w:sz w:val="30"/>
        </w:rPr>
        <w:t>2019</w:t>
      </w:r>
      <w:r>
        <w:rPr>
          <w:spacing w:val="-15"/>
          <w:sz w:val="30"/>
        </w:rPr>
        <w:t> 年建成</w:t>
      </w:r>
      <w:r>
        <w:rPr>
          <w:spacing w:val="-13"/>
          <w:sz w:val="30"/>
        </w:rPr>
        <w:t>通车，荔浦至玉林、灌阳经恭城至平乐、桂林至柳城高速公路加</w:t>
      </w:r>
      <w:r>
        <w:rPr>
          <w:spacing w:val="-2"/>
          <w:sz w:val="30"/>
        </w:rPr>
        <w:t>快推进，</w:t>
      </w:r>
      <w:r>
        <w:rPr>
          <w:spacing w:val="-8"/>
          <w:sz w:val="32"/>
        </w:rPr>
        <w:t>为全市“县县通高速”奠定了坚实的基础。至 </w:t>
      </w:r>
      <w:r>
        <w:rPr>
          <w:sz w:val="32"/>
        </w:rPr>
        <w:t>2019</w:t>
      </w:r>
    </w:p>
    <w:p>
      <w:pPr>
        <w:spacing w:line="408" w:lineRule="exact" w:before="0"/>
        <w:ind w:left="560" w:right="0" w:firstLine="0"/>
        <w:jc w:val="both"/>
        <w:rPr>
          <w:sz w:val="30"/>
        </w:rPr>
      </w:pPr>
      <w:r>
        <w:rPr>
          <w:spacing w:val="6"/>
          <w:sz w:val="32"/>
        </w:rPr>
        <w:t>年底，</w:t>
      </w:r>
      <w:r>
        <w:rPr>
          <w:spacing w:val="-5"/>
          <w:sz w:val="30"/>
        </w:rPr>
        <w:t>全市公路总通车里程 </w:t>
      </w:r>
      <w:r>
        <w:rPr>
          <w:sz w:val="30"/>
        </w:rPr>
        <w:t>14580</w:t>
      </w:r>
      <w:r>
        <w:rPr>
          <w:spacing w:val="-4"/>
          <w:sz w:val="30"/>
        </w:rPr>
        <w:t> 公里，其中高速公路通车里</w:t>
      </w:r>
    </w:p>
    <w:p>
      <w:pPr>
        <w:spacing w:line="364" w:lineRule="auto" w:before="212"/>
        <w:ind w:left="560" w:right="419" w:firstLine="0"/>
        <w:jc w:val="both"/>
        <w:rPr>
          <w:sz w:val="32"/>
        </w:rPr>
      </w:pPr>
      <w:r>
        <w:rPr>
          <w:spacing w:val="-39"/>
          <w:sz w:val="30"/>
        </w:rPr>
        <w:t>程 </w:t>
      </w:r>
      <w:r>
        <w:rPr>
          <w:sz w:val="30"/>
        </w:rPr>
        <w:t>691</w:t>
      </w:r>
      <w:r>
        <w:rPr>
          <w:spacing w:val="-42"/>
          <w:sz w:val="30"/>
        </w:rPr>
        <w:t> 公里，有 </w:t>
      </w:r>
      <w:r>
        <w:rPr>
          <w:sz w:val="30"/>
        </w:rPr>
        <w:t>5</w:t>
      </w:r>
      <w:r>
        <w:rPr>
          <w:spacing w:val="-17"/>
          <w:sz w:val="30"/>
        </w:rPr>
        <w:t> 条国家高速公路和 </w:t>
      </w:r>
      <w:r>
        <w:rPr>
          <w:sz w:val="30"/>
        </w:rPr>
        <w:t>2</w:t>
      </w:r>
      <w:r>
        <w:rPr>
          <w:spacing w:val="-9"/>
          <w:sz w:val="30"/>
        </w:rPr>
        <w:t> 条省级高速公路在桂林市</w:t>
      </w:r>
      <w:r>
        <w:rPr>
          <w:spacing w:val="-12"/>
          <w:sz w:val="30"/>
        </w:rPr>
        <w:t>境内汇集，出省连市的高速公路网络全部打通；市内乡镇通公交</w:t>
      </w:r>
      <w:r>
        <w:rPr>
          <w:spacing w:val="-45"/>
          <w:sz w:val="30"/>
        </w:rPr>
        <w:t>率 </w:t>
      </w:r>
      <w:r>
        <w:rPr>
          <w:spacing w:val="-7"/>
          <w:sz w:val="30"/>
        </w:rPr>
        <w:t>82.8</w:t>
      </w:r>
      <w:r>
        <w:rPr>
          <w:spacing w:val="-12"/>
          <w:sz w:val="30"/>
        </w:rPr>
        <w:t>%，建制村通畅率 </w:t>
      </w:r>
      <w:r>
        <w:rPr>
          <w:sz w:val="30"/>
        </w:rPr>
        <w:t>100</w:t>
      </w:r>
      <w:r>
        <w:rPr>
          <w:spacing w:val="-17"/>
          <w:sz w:val="30"/>
        </w:rPr>
        <w:t>%、通客车率 </w:t>
      </w:r>
      <w:r>
        <w:rPr>
          <w:sz w:val="30"/>
        </w:rPr>
        <w:t>98</w:t>
      </w:r>
      <w:r>
        <w:rPr>
          <w:spacing w:val="-17"/>
          <w:sz w:val="30"/>
        </w:rPr>
        <w:t>%、通公交率 </w:t>
      </w:r>
      <w:r>
        <w:rPr>
          <w:sz w:val="30"/>
        </w:rPr>
        <w:t>48.9%</w:t>
      </w:r>
      <w:r>
        <w:rPr>
          <w:sz w:val="32"/>
        </w:rPr>
        <w:t>。</w:t>
      </w:r>
    </w:p>
    <w:p>
      <w:pPr>
        <w:pStyle w:val="BodyText"/>
        <w:spacing w:before="118"/>
        <w:ind w:left="1200"/>
        <w:jc w:val="both"/>
      </w:pPr>
      <w:r>
        <w:rPr>
          <w:spacing w:val="-7"/>
        </w:rPr>
        <w:t>湘桂高铁、贵广高铁纵横交会，高铁通车里程达 </w:t>
      </w:r>
      <w:r>
        <w:rPr/>
        <w:t>420</w:t>
      </w:r>
      <w:r>
        <w:rPr>
          <w:spacing w:val="-44"/>
        </w:rPr>
        <w:t> 公</w:t>
      </w:r>
    </w:p>
    <w:p>
      <w:pPr>
        <w:pStyle w:val="BodyText"/>
        <w:spacing w:line="364" w:lineRule="auto" w:before="212"/>
        <w:ind w:right="484"/>
        <w:jc w:val="both"/>
      </w:pPr>
      <w:r>
        <w:rPr>
          <w:spacing w:val="-5"/>
        </w:rPr>
        <w:t>里，占广西近四分之一，动车日均到达 </w:t>
      </w:r>
      <w:r>
        <w:rPr/>
        <w:t>181</w:t>
      </w:r>
      <w:r>
        <w:rPr>
          <w:spacing w:val="-12"/>
        </w:rPr>
        <w:t> 趟次，与广州、</w:t>
      </w:r>
      <w:r>
        <w:rPr>
          <w:spacing w:val="-20"/>
        </w:rPr>
        <w:t>贵阳、长沙、南宁 </w:t>
      </w:r>
      <w:r>
        <w:rPr/>
        <w:t>4</w:t>
      </w:r>
      <w:r>
        <w:rPr>
          <w:spacing w:val="-11"/>
        </w:rPr>
        <w:t> 个省会城市形成“</w:t>
      </w:r>
      <w:r>
        <w:rPr/>
        <w:t>2～3</w:t>
      </w:r>
      <w:r>
        <w:rPr>
          <w:spacing w:val="-12"/>
        </w:rPr>
        <w:t> 小时经济圈”， 实现与香港“一乘直达”，是国内首个“一市九站两高铁” 的地级市，铁路运输网络遍布全国。</w:t>
      </w:r>
    </w:p>
    <w:p>
      <w:pPr>
        <w:pStyle w:val="BodyText"/>
        <w:spacing w:line="364" w:lineRule="auto" w:before="118"/>
        <w:ind w:right="580" w:firstLine="640"/>
        <w:jc w:val="both"/>
      </w:pPr>
      <w:r>
        <w:rPr>
          <w:spacing w:val="-2"/>
        </w:rPr>
        <w:t>桂林两江国际机场是国家重要的旅游机场，</w:t>
      </w:r>
      <w:r>
        <w:rPr>
          <w:spacing w:val="-31"/>
        </w:rPr>
        <w:t>T2</w:t>
      </w:r>
      <w:r>
        <w:rPr>
          <w:spacing w:val="-20"/>
        </w:rPr>
        <w:t> 航站楼及</w:t>
      </w:r>
      <w:r>
        <w:rPr>
          <w:spacing w:val="-2"/>
        </w:rPr>
        <w:t>站坪配套设施扩建工程 </w:t>
      </w:r>
      <w:r>
        <w:rPr/>
        <w:t>2018</w:t>
      </w:r>
      <w:r>
        <w:rPr>
          <w:spacing w:val="-53"/>
        </w:rPr>
        <w:t> 年 </w:t>
      </w:r>
      <w:r>
        <w:rPr/>
        <w:t>9</w:t>
      </w:r>
      <w:r>
        <w:rPr>
          <w:spacing w:val="-3"/>
        </w:rPr>
        <w:t> 月建设完成，可满足旅客</w:t>
      </w:r>
    </w:p>
    <w:p>
      <w:pPr>
        <w:pStyle w:val="BodyText"/>
        <w:spacing w:line="407" w:lineRule="exact"/>
        <w:jc w:val="both"/>
      </w:pPr>
      <w:r>
        <w:rPr>
          <w:spacing w:val="-15"/>
        </w:rPr>
        <w:t>吞吐量年 </w:t>
      </w:r>
      <w:r>
        <w:rPr/>
        <w:t>1200</w:t>
      </w:r>
      <w:r>
        <w:rPr>
          <w:spacing w:val="-16"/>
        </w:rPr>
        <w:t> 万人次、货邮吞吐量 </w:t>
      </w:r>
      <w:r>
        <w:rPr/>
        <w:t>9.5</w:t>
      </w:r>
      <w:r>
        <w:rPr>
          <w:spacing w:val="-19"/>
        </w:rPr>
        <w:t> 万吨。</w:t>
      </w:r>
      <w:r>
        <w:rPr/>
        <w:t>2019</w:t>
      </w:r>
      <w:r>
        <w:rPr>
          <w:spacing w:val="-20"/>
        </w:rPr>
        <w:t> 年桂林</w:t>
      </w:r>
    </w:p>
    <w:p>
      <w:pPr>
        <w:pStyle w:val="BodyText"/>
        <w:spacing w:before="214"/>
        <w:jc w:val="both"/>
      </w:pPr>
      <w:r>
        <w:rPr>
          <w:spacing w:val="-2"/>
        </w:rPr>
        <w:t>机场全年飞行航线 </w:t>
      </w:r>
      <w:r>
        <w:rPr/>
        <w:t>139</w:t>
      </w:r>
      <w:r>
        <w:rPr>
          <w:spacing w:val="-11"/>
        </w:rPr>
        <w:t> 条，比上年增加 </w:t>
      </w:r>
      <w:r>
        <w:rPr/>
        <w:t>16</w:t>
      </w:r>
      <w:r>
        <w:rPr>
          <w:spacing w:val="-21"/>
        </w:rPr>
        <w:t> 条，起降 </w:t>
      </w:r>
      <w:r>
        <w:rPr/>
        <w:t>65535</w:t>
      </w:r>
    </w:p>
    <w:p>
      <w:pPr>
        <w:pStyle w:val="BodyText"/>
        <w:spacing w:before="212"/>
        <w:jc w:val="both"/>
      </w:pPr>
      <w:r>
        <w:rPr/>
        <w:t>架次，通航城市 85 个，国际直航旅客吞吐量保持广西前列，</w:t>
      </w:r>
    </w:p>
    <w:p>
      <w:pPr>
        <w:spacing w:after="0"/>
        <w:jc w:val="both"/>
        <w:sectPr>
          <w:pgSz w:w="11910" w:h="16840"/>
          <w:pgMar w:header="0" w:footer="902" w:top="1420" w:bottom="1180" w:left="1240" w:right="1220"/>
        </w:sectPr>
      </w:pPr>
    </w:p>
    <w:p>
      <w:pPr>
        <w:pStyle w:val="BodyText"/>
        <w:spacing w:line="364" w:lineRule="auto" w:before="43"/>
        <w:ind w:right="565"/>
        <w:jc w:val="both"/>
      </w:pPr>
      <w:r>
        <w:rPr>
          <w:spacing w:val="-1"/>
        </w:rPr>
        <w:t>已成为桂林乃至广西联系国内主要城市以及东亚、东盟主要国家和地区的空中门户，为发展航空物流奠定了良好基础。</w:t>
      </w:r>
      <w:r>
        <w:rPr>
          <w:spacing w:val="-7"/>
        </w:rPr>
        <w:t>桂江是桂林市重要的通航河流，辖区通航 </w:t>
      </w:r>
      <w:r>
        <w:rPr/>
        <w:t>175</w:t>
      </w:r>
      <w:r>
        <w:rPr>
          <w:spacing w:val="-14"/>
        </w:rPr>
        <w:t> 公里，全市现</w:t>
      </w:r>
    </w:p>
    <w:p>
      <w:pPr>
        <w:pStyle w:val="BodyText"/>
        <w:spacing w:line="405" w:lineRule="exact"/>
        <w:jc w:val="both"/>
      </w:pPr>
      <w:r>
        <w:rPr>
          <w:spacing w:val="-10"/>
        </w:rPr>
        <w:t>有货运码头 </w:t>
      </w:r>
      <w:r>
        <w:rPr/>
        <w:t>3</w:t>
      </w:r>
      <w:r>
        <w:rPr>
          <w:spacing w:val="-16"/>
        </w:rPr>
        <w:t> 个，营运货船 </w:t>
      </w:r>
      <w:r>
        <w:rPr/>
        <w:t>84</w:t>
      </w:r>
      <w:r>
        <w:rPr>
          <w:spacing w:val="-3"/>
        </w:rPr>
        <w:t> 艘。中缅天然气管道忻城—</w:t>
      </w:r>
    </w:p>
    <w:p>
      <w:pPr>
        <w:pStyle w:val="BodyText"/>
        <w:spacing w:before="214"/>
        <w:jc w:val="both"/>
      </w:pPr>
      <w:r>
        <w:rPr>
          <w:spacing w:val="-8"/>
        </w:rPr>
        <w:t>桂林支线已建成，线路全长 </w:t>
      </w:r>
      <w:r>
        <w:rPr/>
        <w:t>172</w:t>
      </w:r>
      <w:r>
        <w:rPr>
          <w:spacing w:val="-10"/>
        </w:rPr>
        <w:t> 公里，天然气接气门站年输</w:t>
      </w:r>
    </w:p>
    <w:p>
      <w:pPr>
        <w:pStyle w:val="BodyText"/>
        <w:spacing w:before="211"/>
        <w:jc w:val="both"/>
      </w:pPr>
      <w:r>
        <w:rPr>
          <w:spacing w:val="-16"/>
        </w:rPr>
        <w:t>送能力达到 </w:t>
      </w:r>
      <w:r>
        <w:rPr/>
        <w:t>5</w:t>
      </w:r>
      <w:r>
        <w:rPr>
          <w:spacing w:val="-18"/>
        </w:rPr>
        <w:t> 亿立方米，基本能满足桂林市天然气使用需求。</w:t>
      </w:r>
    </w:p>
    <w:p>
      <w:pPr>
        <w:pStyle w:val="BodyText"/>
        <w:spacing w:before="1"/>
        <w:ind w:left="0"/>
        <w:rPr>
          <w:sz w:val="26"/>
        </w:rPr>
      </w:pPr>
    </w:p>
    <w:p>
      <w:pPr>
        <w:pStyle w:val="BodyText"/>
        <w:ind w:left="1200"/>
      </w:pPr>
      <w:r>
        <w:rPr>
          <w:spacing w:val="-6"/>
        </w:rPr>
        <w:t>物流园区蓬勃发展。目前桂林市重点物流园区有 </w:t>
      </w:r>
      <w:r>
        <w:rPr/>
        <w:t>20</w:t>
      </w:r>
      <w:r>
        <w:rPr>
          <w:spacing w:val="-29"/>
        </w:rPr>
        <w:t> 个。</w:t>
      </w:r>
    </w:p>
    <w:p>
      <w:pPr>
        <w:pStyle w:val="BodyText"/>
        <w:spacing w:before="212"/>
        <w:jc w:val="both"/>
      </w:pPr>
      <w:r>
        <w:rPr/>
        <w:t>按建设阶段分，已建成投入运营 9 个、在建 7 个、规划中 4</w:t>
      </w:r>
    </w:p>
    <w:p>
      <w:pPr>
        <w:pStyle w:val="BodyText"/>
        <w:spacing w:before="214"/>
        <w:jc w:val="both"/>
      </w:pPr>
      <w:r>
        <w:rPr>
          <w:spacing w:val="-2"/>
        </w:rPr>
        <w:t>个；按服务类型分，商贸服务型 </w:t>
      </w:r>
      <w:r>
        <w:rPr/>
        <w:t>13</w:t>
      </w:r>
      <w:r>
        <w:rPr>
          <w:spacing w:val="-15"/>
        </w:rPr>
        <w:t> 个、货运枢纽型 </w:t>
      </w:r>
      <w:r>
        <w:rPr/>
        <w:t>4</w:t>
      </w:r>
      <w:r>
        <w:rPr>
          <w:spacing w:val="-25"/>
        </w:rPr>
        <w:t> 个、</w:t>
      </w:r>
    </w:p>
    <w:p>
      <w:pPr>
        <w:pStyle w:val="BodyText"/>
        <w:spacing w:before="211"/>
        <w:jc w:val="both"/>
      </w:pPr>
      <w:r>
        <w:rPr>
          <w:spacing w:val="-15"/>
        </w:rPr>
        <w:t>综合服务型 </w:t>
      </w:r>
      <w:r>
        <w:rPr/>
        <w:t>3</w:t>
      </w:r>
      <w:r>
        <w:rPr>
          <w:spacing w:val="-15"/>
        </w:rPr>
        <w:t> 个；从地域分布来看，位于临桂区 </w:t>
      </w:r>
      <w:r>
        <w:rPr/>
        <w:t>5</w:t>
      </w:r>
      <w:r>
        <w:rPr>
          <w:spacing w:val="-19"/>
        </w:rPr>
        <w:t> 个、灵川</w:t>
      </w:r>
    </w:p>
    <w:p>
      <w:pPr>
        <w:pStyle w:val="BodyText"/>
        <w:spacing w:before="212"/>
        <w:jc w:val="both"/>
      </w:pPr>
      <w:r>
        <w:rPr>
          <w:spacing w:val="-41"/>
        </w:rPr>
        <w:t>县 </w:t>
      </w:r>
      <w:r>
        <w:rPr/>
        <w:t>5</w:t>
      </w:r>
      <w:r>
        <w:rPr>
          <w:spacing w:val="-25"/>
        </w:rPr>
        <w:t> 个、七星区 </w:t>
      </w:r>
      <w:r>
        <w:rPr/>
        <w:t>2</w:t>
      </w:r>
      <w:r>
        <w:rPr>
          <w:spacing w:val="-25"/>
        </w:rPr>
        <w:t> 个、平乐县 </w:t>
      </w:r>
      <w:r>
        <w:rPr/>
        <w:t>2</w:t>
      </w:r>
      <w:r>
        <w:rPr>
          <w:spacing w:val="-25"/>
        </w:rPr>
        <w:t> 个、永福县 </w:t>
      </w:r>
      <w:r>
        <w:rPr/>
        <w:t>2</w:t>
      </w:r>
      <w:r>
        <w:rPr>
          <w:spacing w:val="-13"/>
        </w:rPr>
        <w:t> 个，以及象山</w:t>
      </w:r>
    </w:p>
    <w:p>
      <w:pPr>
        <w:pStyle w:val="BodyText"/>
        <w:spacing w:before="212"/>
        <w:jc w:val="both"/>
      </w:pPr>
      <w:r>
        <w:rPr/>
        <w:t>区、叠彩区、兴安县和全州县各 1</w:t>
      </w:r>
      <w:r>
        <w:rPr>
          <w:spacing w:val="-24"/>
        </w:rPr>
        <w:t> 个。截止 </w:t>
      </w:r>
      <w:r>
        <w:rPr/>
        <w:t>2019</w:t>
      </w:r>
      <w:r>
        <w:rPr>
          <w:spacing w:val="-17"/>
        </w:rPr>
        <w:t> 年底，</w:t>
      </w:r>
      <w:r>
        <w:rPr>
          <w:spacing w:val="2"/>
        </w:rPr>
        <w:t>20</w:t>
      </w:r>
    </w:p>
    <w:p>
      <w:pPr>
        <w:pStyle w:val="BodyText"/>
        <w:spacing w:before="214"/>
        <w:jc w:val="both"/>
      </w:pPr>
      <w:r>
        <w:rPr>
          <w:spacing w:val="-7"/>
        </w:rPr>
        <w:t>个物流园区总占地面积约 </w:t>
      </w:r>
      <w:r>
        <w:rPr/>
        <w:t>740</w:t>
      </w:r>
      <w:r>
        <w:rPr>
          <w:spacing w:val="-24"/>
        </w:rPr>
        <w:t> 万平方米，投资总额超过 </w:t>
      </w:r>
      <w:r>
        <w:rPr/>
        <w:t>3800</w:t>
      </w:r>
    </w:p>
    <w:p>
      <w:pPr>
        <w:pStyle w:val="BodyText"/>
        <w:spacing w:before="211"/>
        <w:jc w:val="both"/>
      </w:pPr>
      <w:r>
        <w:rPr>
          <w:spacing w:val="-10"/>
        </w:rPr>
        <w:t>亿元，其中已投入运营的 </w:t>
      </w:r>
      <w:r>
        <w:rPr/>
        <w:t>9</w:t>
      </w:r>
      <w:r>
        <w:rPr>
          <w:spacing w:val="-17"/>
        </w:rPr>
        <w:t> 个园区入驻企业总数 </w:t>
      </w:r>
      <w:r>
        <w:rPr/>
        <w:t>682</w:t>
      </w:r>
      <w:r>
        <w:rPr>
          <w:spacing w:val="-23"/>
        </w:rPr>
        <w:t> 家，吸</w:t>
      </w:r>
    </w:p>
    <w:p>
      <w:pPr>
        <w:pStyle w:val="BodyText"/>
        <w:spacing w:line="364" w:lineRule="auto" w:before="214"/>
        <w:ind w:right="577"/>
        <w:jc w:val="both"/>
      </w:pPr>
      <w:r>
        <w:rPr>
          <w:spacing w:val="-8"/>
        </w:rPr>
        <w:t>纳就业总人数 </w:t>
      </w:r>
      <w:r>
        <w:rPr/>
        <w:t>6158</w:t>
      </w:r>
      <w:r>
        <w:rPr>
          <w:spacing w:val="-10"/>
        </w:rPr>
        <w:t> 人，年物流业务总收入 </w:t>
      </w:r>
      <w:r>
        <w:rPr/>
        <w:t>22940</w:t>
      </w:r>
      <w:r>
        <w:rPr>
          <w:spacing w:val="-12"/>
        </w:rPr>
        <w:t> 万元，年</w:t>
      </w:r>
      <w:r>
        <w:rPr>
          <w:spacing w:val="-11"/>
        </w:rPr>
        <w:t>上缴税收总额 </w:t>
      </w:r>
      <w:r>
        <w:rPr/>
        <w:t>1422</w:t>
      </w:r>
      <w:r>
        <w:rPr>
          <w:spacing w:val="-19"/>
        </w:rPr>
        <w:t> 万元。</w:t>
      </w:r>
      <w:r>
        <w:rPr/>
        <w:t>2018</w:t>
      </w:r>
      <w:r>
        <w:rPr>
          <w:spacing w:val="-8"/>
        </w:rPr>
        <w:t> 年，广西桂物储运集团桂林</w:t>
      </w:r>
      <w:r>
        <w:rPr>
          <w:spacing w:val="11"/>
          <w:w w:val="95"/>
        </w:rPr>
        <w:t>有限公司物流园被评定为首批自治区示范物流园区和首批 </w:t>
      </w:r>
      <w:r>
        <w:rPr>
          <w:spacing w:val="11"/>
        </w:rPr>
        <w:t>自治区现代服务业集聚区。</w:t>
      </w:r>
    </w:p>
    <w:p>
      <w:pPr>
        <w:pStyle w:val="ListParagraph"/>
        <w:numPr>
          <w:ilvl w:val="1"/>
          <w:numId w:val="12"/>
        </w:numPr>
        <w:tabs>
          <w:tab w:pos="1463" w:val="left" w:leader="none"/>
        </w:tabs>
        <w:spacing w:line="240" w:lineRule="auto" w:before="117" w:after="0"/>
        <w:ind w:left="1462" w:right="0" w:hanging="303"/>
        <w:jc w:val="left"/>
        <w:rPr>
          <w:b/>
          <w:sz w:val="30"/>
        </w:rPr>
      </w:pPr>
      <w:bookmarkStart w:name="2.商贸物流持续快速发展" w:id="10"/>
      <w:bookmarkEnd w:id="10"/>
      <w:r>
        <w:rPr/>
      </w:r>
      <w:bookmarkStart w:name="_bookmark4" w:id="11"/>
      <w:bookmarkEnd w:id="11"/>
      <w:r>
        <w:rPr/>
      </w:r>
      <w:bookmarkStart w:name="_bookmark4" w:id="12"/>
      <w:bookmarkEnd w:id="12"/>
      <w:r>
        <w:rPr>
          <w:b/>
          <w:sz w:val="30"/>
        </w:rPr>
        <w:t>商贸物流持续快速发展</w:t>
      </w:r>
    </w:p>
    <w:p>
      <w:pPr>
        <w:pStyle w:val="BodyText"/>
        <w:spacing w:before="10"/>
        <w:ind w:left="0"/>
        <w:rPr>
          <w:b/>
          <w:sz w:val="24"/>
        </w:rPr>
      </w:pPr>
    </w:p>
    <w:p>
      <w:pPr>
        <w:pStyle w:val="BodyText"/>
        <w:spacing w:before="1"/>
        <w:ind w:left="1200"/>
      </w:pPr>
      <w:r>
        <w:rPr>
          <w:spacing w:val="17"/>
        </w:rPr>
        <w:t>近年来桂林市社会物流总量平稳增长，由 </w:t>
      </w:r>
      <w:r>
        <w:rPr/>
        <w:t>2016</w:t>
      </w:r>
      <w:r>
        <w:rPr>
          <w:spacing w:val="-15"/>
        </w:rPr>
        <w:t> 年的</w:t>
      </w:r>
    </w:p>
    <w:p>
      <w:pPr>
        <w:pStyle w:val="BodyText"/>
        <w:spacing w:before="213"/>
        <w:jc w:val="both"/>
      </w:pPr>
      <w:r>
        <w:rPr/>
        <w:t>8828.88</w:t>
      </w:r>
      <w:r>
        <w:rPr>
          <w:spacing w:val="-5"/>
        </w:rPr>
        <w:t> 万吨增长到 </w:t>
      </w:r>
      <w:r>
        <w:rPr/>
        <w:t>2019</w:t>
      </w:r>
      <w:r>
        <w:rPr>
          <w:spacing w:val="-25"/>
        </w:rPr>
        <w:t> 年的 </w:t>
      </w:r>
      <w:r>
        <w:rPr/>
        <w:t>11273.44</w:t>
      </w:r>
      <w:r>
        <w:rPr>
          <w:spacing w:val="9"/>
        </w:rPr>
        <w:t> 万吨，年均增长</w:t>
      </w:r>
    </w:p>
    <w:p>
      <w:pPr>
        <w:pStyle w:val="BodyText"/>
        <w:spacing w:before="212"/>
        <w:jc w:val="both"/>
      </w:pPr>
      <w:r>
        <w:rPr/>
        <w:t>6.92</w:t>
      </w:r>
      <w:r>
        <w:rPr>
          <w:spacing w:val="-11"/>
        </w:rPr>
        <w:t>%；公路货运量 </w:t>
      </w:r>
      <w:r>
        <w:rPr/>
        <w:t>2019</w:t>
      </w:r>
      <w:r>
        <w:rPr>
          <w:spacing w:val="-35"/>
        </w:rPr>
        <w:t> 年达到 </w:t>
      </w:r>
      <w:r>
        <w:rPr/>
        <w:t>11047</w:t>
      </w:r>
      <w:r>
        <w:rPr>
          <w:spacing w:val="-11"/>
        </w:rPr>
        <w:t> 万吨，占全方式货运</w:t>
      </w:r>
    </w:p>
    <w:p>
      <w:pPr>
        <w:spacing w:after="0"/>
        <w:jc w:val="both"/>
        <w:sectPr>
          <w:pgSz w:w="11910" w:h="16840"/>
          <w:pgMar w:header="0" w:footer="902" w:top="1420" w:bottom="1180" w:left="1240" w:right="1220"/>
        </w:sectPr>
      </w:pPr>
    </w:p>
    <w:p>
      <w:pPr>
        <w:pStyle w:val="BodyText"/>
        <w:spacing w:line="364" w:lineRule="auto" w:before="43"/>
        <w:ind w:right="577"/>
        <w:jc w:val="center"/>
      </w:pPr>
      <w:r>
        <w:rPr>
          <w:spacing w:val="-22"/>
        </w:rPr>
        <w:t>总量的 </w:t>
      </w:r>
      <w:r>
        <w:rPr>
          <w:spacing w:val="-5"/>
        </w:rPr>
        <w:t>98.00</w:t>
      </w:r>
      <w:r>
        <w:rPr>
          <w:spacing w:val="-9"/>
        </w:rPr>
        <w:t>%，优势明显；铁路货物运输量持续回升；水路</w:t>
      </w:r>
      <w:r>
        <w:rPr>
          <w:spacing w:val="-13"/>
        </w:rPr>
        <w:t>货物运输量和航空货邮发送量保持快速增长。详见下表 </w:t>
      </w:r>
      <w:r>
        <w:rPr/>
        <w:t>1。</w:t>
      </w:r>
    </w:p>
    <w:p>
      <w:pPr>
        <w:tabs>
          <w:tab w:pos="772" w:val="left" w:leader="none"/>
          <w:tab w:pos="5767" w:val="left" w:leader="none"/>
        </w:tabs>
        <w:spacing w:before="118"/>
        <w:ind w:left="0" w:right="12" w:firstLine="0"/>
        <w:jc w:val="center"/>
        <w:rPr>
          <w:sz w:val="28"/>
        </w:rPr>
      </w:pPr>
      <w:r>
        <w:rPr>
          <w:b/>
          <w:sz w:val="28"/>
        </w:rPr>
        <w:t>表</w:t>
      </w:r>
      <w:r>
        <w:rPr>
          <w:b/>
          <w:spacing w:val="-73"/>
          <w:sz w:val="28"/>
        </w:rPr>
        <w:t> </w:t>
      </w:r>
      <w:r>
        <w:rPr>
          <w:b/>
          <w:sz w:val="28"/>
        </w:rPr>
        <w:t>1</w:t>
        <w:tab/>
        <w:t>2016-2018</w:t>
      </w:r>
      <w:r>
        <w:rPr>
          <w:b/>
          <w:spacing w:val="-77"/>
          <w:sz w:val="28"/>
        </w:rPr>
        <w:t> </w:t>
      </w:r>
      <w:r>
        <w:rPr>
          <w:b/>
          <w:sz w:val="28"/>
        </w:rPr>
        <w:t>年桂林市社会物流量及构成</w:t>
        <w:tab/>
      </w:r>
      <w:r>
        <w:rPr>
          <w:sz w:val="28"/>
        </w:rPr>
        <w:t>单</w:t>
      </w:r>
      <w:r>
        <w:rPr>
          <w:spacing w:val="-3"/>
          <w:sz w:val="28"/>
        </w:rPr>
        <w:t>位</w:t>
      </w:r>
      <w:r>
        <w:rPr>
          <w:sz w:val="28"/>
        </w:rPr>
        <w:t>:万吨</w:t>
      </w:r>
    </w:p>
    <w:p>
      <w:pPr>
        <w:pStyle w:val="BodyText"/>
        <w:spacing w:before="8"/>
        <w:ind w:left="0"/>
        <w:rPr>
          <w:sz w:val="23"/>
        </w:rPr>
      </w:pPr>
    </w:p>
    <w:tbl>
      <w:tblPr>
        <w:tblW w:w="0" w:type="auto"/>
        <w:jc w:val="left"/>
        <w:tblInd w:w="5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55"/>
        <w:gridCol w:w="1566"/>
        <w:gridCol w:w="1425"/>
        <w:gridCol w:w="1560"/>
        <w:gridCol w:w="1695"/>
      </w:tblGrid>
      <w:tr>
        <w:trPr>
          <w:trHeight w:val="706" w:hRule="atLeast"/>
        </w:trPr>
        <w:tc>
          <w:tcPr>
            <w:tcW w:w="2055" w:type="dxa"/>
          </w:tcPr>
          <w:p>
            <w:pPr>
              <w:pStyle w:val="TableParagraph"/>
              <w:spacing w:before="120"/>
              <w:ind w:left="765" w:right="757"/>
              <w:jc w:val="center"/>
              <w:rPr>
                <w:b/>
                <w:sz w:val="24"/>
              </w:rPr>
            </w:pPr>
            <w:r>
              <w:rPr>
                <w:b/>
                <w:sz w:val="24"/>
              </w:rPr>
              <w:t>项目</w:t>
            </w:r>
          </w:p>
        </w:tc>
        <w:tc>
          <w:tcPr>
            <w:tcW w:w="1566" w:type="dxa"/>
          </w:tcPr>
          <w:p>
            <w:pPr>
              <w:pStyle w:val="TableParagraph"/>
              <w:spacing w:before="120"/>
              <w:ind w:left="392"/>
              <w:rPr>
                <w:b/>
                <w:sz w:val="24"/>
              </w:rPr>
            </w:pPr>
            <w:r>
              <w:rPr>
                <w:b/>
                <w:sz w:val="24"/>
              </w:rPr>
              <w:t>2016 年</w:t>
            </w:r>
          </w:p>
        </w:tc>
        <w:tc>
          <w:tcPr>
            <w:tcW w:w="1425" w:type="dxa"/>
          </w:tcPr>
          <w:p>
            <w:pPr>
              <w:pStyle w:val="TableParagraph"/>
              <w:spacing w:before="120"/>
              <w:ind w:left="321"/>
              <w:rPr>
                <w:b/>
                <w:sz w:val="24"/>
              </w:rPr>
            </w:pPr>
            <w:r>
              <w:rPr>
                <w:b/>
                <w:sz w:val="24"/>
              </w:rPr>
              <w:t>2017 年</w:t>
            </w:r>
          </w:p>
        </w:tc>
        <w:tc>
          <w:tcPr>
            <w:tcW w:w="1560" w:type="dxa"/>
          </w:tcPr>
          <w:p>
            <w:pPr>
              <w:pStyle w:val="TableParagraph"/>
              <w:spacing w:before="120"/>
              <w:ind w:left="389"/>
              <w:rPr>
                <w:b/>
                <w:sz w:val="24"/>
              </w:rPr>
            </w:pPr>
            <w:r>
              <w:rPr>
                <w:b/>
                <w:sz w:val="24"/>
              </w:rPr>
              <w:t>2018 年</w:t>
            </w:r>
          </w:p>
        </w:tc>
        <w:tc>
          <w:tcPr>
            <w:tcW w:w="1695" w:type="dxa"/>
          </w:tcPr>
          <w:p>
            <w:pPr>
              <w:pStyle w:val="TableParagraph"/>
              <w:spacing w:before="120"/>
              <w:ind w:left="456"/>
              <w:rPr>
                <w:b/>
                <w:sz w:val="24"/>
              </w:rPr>
            </w:pPr>
            <w:r>
              <w:rPr>
                <w:b/>
                <w:sz w:val="24"/>
              </w:rPr>
              <w:t>2019 年</w:t>
            </w:r>
          </w:p>
        </w:tc>
      </w:tr>
      <w:tr>
        <w:trPr>
          <w:trHeight w:val="706" w:hRule="atLeast"/>
        </w:trPr>
        <w:tc>
          <w:tcPr>
            <w:tcW w:w="2055" w:type="dxa"/>
          </w:tcPr>
          <w:p>
            <w:pPr>
              <w:pStyle w:val="TableParagraph"/>
              <w:spacing w:before="121"/>
              <w:ind w:left="107"/>
              <w:rPr>
                <w:sz w:val="24"/>
              </w:rPr>
            </w:pPr>
            <w:r>
              <w:rPr>
                <w:sz w:val="24"/>
              </w:rPr>
              <w:t>货物运输总量</w:t>
            </w:r>
          </w:p>
        </w:tc>
        <w:tc>
          <w:tcPr>
            <w:tcW w:w="1566" w:type="dxa"/>
          </w:tcPr>
          <w:p>
            <w:pPr>
              <w:pStyle w:val="TableParagraph"/>
              <w:spacing w:before="121"/>
              <w:ind w:right="95"/>
              <w:jc w:val="right"/>
              <w:rPr>
                <w:sz w:val="24"/>
              </w:rPr>
            </w:pPr>
            <w:r>
              <w:rPr>
                <w:sz w:val="24"/>
              </w:rPr>
              <w:t>8828.88</w:t>
            </w:r>
          </w:p>
        </w:tc>
        <w:tc>
          <w:tcPr>
            <w:tcW w:w="1425" w:type="dxa"/>
          </w:tcPr>
          <w:p>
            <w:pPr>
              <w:pStyle w:val="TableParagraph"/>
              <w:spacing w:before="121"/>
              <w:ind w:right="97"/>
              <w:jc w:val="right"/>
              <w:rPr>
                <w:sz w:val="24"/>
              </w:rPr>
            </w:pPr>
            <w:r>
              <w:rPr>
                <w:sz w:val="24"/>
              </w:rPr>
              <w:t>9534.79</w:t>
            </w:r>
          </w:p>
        </w:tc>
        <w:tc>
          <w:tcPr>
            <w:tcW w:w="1560" w:type="dxa"/>
          </w:tcPr>
          <w:p>
            <w:pPr>
              <w:pStyle w:val="TableParagraph"/>
              <w:spacing w:before="121"/>
              <w:ind w:right="97"/>
              <w:jc w:val="right"/>
              <w:rPr>
                <w:sz w:val="24"/>
              </w:rPr>
            </w:pPr>
            <w:r>
              <w:rPr>
                <w:sz w:val="24"/>
              </w:rPr>
              <w:t>10477.59</w:t>
            </w:r>
          </w:p>
        </w:tc>
        <w:tc>
          <w:tcPr>
            <w:tcW w:w="1695" w:type="dxa"/>
          </w:tcPr>
          <w:p>
            <w:pPr>
              <w:pStyle w:val="TableParagraph"/>
              <w:spacing w:before="121"/>
              <w:ind w:right="95"/>
              <w:jc w:val="right"/>
              <w:rPr>
                <w:sz w:val="24"/>
              </w:rPr>
            </w:pPr>
            <w:r>
              <w:rPr>
                <w:sz w:val="24"/>
              </w:rPr>
              <w:t>11273.44</w:t>
            </w:r>
          </w:p>
        </w:tc>
      </w:tr>
      <w:tr>
        <w:trPr>
          <w:trHeight w:val="862" w:hRule="atLeast"/>
        </w:trPr>
        <w:tc>
          <w:tcPr>
            <w:tcW w:w="2055" w:type="dxa"/>
          </w:tcPr>
          <w:p>
            <w:pPr>
              <w:pStyle w:val="TableParagraph"/>
              <w:spacing w:line="242" w:lineRule="auto" w:before="122"/>
              <w:ind w:left="107" w:right="17"/>
              <w:rPr>
                <w:sz w:val="24"/>
              </w:rPr>
            </w:pPr>
            <w:r>
              <w:rPr>
                <w:sz w:val="24"/>
              </w:rPr>
              <w:t>其中：公路货物运输量</w:t>
            </w:r>
          </w:p>
        </w:tc>
        <w:tc>
          <w:tcPr>
            <w:tcW w:w="1566" w:type="dxa"/>
          </w:tcPr>
          <w:p>
            <w:pPr>
              <w:pStyle w:val="TableParagraph"/>
              <w:spacing w:before="6"/>
              <w:rPr>
                <w:sz w:val="21"/>
              </w:rPr>
            </w:pPr>
          </w:p>
          <w:p>
            <w:pPr>
              <w:pStyle w:val="TableParagraph"/>
              <w:spacing w:before="1"/>
              <w:ind w:right="95"/>
              <w:jc w:val="right"/>
              <w:rPr>
                <w:sz w:val="24"/>
              </w:rPr>
            </w:pPr>
            <w:r>
              <w:rPr>
                <w:sz w:val="24"/>
              </w:rPr>
              <w:t>8591.00</w:t>
            </w:r>
          </w:p>
        </w:tc>
        <w:tc>
          <w:tcPr>
            <w:tcW w:w="1425" w:type="dxa"/>
          </w:tcPr>
          <w:p>
            <w:pPr>
              <w:pStyle w:val="TableParagraph"/>
              <w:spacing w:before="199"/>
              <w:ind w:right="97"/>
              <w:jc w:val="right"/>
              <w:rPr>
                <w:sz w:val="24"/>
              </w:rPr>
            </w:pPr>
            <w:r>
              <w:rPr>
                <w:sz w:val="24"/>
              </w:rPr>
              <w:t>9351.00</w:t>
            </w:r>
          </w:p>
        </w:tc>
        <w:tc>
          <w:tcPr>
            <w:tcW w:w="1560" w:type="dxa"/>
          </w:tcPr>
          <w:p>
            <w:pPr>
              <w:pStyle w:val="TableParagraph"/>
              <w:spacing w:before="199"/>
              <w:ind w:right="97"/>
              <w:jc w:val="right"/>
              <w:rPr>
                <w:sz w:val="24"/>
              </w:rPr>
            </w:pPr>
            <w:r>
              <w:rPr>
                <w:sz w:val="24"/>
              </w:rPr>
              <w:t>10272.00</w:t>
            </w:r>
          </w:p>
        </w:tc>
        <w:tc>
          <w:tcPr>
            <w:tcW w:w="1695" w:type="dxa"/>
          </w:tcPr>
          <w:p>
            <w:pPr>
              <w:pStyle w:val="TableParagraph"/>
              <w:spacing w:before="199"/>
              <w:ind w:right="95"/>
              <w:jc w:val="right"/>
              <w:rPr>
                <w:sz w:val="24"/>
              </w:rPr>
            </w:pPr>
            <w:r>
              <w:rPr>
                <w:sz w:val="24"/>
              </w:rPr>
              <w:t>11047.00</w:t>
            </w:r>
          </w:p>
        </w:tc>
      </w:tr>
      <w:tr>
        <w:trPr>
          <w:trHeight w:val="707" w:hRule="atLeast"/>
        </w:trPr>
        <w:tc>
          <w:tcPr>
            <w:tcW w:w="2055" w:type="dxa"/>
          </w:tcPr>
          <w:p>
            <w:pPr>
              <w:pStyle w:val="TableParagraph"/>
              <w:spacing w:before="120"/>
              <w:ind w:left="107"/>
              <w:rPr>
                <w:sz w:val="24"/>
              </w:rPr>
            </w:pPr>
            <w:r>
              <w:rPr>
                <w:sz w:val="24"/>
              </w:rPr>
              <w:t>公路货运量占比</w:t>
            </w:r>
          </w:p>
        </w:tc>
        <w:tc>
          <w:tcPr>
            <w:tcW w:w="1566" w:type="dxa"/>
          </w:tcPr>
          <w:p>
            <w:pPr>
              <w:pStyle w:val="TableParagraph"/>
              <w:spacing w:before="120"/>
              <w:ind w:right="95"/>
              <w:jc w:val="right"/>
              <w:rPr>
                <w:sz w:val="24"/>
              </w:rPr>
            </w:pPr>
            <w:r>
              <w:rPr>
                <w:sz w:val="24"/>
              </w:rPr>
              <w:t>97.31%</w:t>
            </w:r>
          </w:p>
        </w:tc>
        <w:tc>
          <w:tcPr>
            <w:tcW w:w="1425" w:type="dxa"/>
          </w:tcPr>
          <w:p>
            <w:pPr>
              <w:pStyle w:val="TableParagraph"/>
              <w:spacing w:before="120"/>
              <w:ind w:right="97"/>
              <w:jc w:val="right"/>
              <w:rPr>
                <w:sz w:val="24"/>
              </w:rPr>
            </w:pPr>
            <w:r>
              <w:rPr>
                <w:sz w:val="24"/>
              </w:rPr>
              <w:t>98.07%</w:t>
            </w:r>
          </w:p>
        </w:tc>
        <w:tc>
          <w:tcPr>
            <w:tcW w:w="1560" w:type="dxa"/>
          </w:tcPr>
          <w:p>
            <w:pPr>
              <w:pStyle w:val="TableParagraph"/>
              <w:spacing w:before="120"/>
              <w:ind w:right="97"/>
              <w:jc w:val="right"/>
              <w:rPr>
                <w:sz w:val="24"/>
              </w:rPr>
            </w:pPr>
            <w:r>
              <w:rPr>
                <w:sz w:val="24"/>
              </w:rPr>
              <w:t>98.04%</w:t>
            </w:r>
          </w:p>
        </w:tc>
        <w:tc>
          <w:tcPr>
            <w:tcW w:w="1695" w:type="dxa"/>
          </w:tcPr>
          <w:p>
            <w:pPr>
              <w:pStyle w:val="TableParagraph"/>
              <w:spacing w:before="120"/>
              <w:ind w:right="95"/>
              <w:jc w:val="right"/>
              <w:rPr>
                <w:sz w:val="24"/>
              </w:rPr>
            </w:pPr>
            <w:r>
              <w:rPr>
                <w:sz w:val="24"/>
              </w:rPr>
              <w:t>98.00%</w:t>
            </w:r>
          </w:p>
        </w:tc>
      </w:tr>
      <w:tr>
        <w:trPr>
          <w:trHeight w:val="706" w:hRule="atLeast"/>
        </w:trPr>
        <w:tc>
          <w:tcPr>
            <w:tcW w:w="2055" w:type="dxa"/>
          </w:tcPr>
          <w:p>
            <w:pPr>
              <w:pStyle w:val="TableParagraph"/>
              <w:spacing w:before="121"/>
              <w:ind w:left="107"/>
              <w:rPr>
                <w:sz w:val="24"/>
              </w:rPr>
            </w:pPr>
            <w:r>
              <w:rPr>
                <w:sz w:val="24"/>
              </w:rPr>
              <w:t>铁路货物运输量</w:t>
            </w:r>
          </w:p>
        </w:tc>
        <w:tc>
          <w:tcPr>
            <w:tcW w:w="1566" w:type="dxa"/>
          </w:tcPr>
          <w:p>
            <w:pPr>
              <w:pStyle w:val="TableParagraph"/>
              <w:spacing w:before="121"/>
              <w:ind w:right="95"/>
              <w:jc w:val="right"/>
              <w:rPr>
                <w:sz w:val="24"/>
              </w:rPr>
            </w:pPr>
            <w:r>
              <w:rPr>
                <w:sz w:val="24"/>
              </w:rPr>
              <w:t>191.88</w:t>
            </w:r>
          </w:p>
        </w:tc>
        <w:tc>
          <w:tcPr>
            <w:tcW w:w="1425" w:type="dxa"/>
          </w:tcPr>
          <w:p>
            <w:pPr>
              <w:pStyle w:val="TableParagraph"/>
              <w:spacing w:before="121"/>
              <w:ind w:right="97"/>
              <w:jc w:val="right"/>
              <w:rPr>
                <w:sz w:val="24"/>
              </w:rPr>
            </w:pPr>
            <w:r>
              <w:rPr>
                <w:sz w:val="24"/>
              </w:rPr>
              <w:t>137.79</w:t>
            </w:r>
          </w:p>
        </w:tc>
        <w:tc>
          <w:tcPr>
            <w:tcW w:w="1560" w:type="dxa"/>
          </w:tcPr>
          <w:p>
            <w:pPr>
              <w:pStyle w:val="TableParagraph"/>
              <w:spacing w:before="121"/>
              <w:ind w:right="97"/>
              <w:jc w:val="right"/>
              <w:rPr>
                <w:sz w:val="24"/>
              </w:rPr>
            </w:pPr>
            <w:r>
              <w:rPr>
                <w:sz w:val="24"/>
              </w:rPr>
              <w:t>152.59</w:t>
            </w:r>
          </w:p>
        </w:tc>
        <w:tc>
          <w:tcPr>
            <w:tcW w:w="1695" w:type="dxa"/>
          </w:tcPr>
          <w:p>
            <w:pPr>
              <w:pStyle w:val="TableParagraph"/>
              <w:spacing w:before="121"/>
              <w:ind w:right="95"/>
              <w:jc w:val="right"/>
              <w:rPr>
                <w:sz w:val="24"/>
              </w:rPr>
            </w:pPr>
            <w:r>
              <w:rPr>
                <w:sz w:val="24"/>
              </w:rPr>
              <w:t>166.85</w:t>
            </w:r>
          </w:p>
        </w:tc>
      </w:tr>
      <w:tr>
        <w:trPr>
          <w:trHeight w:val="707" w:hRule="atLeast"/>
        </w:trPr>
        <w:tc>
          <w:tcPr>
            <w:tcW w:w="2055" w:type="dxa"/>
          </w:tcPr>
          <w:p>
            <w:pPr>
              <w:pStyle w:val="TableParagraph"/>
              <w:spacing w:before="121"/>
              <w:ind w:left="107"/>
              <w:rPr>
                <w:sz w:val="24"/>
              </w:rPr>
            </w:pPr>
            <w:r>
              <w:rPr>
                <w:sz w:val="24"/>
              </w:rPr>
              <w:t>铁路货运量占比</w:t>
            </w:r>
          </w:p>
        </w:tc>
        <w:tc>
          <w:tcPr>
            <w:tcW w:w="1566" w:type="dxa"/>
          </w:tcPr>
          <w:p>
            <w:pPr>
              <w:pStyle w:val="TableParagraph"/>
              <w:spacing w:before="121"/>
              <w:ind w:right="95"/>
              <w:jc w:val="right"/>
              <w:rPr>
                <w:sz w:val="24"/>
              </w:rPr>
            </w:pPr>
            <w:r>
              <w:rPr>
                <w:sz w:val="24"/>
              </w:rPr>
              <w:t>2.17%</w:t>
            </w:r>
          </w:p>
        </w:tc>
        <w:tc>
          <w:tcPr>
            <w:tcW w:w="1425" w:type="dxa"/>
          </w:tcPr>
          <w:p>
            <w:pPr>
              <w:pStyle w:val="TableParagraph"/>
              <w:spacing w:before="121"/>
              <w:ind w:right="97"/>
              <w:jc w:val="right"/>
              <w:rPr>
                <w:sz w:val="24"/>
              </w:rPr>
            </w:pPr>
            <w:r>
              <w:rPr>
                <w:sz w:val="24"/>
              </w:rPr>
              <w:t>1.45%</w:t>
            </w:r>
          </w:p>
        </w:tc>
        <w:tc>
          <w:tcPr>
            <w:tcW w:w="1560" w:type="dxa"/>
          </w:tcPr>
          <w:p>
            <w:pPr>
              <w:pStyle w:val="TableParagraph"/>
              <w:spacing w:before="121"/>
              <w:ind w:right="97"/>
              <w:jc w:val="right"/>
              <w:rPr>
                <w:sz w:val="24"/>
              </w:rPr>
            </w:pPr>
            <w:r>
              <w:rPr>
                <w:sz w:val="24"/>
              </w:rPr>
              <w:t>1.46%</w:t>
            </w:r>
          </w:p>
        </w:tc>
        <w:tc>
          <w:tcPr>
            <w:tcW w:w="1695" w:type="dxa"/>
          </w:tcPr>
          <w:p>
            <w:pPr>
              <w:pStyle w:val="TableParagraph"/>
              <w:spacing w:before="121"/>
              <w:ind w:right="95"/>
              <w:jc w:val="right"/>
              <w:rPr>
                <w:sz w:val="24"/>
              </w:rPr>
            </w:pPr>
            <w:r>
              <w:rPr>
                <w:sz w:val="24"/>
              </w:rPr>
              <w:t>1.48%</w:t>
            </w:r>
          </w:p>
        </w:tc>
      </w:tr>
      <w:tr>
        <w:trPr>
          <w:trHeight w:val="706" w:hRule="atLeast"/>
        </w:trPr>
        <w:tc>
          <w:tcPr>
            <w:tcW w:w="2055" w:type="dxa"/>
          </w:tcPr>
          <w:p>
            <w:pPr>
              <w:pStyle w:val="TableParagraph"/>
              <w:spacing w:before="120"/>
              <w:ind w:left="107"/>
              <w:rPr>
                <w:sz w:val="24"/>
              </w:rPr>
            </w:pPr>
            <w:r>
              <w:rPr>
                <w:sz w:val="24"/>
              </w:rPr>
              <w:t>水路货物运输量</w:t>
            </w:r>
          </w:p>
        </w:tc>
        <w:tc>
          <w:tcPr>
            <w:tcW w:w="1566" w:type="dxa"/>
          </w:tcPr>
          <w:p>
            <w:pPr>
              <w:pStyle w:val="TableParagraph"/>
              <w:spacing w:before="120"/>
              <w:ind w:right="95"/>
              <w:jc w:val="right"/>
              <w:rPr>
                <w:sz w:val="24"/>
              </w:rPr>
            </w:pPr>
            <w:r>
              <w:rPr>
                <w:sz w:val="24"/>
              </w:rPr>
              <w:t>44.00</w:t>
            </w:r>
          </w:p>
        </w:tc>
        <w:tc>
          <w:tcPr>
            <w:tcW w:w="1425" w:type="dxa"/>
          </w:tcPr>
          <w:p>
            <w:pPr>
              <w:pStyle w:val="TableParagraph"/>
              <w:spacing w:before="120"/>
              <w:ind w:right="97"/>
              <w:jc w:val="right"/>
              <w:rPr>
                <w:sz w:val="24"/>
              </w:rPr>
            </w:pPr>
            <w:r>
              <w:rPr>
                <w:sz w:val="24"/>
              </w:rPr>
              <w:t>45.00</w:t>
            </w:r>
          </w:p>
        </w:tc>
        <w:tc>
          <w:tcPr>
            <w:tcW w:w="1560" w:type="dxa"/>
          </w:tcPr>
          <w:p>
            <w:pPr>
              <w:pStyle w:val="TableParagraph"/>
              <w:spacing w:before="120"/>
              <w:ind w:right="97"/>
              <w:jc w:val="right"/>
              <w:rPr>
                <w:sz w:val="24"/>
              </w:rPr>
            </w:pPr>
            <w:r>
              <w:rPr>
                <w:sz w:val="24"/>
              </w:rPr>
              <w:t>51.00</w:t>
            </w:r>
          </w:p>
        </w:tc>
        <w:tc>
          <w:tcPr>
            <w:tcW w:w="1695" w:type="dxa"/>
          </w:tcPr>
          <w:p>
            <w:pPr>
              <w:pStyle w:val="TableParagraph"/>
              <w:spacing w:before="120"/>
              <w:ind w:right="95"/>
              <w:jc w:val="right"/>
              <w:rPr>
                <w:sz w:val="24"/>
              </w:rPr>
            </w:pPr>
            <w:r>
              <w:rPr>
                <w:sz w:val="24"/>
              </w:rPr>
              <w:t>59.00</w:t>
            </w:r>
          </w:p>
        </w:tc>
      </w:tr>
      <w:tr>
        <w:trPr>
          <w:trHeight w:val="706" w:hRule="atLeast"/>
        </w:trPr>
        <w:tc>
          <w:tcPr>
            <w:tcW w:w="2055" w:type="dxa"/>
          </w:tcPr>
          <w:p>
            <w:pPr>
              <w:pStyle w:val="TableParagraph"/>
              <w:spacing w:before="121"/>
              <w:ind w:left="107"/>
              <w:rPr>
                <w:sz w:val="24"/>
              </w:rPr>
            </w:pPr>
            <w:r>
              <w:rPr>
                <w:sz w:val="24"/>
              </w:rPr>
              <w:t>水运货运量占比</w:t>
            </w:r>
          </w:p>
        </w:tc>
        <w:tc>
          <w:tcPr>
            <w:tcW w:w="1566" w:type="dxa"/>
          </w:tcPr>
          <w:p>
            <w:pPr>
              <w:pStyle w:val="TableParagraph"/>
              <w:spacing w:before="121"/>
              <w:ind w:right="95"/>
              <w:jc w:val="right"/>
              <w:rPr>
                <w:sz w:val="24"/>
              </w:rPr>
            </w:pPr>
            <w:r>
              <w:rPr>
                <w:sz w:val="24"/>
              </w:rPr>
              <w:t>0.50%</w:t>
            </w:r>
          </w:p>
        </w:tc>
        <w:tc>
          <w:tcPr>
            <w:tcW w:w="1425" w:type="dxa"/>
          </w:tcPr>
          <w:p>
            <w:pPr>
              <w:pStyle w:val="TableParagraph"/>
              <w:spacing w:before="121"/>
              <w:ind w:right="97"/>
              <w:jc w:val="right"/>
              <w:rPr>
                <w:sz w:val="24"/>
              </w:rPr>
            </w:pPr>
            <w:r>
              <w:rPr>
                <w:sz w:val="24"/>
              </w:rPr>
              <w:t>0.47%</w:t>
            </w:r>
          </w:p>
        </w:tc>
        <w:tc>
          <w:tcPr>
            <w:tcW w:w="1560" w:type="dxa"/>
          </w:tcPr>
          <w:p>
            <w:pPr>
              <w:pStyle w:val="TableParagraph"/>
              <w:spacing w:before="121"/>
              <w:ind w:right="97"/>
              <w:jc w:val="right"/>
              <w:rPr>
                <w:sz w:val="24"/>
              </w:rPr>
            </w:pPr>
            <w:r>
              <w:rPr>
                <w:sz w:val="24"/>
              </w:rPr>
              <w:t>0.49%</w:t>
            </w:r>
          </w:p>
        </w:tc>
        <w:tc>
          <w:tcPr>
            <w:tcW w:w="1695" w:type="dxa"/>
          </w:tcPr>
          <w:p>
            <w:pPr>
              <w:pStyle w:val="TableParagraph"/>
              <w:spacing w:before="121"/>
              <w:ind w:right="95"/>
              <w:jc w:val="right"/>
              <w:rPr>
                <w:sz w:val="24"/>
              </w:rPr>
            </w:pPr>
            <w:r>
              <w:rPr>
                <w:sz w:val="24"/>
              </w:rPr>
              <w:t>0.52%</w:t>
            </w:r>
          </w:p>
        </w:tc>
      </w:tr>
      <w:tr>
        <w:trPr>
          <w:trHeight w:val="707" w:hRule="atLeast"/>
        </w:trPr>
        <w:tc>
          <w:tcPr>
            <w:tcW w:w="2055" w:type="dxa"/>
          </w:tcPr>
          <w:p>
            <w:pPr>
              <w:pStyle w:val="TableParagraph"/>
              <w:spacing w:before="122"/>
              <w:ind w:left="107"/>
              <w:rPr>
                <w:sz w:val="24"/>
              </w:rPr>
            </w:pPr>
            <w:r>
              <w:rPr>
                <w:sz w:val="24"/>
              </w:rPr>
              <w:t>航空货邮发送量</w:t>
            </w:r>
          </w:p>
        </w:tc>
        <w:tc>
          <w:tcPr>
            <w:tcW w:w="1566" w:type="dxa"/>
          </w:tcPr>
          <w:p>
            <w:pPr>
              <w:pStyle w:val="TableParagraph"/>
              <w:spacing w:before="122"/>
              <w:ind w:right="95"/>
              <w:jc w:val="right"/>
              <w:rPr>
                <w:sz w:val="24"/>
              </w:rPr>
            </w:pPr>
            <w:r>
              <w:rPr>
                <w:sz w:val="24"/>
              </w:rPr>
              <w:t>1.40</w:t>
            </w:r>
          </w:p>
        </w:tc>
        <w:tc>
          <w:tcPr>
            <w:tcW w:w="1425" w:type="dxa"/>
          </w:tcPr>
          <w:p>
            <w:pPr>
              <w:pStyle w:val="TableParagraph"/>
              <w:spacing w:before="122"/>
              <w:ind w:right="97"/>
              <w:jc w:val="right"/>
              <w:rPr>
                <w:sz w:val="24"/>
              </w:rPr>
            </w:pPr>
            <w:r>
              <w:rPr>
                <w:sz w:val="24"/>
              </w:rPr>
              <w:t>1.20</w:t>
            </w:r>
          </w:p>
        </w:tc>
        <w:tc>
          <w:tcPr>
            <w:tcW w:w="1560" w:type="dxa"/>
          </w:tcPr>
          <w:p>
            <w:pPr>
              <w:pStyle w:val="TableParagraph"/>
              <w:spacing w:before="122"/>
              <w:ind w:right="97"/>
              <w:jc w:val="right"/>
              <w:rPr>
                <w:sz w:val="24"/>
              </w:rPr>
            </w:pPr>
            <w:r>
              <w:rPr>
                <w:sz w:val="24"/>
              </w:rPr>
              <w:t>1.70</w:t>
            </w:r>
          </w:p>
        </w:tc>
        <w:tc>
          <w:tcPr>
            <w:tcW w:w="1695" w:type="dxa"/>
          </w:tcPr>
          <w:p>
            <w:pPr>
              <w:pStyle w:val="TableParagraph"/>
              <w:spacing w:before="122"/>
              <w:ind w:right="95"/>
              <w:jc w:val="right"/>
              <w:rPr>
                <w:sz w:val="24"/>
              </w:rPr>
            </w:pPr>
            <w:r>
              <w:rPr>
                <w:sz w:val="24"/>
              </w:rPr>
              <w:t>3.03</w:t>
            </w:r>
          </w:p>
        </w:tc>
      </w:tr>
      <w:tr>
        <w:trPr>
          <w:trHeight w:val="706" w:hRule="atLeast"/>
        </w:trPr>
        <w:tc>
          <w:tcPr>
            <w:tcW w:w="2055" w:type="dxa"/>
          </w:tcPr>
          <w:p>
            <w:pPr>
              <w:pStyle w:val="TableParagraph"/>
              <w:spacing w:before="122"/>
              <w:ind w:left="107"/>
              <w:rPr>
                <w:sz w:val="24"/>
              </w:rPr>
            </w:pPr>
            <w:r>
              <w:rPr>
                <w:sz w:val="24"/>
              </w:rPr>
              <w:t>航空货运量占比</w:t>
            </w:r>
          </w:p>
        </w:tc>
        <w:tc>
          <w:tcPr>
            <w:tcW w:w="1566" w:type="dxa"/>
          </w:tcPr>
          <w:p>
            <w:pPr>
              <w:pStyle w:val="TableParagraph"/>
              <w:spacing w:before="122"/>
              <w:ind w:right="95"/>
              <w:jc w:val="right"/>
              <w:rPr>
                <w:sz w:val="24"/>
              </w:rPr>
            </w:pPr>
            <w:r>
              <w:rPr>
                <w:sz w:val="24"/>
              </w:rPr>
              <w:t>0.02%</w:t>
            </w:r>
          </w:p>
        </w:tc>
        <w:tc>
          <w:tcPr>
            <w:tcW w:w="1425" w:type="dxa"/>
          </w:tcPr>
          <w:p>
            <w:pPr>
              <w:pStyle w:val="TableParagraph"/>
              <w:spacing w:before="122"/>
              <w:ind w:right="97"/>
              <w:jc w:val="right"/>
              <w:rPr>
                <w:sz w:val="24"/>
              </w:rPr>
            </w:pPr>
            <w:r>
              <w:rPr>
                <w:sz w:val="24"/>
              </w:rPr>
              <w:t>0.01%</w:t>
            </w:r>
          </w:p>
        </w:tc>
        <w:tc>
          <w:tcPr>
            <w:tcW w:w="1560" w:type="dxa"/>
          </w:tcPr>
          <w:p>
            <w:pPr>
              <w:pStyle w:val="TableParagraph"/>
              <w:spacing w:before="122"/>
              <w:ind w:right="97"/>
              <w:jc w:val="right"/>
              <w:rPr>
                <w:sz w:val="24"/>
              </w:rPr>
            </w:pPr>
            <w:r>
              <w:rPr>
                <w:sz w:val="24"/>
              </w:rPr>
              <w:t>0.02%</w:t>
            </w:r>
          </w:p>
        </w:tc>
        <w:tc>
          <w:tcPr>
            <w:tcW w:w="1695" w:type="dxa"/>
          </w:tcPr>
          <w:p>
            <w:pPr>
              <w:pStyle w:val="TableParagraph"/>
              <w:spacing w:before="122"/>
              <w:ind w:right="95"/>
              <w:jc w:val="right"/>
              <w:rPr>
                <w:sz w:val="24"/>
              </w:rPr>
            </w:pPr>
            <w:r>
              <w:rPr>
                <w:sz w:val="24"/>
              </w:rPr>
              <w:t>0.03%</w:t>
            </w:r>
          </w:p>
        </w:tc>
      </w:tr>
    </w:tbl>
    <w:p>
      <w:pPr>
        <w:pStyle w:val="BodyText"/>
        <w:spacing w:line="364" w:lineRule="auto" w:before="122"/>
        <w:ind w:right="484" w:firstLine="640"/>
        <w:jc w:val="both"/>
      </w:pPr>
      <w:r>
        <w:rPr/>
        <w:t>2018</w:t>
      </w:r>
      <w:r>
        <w:rPr>
          <w:spacing w:val="-19"/>
        </w:rPr>
        <w:t> 年桂林市交通运输、仓储和邮政业增加值 </w:t>
      </w:r>
      <w:r>
        <w:rPr/>
        <w:t>78.94</w:t>
      </w:r>
      <w:r>
        <w:rPr>
          <w:spacing w:val="-43"/>
        </w:rPr>
        <w:t> 亿元，2019</w:t>
      </w:r>
      <w:r>
        <w:rPr>
          <w:spacing w:val="-25"/>
        </w:rPr>
        <w:t> 年同比增长 </w:t>
      </w:r>
      <w:r>
        <w:rPr/>
        <w:t>5.2%。2016-2018</w:t>
      </w:r>
      <w:r>
        <w:rPr>
          <w:spacing w:val="-10"/>
        </w:rPr>
        <w:t> 年，全市交通运输、</w:t>
      </w:r>
      <w:r>
        <w:rPr>
          <w:spacing w:val="-15"/>
        </w:rPr>
        <w:t>仓储和邮政业类新成立市场主体 </w:t>
      </w:r>
      <w:r>
        <w:rPr/>
        <w:t>3160</w:t>
      </w:r>
      <w:r>
        <w:rPr>
          <w:spacing w:val="-30"/>
        </w:rPr>
        <w:t> 户，达到 </w:t>
      </w:r>
      <w:r>
        <w:rPr/>
        <w:t>5519</w:t>
      </w:r>
      <w:r>
        <w:rPr>
          <w:spacing w:val="-24"/>
        </w:rPr>
        <w:t> 户，年</w:t>
      </w:r>
    </w:p>
    <w:p>
      <w:pPr>
        <w:pStyle w:val="BodyText"/>
        <w:spacing w:line="408" w:lineRule="exact"/>
        <w:jc w:val="both"/>
      </w:pPr>
      <w:r>
        <w:rPr>
          <w:spacing w:val="-21"/>
        </w:rPr>
        <w:t>均增长 </w:t>
      </w:r>
      <w:r>
        <w:rPr>
          <w:spacing w:val="-8"/>
        </w:rPr>
        <w:t>33.5%</w:t>
      </w:r>
      <w:r>
        <w:rPr>
          <w:spacing w:val="-11"/>
        </w:rPr>
        <w:t>；全市载货汽车新增 </w:t>
      </w:r>
      <w:r>
        <w:rPr/>
        <w:t>12124</w:t>
      </w:r>
      <w:r>
        <w:rPr>
          <w:spacing w:val="-36"/>
        </w:rPr>
        <w:t> 辆，达到 </w:t>
      </w:r>
      <w:r>
        <w:rPr/>
        <w:t>57764</w:t>
      </w:r>
      <w:r>
        <w:rPr>
          <w:spacing w:val="-28"/>
        </w:rPr>
        <w:t> 辆，</w:t>
      </w:r>
    </w:p>
    <w:p>
      <w:pPr>
        <w:pStyle w:val="BodyText"/>
        <w:spacing w:line="364" w:lineRule="auto" w:before="214"/>
        <w:ind w:right="484"/>
        <w:jc w:val="both"/>
      </w:pPr>
      <w:r>
        <w:rPr>
          <w:spacing w:val="-17"/>
        </w:rPr>
        <w:t>年均增长 </w:t>
      </w:r>
      <w:r>
        <w:rPr/>
        <w:t>8.85</w:t>
      </w:r>
      <w:r>
        <w:rPr>
          <w:spacing w:val="-11"/>
        </w:rPr>
        <w:t>%；新增载重量 </w:t>
      </w:r>
      <w:r>
        <w:rPr/>
        <w:t>2.53</w:t>
      </w:r>
      <w:r>
        <w:rPr>
          <w:spacing w:val="-25"/>
        </w:rPr>
        <w:t> 万吨，达到 </w:t>
      </w:r>
      <w:r>
        <w:rPr/>
        <w:t>15.67</w:t>
      </w:r>
      <w:r>
        <w:rPr>
          <w:spacing w:val="-21"/>
        </w:rPr>
        <w:t> 万吨， </w:t>
      </w:r>
      <w:r>
        <w:rPr>
          <w:spacing w:val="-33"/>
        </w:rPr>
        <w:t>年均增长 </w:t>
      </w:r>
      <w:r>
        <w:rPr/>
        <w:t>6.42%。</w:t>
      </w:r>
    </w:p>
    <w:p>
      <w:pPr>
        <w:spacing w:after="0" w:line="364" w:lineRule="auto"/>
        <w:jc w:val="both"/>
        <w:sectPr>
          <w:pgSz w:w="11910" w:h="16840"/>
          <w:pgMar w:header="0" w:footer="902" w:top="1420" w:bottom="1180" w:left="1240" w:right="1220"/>
        </w:sectPr>
      </w:pPr>
    </w:p>
    <w:p>
      <w:pPr>
        <w:pStyle w:val="ListParagraph"/>
        <w:numPr>
          <w:ilvl w:val="1"/>
          <w:numId w:val="12"/>
        </w:numPr>
        <w:tabs>
          <w:tab w:pos="1463" w:val="left" w:leader="none"/>
        </w:tabs>
        <w:spacing w:line="240" w:lineRule="auto" w:before="41" w:after="0"/>
        <w:ind w:left="1462" w:right="0" w:hanging="303"/>
        <w:jc w:val="left"/>
        <w:rPr>
          <w:b/>
          <w:sz w:val="30"/>
        </w:rPr>
      </w:pPr>
      <w:bookmarkStart w:name="3.电商快递物流成为新的发展亮点" w:id="13"/>
      <w:bookmarkEnd w:id="13"/>
      <w:r>
        <w:rPr/>
      </w:r>
      <w:bookmarkStart w:name="_bookmark5" w:id="14"/>
      <w:bookmarkEnd w:id="14"/>
      <w:r>
        <w:rPr/>
      </w:r>
      <w:bookmarkStart w:name="_bookmark5" w:id="15"/>
      <w:bookmarkEnd w:id="15"/>
      <w:r>
        <w:rPr>
          <w:b/>
          <w:sz w:val="30"/>
        </w:rPr>
        <w:t>电商快递物流成为新的发展亮点</w:t>
      </w:r>
    </w:p>
    <w:p>
      <w:pPr>
        <w:pStyle w:val="BodyText"/>
        <w:spacing w:before="10"/>
        <w:ind w:left="0"/>
        <w:rPr>
          <w:b/>
          <w:sz w:val="24"/>
        </w:rPr>
      </w:pPr>
    </w:p>
    <w:p>
      <w:pPr>
        <w:pStyle w:val="BodyText"/>
        <w:spacing w:line="364" w:lineRule="auto" w:before="1"/>
        <w:ind w:right="565" w:firstLine="640"/>
        <w:jc w:val="both"/>
      </w:pPr>
      <w:r>
        <w:rPr/>
        <w:t>近年来，桂林市积极推进桂林国家电子商务示范城市、</w:t>
      </w:r>
      <w:r>
        <w:rPr>
          <w:spacing w:val="-2"/>
        </w:rPr>
        <w:t>“桂林电商谷”国家电子商务示范基地、电子商务进农村综</w:t>
      </w:r>
      <w:r>
        <w:rPr>
          <w:spacing w:val="-3"/>
        </w:rPr>
        <w:t>合示范县建设，在电商集聚发展、农村电商、旅游电商、电</w:t>
      </w:r>
      <w:r>
        <w:rPr>
          <w:spacing w:val="-5"/>
        </w:rPr>
        <w:t>商扶贫等方面大胆探索、亮点纷呈，电子商务与物流协同发</w:t>
      </w:r>
      <w:r>
        <w:rPr>
          <w:spacing w:val="-11"/>
        </w:rPr>
        <w:t>展，全市电商经济发展步入快车道。</w:t>
      </w:r>
      <w:r>
        <w:rPr/>
        <w:t>2019</w:t>
      </w:r>
      <w:r>
        <w:rPr>
          <w:spacing w:val="-13"/>
        </w:rPr>
        <w:t> 年全市网络零售总</w:t>
      </w:r>
      <w:r>
        <w:rPr>
          <w:spacing w:val="-46"/>
        </w:rPr>
        <w:t>额 </w:t>
      </w:r>
      <w:r>
        <w:rPr/>
        <w:t>102</w:t>
      </w:r>
      <w:r>
        <w:rPr>
          <w:spacing w:val="-20"/>
        </w:rPr>
        <w:t> 亿元，增长 </w:t>
      </w:r>
      <w:r>
        <w:rPr>
          <w:spacing w:val="3"/>
        </w:rPr>
        <w:t>35</w:t>
      </w:r>
      <w:r>
        <w:rPr>
          <w:spacing w:val="-6"/>
        </w:rPr>
        <w:t>%，占广西全区 </w:t>
      </w:r>
      <w:r>
        <w:rPr>
          <w:spacing w:val="2"/>
        </w:rPr>
        <w:t>22.1</w:t>
      </w:r>
      <w:r>
        <w:rPr>
          <w:spacing w:val="3"/>
        </w:rPr>
        <w:t>%，网络零售发展指数在广西排名第二。</w:t>
      </w:r>
    </w:p>
    <w:p>
      <w:pPr>
        <w:pStyle w:val="BodyText"/>
        <w:spacing w:line="364" w:lineRule="auto" w:before="116"/>
        <w:ind w:right="419" w:firstLine="640"/>
      </w:pPr>
      <w:r>
        <w:rPr/>
        <w:t>2016-2019</w:t>
      </w:r>
      <w:r>
        <w:rPr>
          <w:spacing w:val="-6"/>
        </w:rPr>
        <w:t> 年，桂林市快递物流快速发展，以高新区七星区和临桂新区两翼为核心，全州、永福、灌阳、龙胜、资</w:t>
      </w:r>
      <w:r>
        <w:rPr>
          <w:spacing w:val="-25"/>
        </w:rPr>
        <w:t>源、荔浦、恭城等 </w:t>
      </w:r>
      <w:r>
        <w:rPr/>
        <w:t>7</w:t>
      </w:r>
      <w:r>
        <w:rPr>
          <w:spacing w:val="-13"/>
        </w:rPr>
        <w:t> 个国家电子商务进农村综合示范县</w:t>
      </w:r>
      <w:r>
        <w:rPr/>
        <w:t>（市） </w:t>
      </w:r>
      <w:r>
        <w:rPr>
          <w:spacing w:val="-3"/>
        </w:rPr>
        <w:t>和阳朔县、灵川县、平乐县等为重点基地的快递物流“两核</w:t>
      </w:r>
      <w:r>
        <w:rPr>
          <w:spacing w:val="-8"/>
        </w:rPr>
        <w:t>多基地”发展格局基本形成。</w:t>
      </w:r>
      <w:r>
        <w:rPr/>
        <w:t>2019</w:t>
      </w:r>
      <w:r>
        <w:rPr>
          <w:spacing w:val="-12"/>
        </w:rPr>
        <w:t> 年底，全市现有邮政普遍</w:t>
      </w:r>
      <w:r>
        <w:rPr>
          <w:spacing w:val="-5"/>
        </w:rPr>
        <w:t>服务营业网点 </w:t>
      </w:r>
      <w:r>
        <w:rPr/>
        <w:t>184</w:t>
      </w:r>
      <w:r>
        <w:rPr>
          <w:spacing w:val="-9"/>
        </w:rPr>
        <w:t> 个，快递许可企业 </w:t>
      </w:r>
      <w:r>
        <w:rPr/>
        <w:t>84</w:t>
      </w:r>
      <w:r>
        <w:rPr>
          <w:spacing w:val="-13"/>
        </w:rPr>
        <w:t> 家、分支机构 </w:t>
      </w:r>
      <w:r>
        <w:rPr/>
        <w:t>383</w:t>
      </w:r>
    </w:p>
    <w:p>
      <w:pPr>
        <w:pStyle w:val="BodyText"/>
        <w:spacing w:line="408" w:lineRule="exact"/>
      </w:pPr>
      <w:r>
        <w:rPr>
          <w:spacing w:val="-14"/>
        </w:rPr>
        <w:t>家、末端网点 </w:t>
      </w:r>
      <w:r>
        <w:rPr/>
        <w:t>1366</w:t>
      </w:r>
      <w:r>
        <w:rPr>
          <w:spacing w:val="-20"/>
        </w:rPr>
        <w:t> 个，行业从业人员 </w:t>
      </w:r>
      <w:r>
        <w:rPr/>
        <w:t>5100</w:t>
      </w:r>
      <w:r>
        <w:rPr>
          <w:spacing w:val="-13"/>
        </w:rPr>
        <w:t> 余人，快递公共</w:t>
      </w:r>
    </w:p>
    <w:p>
      <w:pPr>
        <w:pStyle w:val="BodyText"/>
        <w:spacing w:before="211"/>
        <w:jc w:val="both"/>
      </w:pPr>
      <w:r>
        <w:rPr>
          <w:spacing w:val="-12"/>
        </w:rPr>
        <w:t>服务站点 </w:t>
      </w:r>
      <w:r>
        <w:rPr/>
        <w:t>270</w:t>
      </w:r>
      <w:r>
        <w:rPr>
          <w:spacing w:val="-13"/>
        </w:rPr>
        <w:t> 余个、村邮乐购店 </w:t>
      </w:r>
      <w:r>
        <w:rPr/>
        <w:t>1448</w:t>
      </w:r>
      <w:r>
        <w:rPr>
          <w:spacing w:val="-5"/>
        </w:rPr>
        <w:t> 个，全市智能快件箱</w:t>
      </w:r>
    </w:p>
    <w:p>
      <w:pPr>
        <w:pStyle w:val="BodyText"/>
        <w:spacing w:line="364" w:lineRule="auto" w:before="212"/>
        <w:ind w:right="577"/>
        <w:jc w:val="both"/>
      </w:pPr>
      <w:r>
        <w:rPr>
          <w:spacing w:val="-28"/>
        </w:rPr>
        <w:t>达到 </w:t>
      </w:r>
      <w:r>
        <w:rPr/>
        <w:t>1015</w:t>
      </w:r>
      <w:r>
        <w:rPr>
          <w:spacing w:val="-37"/>
        </w:rPr>
        <w:t> 组、格口 </w:t>
      </w:r>
      <w:r>
        <w:rPr/>
        <w:t>9.15</w:t>
      </w:r>
      <w:r>
        <w:rPr>
          <w:spacing w:val="-33"/>
        </w:rPr>
        <w:t> 万个。</w:t>
      </w:r>
      <w:r>
        <w:rPr/>
        <w:t>2019</w:t>
      </w:r>
      <w:r>
        <w:rPr>
          <w:spacing w:val="-10"/>
        </w:rPr>
        <w:t> 年桂林市邮政业业务总</w:t>
      </w:r>
      <w:r>
        <w:rPr>
          <w:spacing w:val="-29"/>
        </w:rPr>
        <w:t>量实现 </w:t>
      </w:r>
      <w:r>
        <w:rPr/>
        <w:t>109525.82</w:t>
      </w:r>
      <w:r>
        <w:rPr>
          <w:spacing w:val="-27"/>
        </w:rPr>
        <w:t> 万元，同比增长 </w:t>
      </w:r>
      <w:r>
        <w:rPr>
          <w:spacing w:val="-7"/>
        </w:rPr>
        <w:t>18.18</w:t>
      </w:r>
      <w:r>
        <w:rPr>
          <w:spacing w:val="-4"/>
        </w:rPr>
        <w:t>%；快递业务量完成3312.28</w:t>
      </w:r>
      <w:r>
        <w:rPr>
          <w:spacing w:val="-20"/>
        </w:rPr>
        <w:t> 万件，同比增长 </w:t>
      </w:r>
      <w:r>
        <w:rPr/>
        <w:t>12.98%。</w:t>
      </w:r>
    </w:p>
    <w:p>
      <w:pPr>
        <w:pStyle w:val="ListParagraph"/>
        <w:numPr>
          <w:ilvl w:val="1"/>
          <w:numId w:val="12"/>
        </w:numPr>
        <w:tabs>
          <w:tab w:pos="1463" w:val="left" w:leader="none"/>
        </w:tabs>
        <w:spacing w:line="240" w:lineRule="auto" w:before="118" w:after="0"/>
        <w:ind w:left="1462" w:right="0" w:hanging="303"/>
        <w:jc w:val="left"/>
        <w:rPr>
          <w:b/>
          <w:sz w:val="30"/>
        </w:rPr>
      </w:pPr>
      <w:bookmarkStart w:name="4.区位优势日益凸显" w:id="16"/>
      <w:bookmarkEnd w:id="16"/>
      <w:r>
        <w:rPr/>
      </w:r>
      <w:bookmarkStart w:name="_bookmark6" w:id="17"/>
      <w:bookmarkEnd w:id="17"/>
      <w:r>
        <w:rPr/>
      </w:r>
      <w:bookmarkStart w:name="_bookmark6" w:id="18"/>
      <w:bookmarkEnd w:id="18"/>
      <w:r>
        <w:rPr>
          <w:b/>
          <w:w w:val="95"/>
          <w:sz w:val="30"/>
        </w:rPr>
        <w:t>区位优势日益凸显</w:t>
      </w:r>
    </w:p>
    <w:p>
      <w:pPr>
        <w:pStyle w:val="BodyText"/>
        <w:ind w:left="0"/>
        <w:rPr>
          <w:b/>
          <w:sz w:val="25"/>
        </w:rPr>
      </w:pPr>
    </w:p>
    <w:p>
      <w:pPr>
        <w:pStyle w:val="BodyText"/>
        <w:spacing w:line="364" w:lineRule="auto"/>
        <w:ind w:right="533" w:firstLine="640"/>
      </w:pPr>
      <w:r>
        <w:rPr/>
        <w:t>桂林地处成渝经济区、中部经济试验区、泛珠三角经济</w:t>
      </w:r>
      <w:r>
        <w:rPr>
          <w:w w:val="95"/>
        </w:rPr>
        <w:t>区、泛北部湾经济区的交汇处，是沟通西南与华南沿海经济</w:t>
      </w:r>
    </w:p>
    <w:p>
      <w:pPr>
        <w:spacing w:after="0" w:line="364" w:lineRule="auto"/>
        <w:sectPr>
          <w:pgSz w:w="11910" w:h="16840"/>
          <w:pgMar w:header="0" w:footer="902" w:top="1420" w:bottom="1180" w:left="1240" w:right="1220"/>
        </w:sectPr>
      </w:pPr>
    </w:p>
    <w:p>
      <w:pPr>
        <w:pStyle w:val="BodyText"/>
        <w:spacing w:line="364" w:lineRule="auto" w:before="43"/>
        <w:ind w:right="565"/>
        <w:jc w:val="both"/>
      </w:pPr>
      <w:r>
        <w:rPr/>
        <w:t>的桥梁，是广西出海出边通道及连接中国—东盟自贸区的重要通道，成为贯通国内与东盟的枢纽。同时，贵广高速铁路线、衡柳铁路和湘桂经济走廊在桂林交汇，形成了两条物流发展轴带：一是横贯桂林东西，东向连接广东、香港，向西连接贵州、四川、云南、重庆等西南省市的物流发展轴带； 二是南北纵向贯通，向南连接柳州、南宁和北部湾，北向连接湖南、湖北和中原腹地的物流发展轴带。根据对货车帮的抽样调查和工商企业原材料及产成品走向调研，外地运进桂林的物流订单相对均衡，广西区内（南向）约占 15%，桂林以北地区（北联）超过 50%，广东等东部地区约占 10%；桂林运往外地的物流订单主要集中在广西区内、湖南和广东三省，三者合计占到总量的 66%；运往云贵川渝等西部地区约为 15%。可见，桂林物流业已经初步形成“南向、北联、东融、西合”发展格局，区位优势进一步凸显。</w:t>
      </w:r>
    </w:p>
    <w:p>
      <w:pPr>
        <w:pStyle w:val="ListParagraph"/>
        <w:numPr>
          <w:ilvl w:val="1"/>
          <w:numId w:val="12"/>
        </w:numPr>
        <w:tabs>
          <w:tab w:pos="1463" w:val="left" w:leader="none"/>
        </w:tabs>
        <w:spacing w:line="240" w:lineRule="auto" w:before="108" w:after="0"/>
        <w:ind w:left="1462" w:right="0" w:hanging="303"/>
        <w:jc w:val="left"/>
        <w:rPr>
          <w:b/>
          <w:sz w:val="30"/>
        </w:rPr>
      </w:pPr>
      <w:bookmarkStart w:name="5.发展政策环境持续改善" w:id="19"/>
      <w:bookmarkEnd w:id="19"/>
      <w:r>
        <w:rPr/>
      </w:r>
      <w:bookmarkStart w:name="_bookmark7" w:id="20"/>
      <w:bookmarkEnd w:id="20"/>
      <w:r>
        <w:rPr/>
      </w:r>
      <w:bookmarkStart w:name="_bookmark7" w:id="21"/>
      <w:bookmarkEnd w:id="21"/>
      <w:r>
        <w:rPr>
          <w:b/>
          <w:sz w:val="30"/>
        </w:rPr>
        <w:t>发展政策环境持续改善</w:t>
      </w:r>
    </w:p>
    <w:p>
      <w:pPr>
        <w:pStyle w:val="BodyText"/>
        <w:ind w:left="0"/>
        <w:rPr>
          <w:b/>
          <w:sz w:val="25"/>
        </w:rPr>
      </w:pPr>
    </w:p>
    <w:p>
      <w:pPr>
        <w:pStyle w:val="BodyText"/>
        <w:spacing w:line="364" w:lineRule="auto"/>
        <w:ind w:right="580" w:firstLine="640"/>
        <w:jc w:val="both"/>
      </w:pPr>
      <w:r>
        <w:rPr>
          <w:spacing w:val="-4"/>
        </w:rPr>
        <w:t>近年来，桂林市在降低物流企业制度性交易成本、降低</w:t>
      </w:r>
      <w:r>
        <w:rPr>
          <w:spacing w:val="-3"/>
        </w:rPr>
        <w:t>高速公路车辆通行成本、降低农产品冷链物流用电成本、降</w:t>
      </w:r>
      <w:r>
        <w:rPr>
          <w:spacing w:val="11"/>
          <w:w w:val="95"/>
        </w:rPr>
        <w:t>低重大物流项目用水成本和降低物流行业企业税费负担等 </w:t>
      </w:r>
      <w:r>
        <w:rPr/>
        <w:t>方面，采取积极有效措施推动落实国家和自治区物流降本增效相关政策，为物流业发展营造了良好环境。</w:t>
      </w:r>
    </w:p>
    <w:p>
      <w:pPr>
        <w:spacing w:after="0" w:line="364" w:lineRule="auto"/>
        <w:jc w:val="both"/>
        <w:sectPr>
          <w:pgSz w:w="11910" w:h="16840"/>
          <w:pgMar w:header="0" w:footer="902" w:top="1420" w:bottom="1180" w:left="1240" w:right="1220"/>
        </w:sectPr>
      </w:pPr>
    </w:p>
    <w:p>
      <w:pPr>
        <w:pStyle w:val="Heading1"/>
        <w:spacing w:before="43"/>
        <w:rPr>
          <w:rFonts w:ascii="楷体" w:eastAsia="楷体" w:hint="eastAsia"/>
        </w:rPr>
      </w:pPr>
      <w:bookmarkStart w:name="（二）主要困难和不足" w:id="22"/>
      <w:bookmarkEnd w:id="22"/>
      <w:r>
        <w:rPr>
          <w:b w:val="0"/>
        </w:rPr>
      </w:r>
      <w:bookmarkStart w:name="_bookmark8" w:id="23"/>
      <w:bookmarkEnd w:id="23"/>
      <w:r>
        <w:rPr>
          <w:b w:val="0"/>
        </w:rPr>
      </w:r>
      <w:r>
        <w:rPr>
          <w:rFonts w:ascii="楷体" w:eastAsia="楷体" w:hint="eastAsia"/>
        </w:rPr>
        <w:t>（二）主要困难和不足</w:t>
      </w:r>
    </w:p>
    <w:p>
      <w:pPr>
        <w:pStyle w:val="BodyText"/>
        <w:spacing w:before="9"/>
        <w:ind w:left="0"/>
        <w:rPr>
          <w:rFonts w:ascii="楷体"/>
          <w:b/>
          <w:sz w:val="25"/>
        </w:rPr>
      </w:pPr>
    </w:p>
    <w:p>
      <w:pPr>
        <w:pStyle w:val="ListParagraph"/>
        <w:numPr>
          <w:ilvl w:val="0"/>
          <w:numId w:val="13"/>
        </w:numPr>
        <w:tabs>
          <w:tab w:pos="1463" w:val="left" w:leader="none"/>
        </w:tabs>
        <w:spacing w:line="240" w:lineRule="auto" w:before="0" w:after="0"/>
        <w:ind w:left="1462" w:right="0" w:hanging="303"/>
        <w:jc w:val="left"/>
        <w:rPr>
          <w:b/>
          <w:sz w:val="30"/>
        </w:rPr>
      </w:pPr>
      <w:bookmarkStart w:name="1.大型物流园区规划建设不足" w:id="24"/>
      <w:bookmarkEnd w:id="24"/>
      <w:r>
        <w:rPr/>
      </w:r>
      <w:bookmarkStart w:name="_bookmark9" w:id="25"/>
      <w:bookmarkEnd w:id="25"/>
      <w:r>
        <w:rPr/>
      </w:r>
      <w:bookmarkStart w:name="_bookmark9" w:id="26"/>
      <w:bookmarkEnd w:id="26"/>
      <w:r>
        <w:rPr>
          <w:b/>
          <w:sz w:val="30"/>
        </w:rPr>
        <w:t>大型物流园区规划建设不足</w:t>
      </w:r>
    </w:p>
    <w:p>
      <w:pPr>
        <w:pStyle w:val="BodyText"/>
        <w:ind w:left="0"/>
        <w:rPr>
          <w:b/>
          <w:sz w:val="25"/>
        </w:rPr>
      </w:pPr>
    </w:p>
    <w:p>
      <w:pPr>
        <w:pStyle w:val="BodyText"/>
        <w:spacing w:line="364" w:lineRule="auto" w:before="1"/>
        <w:ind w:right="419" w:firstLine="640"/>
      </w:pPr>
      <w:r>
        <w:rPr>
          <w:spacing w:val="-1"/>
        </w:rPr>
        <w:t>一是大型物流园区规划建设不足，现有物流园区布局分</w:t>
      </w:r>
      <w:r>
        <w:rPr>
          <w:spacing w:val="-4"/>
        </w:rPr>
        <w:t>散、规模普遍较小，货运市场集中度偏低，物流园区骨干组</w:t>
      </w:r>
      <w:r>
        <w:rPr>
          <w:spacing w:val="-6"/>
        </w:rPr>
        <w:t>织作用发挥不足，物流园区间协同效应不明显，没有形成顺</w:t>
      </w:r>
      <w:r>
        <w:rPr>
          <w:spacing w:val="-7"/>
        </w:rPr>
        <w:t>畅便捷的整体性网络。二是物流资源整合不充分，部分物流园区存在同质化竞争、低水平重复建设等问题，内部缺乏有</w:t>
      </w:r>
      <w:r>
        <w:rPr>
          <w:spacing w:val="-5"/>
        </w:rPr>
        <w:t>效分工，集聚和配置资源要素的作用没有充分发挥，服务质</w:t>
      </w:r>
      <w:r>
        <w:rPr>
          <w:spacing w:val="-14"/>
          <w:w w:val="95"/>
        </w:rPr>
        <w:t>量有待提高。三是发展方式较为粗放，缺少公路港、无水港、 </w:t>
      </w:r>
      <w:r>
        <w:rPr>
          <w:spacing w:val="-14"/>
        </w:rPr>
        <w:t>保税区等新型物流园区，已建成物流园区信息化设施缺乏， </w:t>
      </w:r>
      <w:r>
        <w:rPr>
          <w:spacing w:val="-10"/>
        </w:rPr>
        <w:t>经营方式落后、功能单一，物流金融、多式联运等新业态新模式发展严重不足。</w:t>
      </w:r>
    </w:p>
    <w:p>
      <w:pPr>
        <w:pStyle w:val="ListParagraph"/>
        <w:numPr>
          <w:ilvl w:val="0"/>
          <w:numId w:val="13"/>
        </w:numPr>
        <w:tabs>
          <w:tab w:pos="1463" w:val="left" w:leader="none"/>
        </w:tabs>
        <w:spacing w:line="240" w:lineRule="auto" w:before="111" w:after="0"/>
        <w:ind w:left="1462" w:right="0" w:hanging="303"/>
        <w:jc w:val="left"/>
        <w:rPr>
          <w:b/>
          <w:sz w:val="30"/>
        </w:rPr>
      </w:pPr>
      <w:bookmarkStart w:name="2.物流业市场主体“小散弱”现象严重" w:id="27"/>
      <w:bookmarkEnd w:id="27"/>
      <w:r>
        <w:rPr/>
      </w:r>
      <w:bookmarkStart w:name="_bookmark10" w:id="28"/>
      <w:bookmarkEnd w:id="28"/>
      <w:r>
        <w:rPr/>
      </w:r>
      <w:bookmarkStart w:name="_bookmark10" w:id="29"/>
      <w:bookmarkEnd w:id="29"/>
      <w:r>
        <w:rPr>
          <w:b/>
          <w:sz w:val="30"/>
        </w:rPr>
        <w:t>物流业市场主体“小散弱”现象严重</w:t>
      </w:r>
    </w:p>
    <w:p>
      <w:pPr>
        <w:pStyle w:val="BodyText"/>
        <w:ind w:left="0"/>
        <w:rPr>
          <w:b/>
          <w:sz w:val="25"/>
        </w:rPr>
      </w:pPr>
    </w:p>
    <w:p>
      <w:pPr>
        <w:pStyle w:val="BodyText"/>
        <w:spacing w:before="1"/>
        <w:ind w:left="1200"/>
      </w:pPr>
      <w:r>
        <w:rPr>
          <w:spacing w:val="-27"/>
        </w:rPr>
        <w:t>截止 </w:t>
      </w:r>
      <w:r>
        <w:rPr/>
        <w:t>2018</w:t>
      </w:r>
      <w:r>
        <w:rPr>
          <w:spacing w:val="-2"/>
        </w:rPr>
        <w:t> 年底，桂林市共在册登记交通运输、仓储和</w:t>
      </w:r>
    </w:p>
    <w:p>
      <w:pPr>
        <w:pStyle w:val="BodyText"/>
        <w:spacing w:before="211"/>
        <w:jc w:val="both"/>
      </w:pPr>
      <w:r>
        <w:rPr>
          <w:spacing w:val="-10"/>
        </w:rPr>
        <w:t>邮政业类市场主体 </w:t>
      </w:r>
      <w:r>
        <w:rPr/>
        <w:t>5519</w:t>
      </w:r>
      <w:r>
        <w:rPr>
          <w:spacing w:val="-19"/>
        </w:rPr>
        <w:t> 户，其中注册资本在 </w:t>
      </w:r>
      <w:r>
        <w:rPr/>
        <w:t>1000</w:t>
      </w:r>
      <w:r>
        <w:rPr>
          <w:spacing w:val="-17"/>
        </w:rPr>
        <w:t> 万元以上</w:t>
      </w:r>
    </w:p>
    <w:p>
      <w:pPr>
        <w:pStyle w:val="BodyText"/>
        <w:spacing w:line="364" w:lineRule="auto" w:before="212"/>
        <w:ind w:right="577"/>
        <w:jc w:val="both"/>
      </w:pPr>
      <w:r>
        <w:rPr>
          <w:spacing w:val="-42"/>
        </w:rPr>
        <w:t>的 </w:t>
      </w:r>
      <w:r>
        <w:rPr/>
        <w:t>104</w:t>
      </w:r>
      <w:r>
        <w:rPr>
          <w:spacing w:val="-30"/>
        </w:rPr>
        <w:t> 户、</w:t>
      </w:r>
      <w:r>
        <w:rPr/>
        <w:t>3A</w:t>
      </w:r>
      <w:r>
        <w:rPr>
          <w:spacing w:val="-10"/>
        </w:rPr>
        <w:t>以上物流企业只有 </w:t>
      </w:r>
      <w:r>
        <w:rPr/>
        <w:t>3</w:t>
      </w:r>
      <w:r>
        <w:rPr>
          <w:spacing w:val="-10"/>
        </w:rPr>
        <w:t> 家，骨干龙头企业少，物</w:t>
      </w:r>
      <w:r>
        <w:rPr>
          <w:spacing w:val="11"/>
          <w:w w:val="95"/>
        </w:rPr>
        <w:t>流业整体水平不高、多数物流企业服务业态单一，物流业 </w:t>
      </w:r>
      <w:r>
        <w:rPr>
          <w:spacing w:val="11"/>
        </w:rPr>
        <w:t>“小、散、弱”现象严重。</w:t>
      </w:r>
    </w:p>
    <w:p>
      <w:pPr>
        <w:pStyle w:val="ListParagraph"/>
        <w:numPr>
          <w:ilvl w:val="0"/>
          <w:numId w:val="13"/>
        </w:numPr>
        <w:tabs>
          <w:tab w:pos="1463" w:val="left" w:leader="none"/>
        </w:tabs>
        <w:spacing w:line="240" w:lineRule="auto" w:before="118" w:after="0"/>
        <w:ind w:left="1462" w:right="0" w:hanging="303"/>
        <w:jc w:val="left"/>
        <w:rPr>
          <w:b/>
          <w:sz w:val="30"/>
        </w:rPr>
      </w:pPr>
      <w:bookmarkStart w:name="3.物流组织方式和发展模式落后" w:id="30"/>
      <w:bookmarkEnd w:id="30"/>
      <w:r>
        <w:rPr/>
      </w:r>
      <w:bookmarkStart w:name="_bookmark11" w:id="31"/>
      <w:bookmarkEnd w:id="31"/>
      <w:r>
        <w:rPr/>
      </w:r>
      <w:bookmarkStart w:name="_bookmark11" w:id="32"/>
      <w:bookmarkEnd w:id="32"/>
      <w:r>
        <w:rPr>
          <w:b/>
          <w:sz w:val="30"/>
        </w:rPr>
        <w:t>物流组织方式和发展模式落后</w:t>
      </w:r>
    </w:p>
    <w:p>
      <w:pPr>
        <w:pStyle w:val="BodyText"/>
        <w:ind w:left="0"/>
        <w:rPr>
          <w:b/>
          <w:sz w:val="25"/>
        </w:rPr>
      </w:pPr>
    </w:p>
    <w:p>
      <w:pPr>
        <w:pStyle w:val="BodyText"/>
        <w:spacing w:line="364" w:lineRule="auto"/>
        <w:ind w:right="565" w:firstLine="640"/>
      </w:pPr>
      <w:r>
        <w:rPr/>
        <w:t>桂林市物流业发展模式总体还处于传统运输仓储阶段， 专业化、信息化水平亟待提高。主要表现在：物流企业信息</w:t>
      </w:r>
    </w:p>
    <w:p>
      <w:pPr>
        <w:spacing w:after="0" w:line="364" w:lineRule="auto"/>
        <w:sectPr>
          <w:pgSz w:w="11910" w:h="16840"/>
          <w:pgMar w:header="0" w:footer="902" w:top="1420" w:bottom="1180" w:left="1240" w:right="1220"/>
        </w:sectPr>
      </w:pPr>
    </w:p>
    <w:p>
      <w:pPr>
        <w:pStyle w:val="BodyText"/>
        <w:spacing w:line="364" w:lineRule="auto" w:before="43"/>
        <w:ind w:right="419"/>
      </w:pPr>
      <w:r>
        <w:rPr>
          <w:spacing w:val="-2"/>
        </w:rPr>
        <w:t>化程度低，物流智能化技术和设备设施应用不足，大部分企</w:t>
      </w:r>
      <w:r>
        <w:rPr>
          <w:spacing w:val="-13"/>
          <w:w w:val="95"/>
        </w:rPr>
        <w:t>业仍主要采用传统作业方式；工业和商业领域的采购、制造、 </w:t>
      </w:r>
      <w:r>
        <w:rPr>
          <w:spacing w:val="-7"/>
        </w:rPr>
        <w:t>运输、仓储、加工、配送等环节彼此分割，制约了物流配送的社会化等。</w:t>
      </w:r>
    </w:p>
    <w:p>
      <w:pPr>
        <w:pStyle w:val="ListParagraph"/>
        <w:numPr>
          <w:ilvl w:val="0"/>
          <w:numId w:val="13"/>
        </w:numPr>
        <w:tabs>
          <w:tab w:pos="1463" w:val="left" w:leader="none"/>
        </w:tabs>
        <w:spacing w:line="240" w:lineRule="auto" w:before="117" w:after="0"/>
        <w:ind w:left="1462" w:right="0" w:hanging="303"/>
        <w:jc w:val="left"/>
        <w:rPr>
          <w:b/>
          <w:sz w:val="30"/>
        </w:rPr>
      </w:pPr>
      <w:bookmarkStart w:name="4.公路货运以外的其他运输方式短板明显" w:id="33"/>
      <w:bookmarkEnd w:id="33"/>
      <w:r>
        <w:rPr/>
      </w:r>
      <w:bookmarkStart w:name="_bookmark12" w:id="34"/>
      <w:bookmarkEnd w:id="34"/>
      <w:r>
        <w:rPr/>
      </w:r>
      <w:bookmarkStart w:name="_bookmark12" w:id="35"/>
      <w:bookmarkEnd w:id="35"/>
      <w:r>
        <w:rPr>
          <w:b/>
          <w:sz w:val="30"/>
        </w:rPr>
        <w:t>公路货运以外的其他运输方式短板明显</w:t>
      </w:r>
    </w:p>
    <w:p>
      <w:pPr>
        <w:pStyle w:val="BodyText"/>
        <w:spacing w:before="10"/>
        <w:ind w:left="0"/>
        <w:rPr>
          <w:b/>
          <w:sz w:val="24"/>
        </w:rPr>
      </w:pPr>
    </w:p>
    <w:p>
      <w:pPr>
        <w:pStyle w:val="BodyText"/>
        <w:spacing w:line="364" w:lineRule="auto"/>
        <w:ind w:right="418" w:firstLine="640"/>
      </w:pPr>
      <w:r>
        <w:rPr/>
        <w:t>2016-2019</w:t>
      </w:r>
      <w:r>
        <w:rPr>
          <w:spacing w:val="-6"/>
        </w:rPr>
        <w:t> 年，每年公路货运量和货物周转量均占全方</w:t>
      </w:r>
      <w:r>
        <w:rPr>
          <w:spacing w:val="-24"/>
        </w:rPr>
        <w:t>式总量的 </w:t>
      </w:r>
      <w:r>
        <w:rPr/>
        <w:t>97</w:t>
      </w:r>
      <w:r>
        <w:rPr>
          <w:spacing w:val="-10"/>
        </w:rPr>
        <w:t>%以上，水运、铁路、航空等运输方式占比过低， </w:t>
      </w:r>
      <w:r>
        <w:rPr>
          <w:spacing w:val="11"/>
        </w:rPr>
        <w:t>多式联运全程一站式解决方案利用率不高，企业甩挂运输</w:t>
      </w:r>
      <w:r>
        <w:rPr>
          <w:spacing w:val="-2"/>
        </w:rPr>
        <w:t>“单干”的现象较为普遍，托盘共用、共同配送等新型运输</w:t>
      </w:r>
      <w:r>
        <w:rPr>
          <w:spacing w:val="-4"/>
        </w:rPr>
        <w:t>组织方式尚处于起步阶段，物流园区和货运枢纽规模小、业态单一，物流运输组织方式落后。</w:t>
      </w:r>
    </w:p>
    <w:p>
      <w:pPr>
        <w:pStyle w:val="Heading1"/>
        <w:rPr>
          <w:rFonts w:ascii="楷体" w:eastAsia="楷体" w:hint="eastAsia"/>
        </w:rPr>
      </w:pPr>
      <w:bookmarkStart w:name="（三）发展机遇" w:id="36"/>
      <w:bookmarkEnd w:id="36"/>
      <w:r>
        <w:rPr>
          <w:b w:val="0"/>
        </w:rPr>
      </w:r>
      <w:bookmarkStart w:name="_bookmark13" w:id="37"/>
      <w:bookmarkEnd w:id="37"/>
      <w:r>
        <w:rPr>
          <w:b w:val="0"/>
        </w:rPr>
      </w:r>
      <w:r>
        <w:rPr>
          <w:rFonts w:ascii="楷体" w:eastAsia="楷体" w:hint="eastAsia"/>
        </w:rPr>
        <w:t>（三）发展机遇</w:t>
      </w:r>
    </w:p>
    <w:p>
      <w:pPr>
        <w:pStyle w:val="BodyText"/>
        <w:spacing w:before="1"/>
        <w:ind w:left="0"/>
        <w:rPr>
          <w:rFonts w:ascii="楷体"/>
          <w:b/>
          <w:sz w:val="26"/>
        </w:rPr>
      </w:pPr>
    </w:p>
    <w:p>
      <w:pPr>
        <w:pStyle w:val="ListParagraph"/>
        <w:numPr>
          <w:ilvl w:val="0"/>
          <w:numId w:val="14"/>
        </w:numPr>
        <w:tabs>
          <w:tab w:pos="1532" w:val="left" w:leader="none"/>
        </w:tabs>
        <w:spacing w:line="364" w:lineRule="auto" w:before="0" w:after="0"/>
        <w:ind w:left="560" w:right="580" w:firstLine="640"/>
        <w:jc w:val="both"/>
        <w:rPr>
          <w:sz w:val="32"/>
        </w:rPr>
      </w:pPr>
      <w:r>
        <w:rPr>
          <w:spacing w:val="13"/>
          <w:w w:val="95"/>
          <w:sz w:val="32"/>
        </w:rPr>
        <w:t>桂林国际旅游胜地建设带动物流服务重点转变与结 </w:t>
      </w:r>
      <w:r>
        <w:rPr>
          <w:spacing w:val="-2"/>
          <w:sz w:val="32"/>
        </w:rPr>
        <w:t>构升级。自治区党委和政府提出，桂林市要以世界一流为发</w:t>
      </w:r>
      <w:r>
        <w:rPr>
          <w:spacing w:val="1"/>
          <w:sz w:val="32"/>
        </w:rPr>
        <w:t>展目标，打造桂林国际旅游胜地，要求到 </w:t>
      </w:r>
      <w:r>
        <w:rPr>
          <w:sz w:val="32"/>
        </w:rPr>
        <w:t>2025</w:t>
      </w:r>
      <w:r>
        <w:rPr>
          <w:spacing w:val="-11"/>
          <w:sz w:val="32"/>
        </w:rPr>
        <w:t> 年，全面形</w:t>
      </w:r>
      <w:r>
        <w:rPr>
          <w:spacing w:val="-10"/>
          <w:sz w:val="32"/>
        </w:rPr>
        <w:t>成以服务业为主体、新型工业和特色农业协调融合发展的现</w:t>
      </w:r>
      <w:r>
        <w:rPr>
          <w:spacing w:val="-9"/>
          <w:sz w:val="32"/>
        </w:rPr>
        <w:t>代产业体系，全面建成世界一流的国际旅游胜地。这就要求</w:t>
      </w:r>
      <w:r>
        <w:rPr>
          <w:spacing w:val="-1"/>
          <w:sz w:val="32"/>
        </w:rPr>
        <w:t>桂林市不仅要注重发展生产性物流，更要高度重视发展消费</w:t>
      </w:r>
      <w:r>
        <w:rPr>
          <w:spacing w:val="-4"/>
          <w:w w:val="95"/>
          <w:sz w:val="32"/>
        </w:rPr>
        <w:t>性物流服务，加快提升服务供给质量，调整运输结构，提高 </w:t>
      </w:r>
      <w:r>
        <w:rPr>
          <w:spacing w:val="-4"/>
          <w:sz w:val="32"/>
        </w:rPr>
        <w:t>组织效率，实现高效、绿色发展。</w:t>
      </w:r>
    </w:p>
    <w:p>
      <w:pPr>
        <w:pStyle w:val="ListParagraph"/>
        <w:numPr>
          <w:ilvl w:val="0"/>
          <w:numId w:val="14"/>
        </w:numPr>
        <w:tabs>
          <w:tab w:pos="1532" w:val="left" w:leader="none"/>
        </w:tabs>
        <w:spacing w:line="240" w:lineRule="auto" w:before="114" w:after="0"/>
        <w:ind w:left="1532" w:right="0" w:hanging="332"/>
        <w:jc w:val="left"/>
        <w:rPr>
          <w:sz w:val="32"/>
        </w:rPr>
      </w:pPr>
      <w:r>
        <w:rPr>
          <w:spacing w:val="13"/>
          <w:sz w:val="32"/>
        </w:rPr>
        <w:t>国家物流枢纽和西部陆海新通道建设要求桂林市物</w:t>
      </w:r>
    </w:p>
    <w:p>
      <w:pPr>
        <w:spacing w:after="0" w:line="240" w:lineRule="auto"/>
        <w:jc w:val="left"/>
        <w:rPr>
          <w:sz w:val="32"/>
        </w:rPr>
        <w:sectPr>
          <w:pgSz w:w="11910" w:h="16840"/>
          <w:pgMar w:header="0" w:footer="902" w:top="1420" w:bottom="1180" w:left="1240" w:right="1220"/>
        </w:sectPr>
      </w:pPr>
    </w:p>
    <w:p>
      <w:pPr>
        <w:pStyle w:val="BodyText"/>
        <w:spacing w:line="364" w:lineRule="auto" w:before="43"/>
        <w:ind w:right="575"/>
        <w:jc w:val="both"/>
      </w:pPr>
      <w:r>
        <w:rPr>
          <w:spacing w:val="-2"/>
        </w:rPr>
        <w:t>流辐射范围不断扩大。桂林商贸服务型国家物流枢纽由于其</w:t>
      </w:r>
      <w:r>
        <w:rPr>
          <w:spacing w:val="-4"/>
        </w:rPr>
        <w:t>特殊的交通区位，在桂粤湘黔四省区物流网络中将发挥关键</w:t>
      </w:r>
      <w:r>
        <w:rPr>
          <w:spacing w:val="-5"/>
        </w:rPr>
        <w:t>节点、重要平台和骨干枢纽的作用。西部陆海新通道北接丝</w:t>
      </w:r>
      <w:r>
        <w:rPr>
          <w:spacing w:val="-4"/>
        </w:rPr>
        <w:t>绸之路经济带，南连 </w:t>
      </w:r>
      <w:r>
        <w:rPr/>
        <w:t>21</w:t>
      </w:r>
      <w:r>
        <w:rPr>
          <w:spacing w:val="-4"/>
        </w:rPr>
        <w:t> 世纪海上丝绸之路，协同衔接长江</w:t>
      </w:r>
      <w:r>
        <w:rPr>
          <w:spacing w:val="-5"/>
        </w:rPr>
        <w:t>经济带，是西部大开发和区域协调发展的重要举措，桂林市理应以此为契机，深入实施“南向、北联、东融、西合”开</w:t>
      </w:r>
      <w:r>
        <w:rPr>
          <w:spacing w:val="-7"/>
        </w:rPr>
        <w:t>放合作战略，大力发展枢纽经济，进一步加强与周边地区的合作联动，搭建更广泛、更开放、更高层次的发展平台。</w:t>
      </w:r>
    </w:p>
    <w:p>
      <w:pPr>
        <w:pStyle w:val="ListParagraph"/>
        <w:numPr>
          <w:ilvl w:val="0"/>
          <w:numId w:val="14"/>
        </w:numPr>
        <w:tabs>
          <w:tab w:pos="1532" w:val="left" w:leader="none"/>
        </w:tabs>
        <w:spacing w:line="364" w:lineRule="auto" w:before="114" w:after="0"/>
        <w:ind w:left="560" w:right="577" w:firstLine="640"/>
        <w:jc w:val="both"/>
        <w:rPr>
          <w:sz w:val="32"/>
        </w:rPr>
      </w:pPr>
      <w:r>
        <w:rPr>
          <w:spacing w:val="13"/>
          <w:w w:val="95"/>
          <w:sz w:val="32"/>
        </w:rPr>
        <w:t>现代化经济体系建设要求大幅提升物流综合服务能 </w:t>
      </w:r>
      <w:r>
        <w:rPr>
          <w:sz w:val="32"/>
        </w:rPr>
        <w:t>力。供给侧结构性改革要求推动物流与相关产业深度融合发</w:t>
      </w:r>
      <w:r>
        <w:rPr>
          <w:spacing w:val="-4"/>
          <w:sz w:val="32"/>
        </w:rPr>
        <w:t>展，大幅提升货物集散转运、仓储配送、装卸搬运、加工集</w:t>
      </w:r>
      <w:r>
        <w:rPr>
          <w:spacing w:val="-4"/>
          <w:w w:val="95"/>
          <w:sz w:val="32"/>
        </w:rPr>
        <w:t>拼、多式联运等基础服务能力，大力发展以平台整合、供应 </w:t>
      </w:r>
      <w:r>
        <w:rPr>
          <w:spacing w:val="-6"/>
          <w:w w:val="95"/>
          <w:sz w:val="32"/>
        </w:rPr>
        <w:t>链融合为特征的新业态新模式，在旅游商品物流、电商快递 </w:t>
      </w:r>
      <w:r>
        <w:rPr>
          <w:spacing w:val="-5"/>
          <w:sz w:val="32"/>
        </w:rPr>
        <w:t>物流、冷链物流、制造业供应链物流等重点领域，降低物流成本，提高物流效率，提升服务水平，支撑桂林市经济社会高质量发展。</w:t>
      </w:r>
    </w:p>
    <w:p>
      <w:pPr>
        <w:pStyle w:val="ListParagraph"/>
        <w:numPr>
          <w:ilvl w:val="0"/>
          <w:numId w:val="14"/>
        </w:numPr>
        <w:tabs>
          <w:tab w:pos="1532" w:val="left" w:leader="none"/>
        </w:tabs>
        <w:spacing w:line="364" w:lineRule="auto" w:before="114" w:after="0"/>
        <w:ind w:left="560" w:right="419" w:firstLine="640"/>
        <w:jc w:val="left"/>
        <w:rPr>
          <w:sz w:val="32"/>
        </w:rPr>
      </w:pPr>
      <w:r>
        <w:rPr>
          <w:spacing w:val="13"/>
          <w:sz w:val="32"/>
        </w:rPr>
        <w:t>物流技术快速发展为大幅提高物流运行组织效率提</w:t>
      </w:r>
      <w:r>
        <w:rPr>
          <w:spacing w:val="-2"/>
          <w:sz w:val="32"/>
        </w:rPr>
        <w:t>供了机遇和平台。近年来，互联网、物联网、大数据、云计</w:t>
      </w:r>
      <w:r>
        <w:rPr>
          <w:spacing w:val="-11"/>
          <w:w w:val="95"/>
          <w:sz w:val="32"/>
        </w:rPr>
        <w:t>算等现代信息技术与物流业发展深度融合，无人机、无人仓、 </w:t>
      </w:r>
      <w:r>
        <w:rPr>
          <w:spacing w:val="-8"/>
          <w:sz w:val="32"/>
        </w:rPr>
        <w:t>物流机器人、新能源汽车等智能化、绿色化设施设备在物流</w:t>
      </w:r>
      <w:r>
        <w:rPr>
          <w:spacing w:val="-9"/>
          <w:sz w:val="32"/>
        </w:rPr>
        <w:t>领域加快推广应用，为桂林市物流业转型升级和创新发展提供了机遇和平台。</w:t>
      </w:r>
    </w:p>
    <w:p>
      <w:pPr>
        <w:spacing w:after="0" w:line="364" w:lineRule="auto"/>
        <w:jc w:val="left"/>
        <w:rPr>
          <w:sz w:val="32"/>
        </w:rPr>
        <w:sectPr>
          <w:pgSz w:w="11910" w:h="16840"/>
          <w:pgMar w:header="0" w:footer="902" w:top="1420" w:bottom="1180" w:left="1240" w:right="1220"/>
        </w:sectPr>
      </w:pPr>
    </w:p>
    <w:p>
      <w:pPr>
        <w:pStyle w:val="Heading1"/>
        <w:spacing w:before="43"/>
        <w:rPr>
          <w:rFonts w:ascii="楷体" w:eastAsia="楷体" w:hint="eastAsia"/>
        </w:rPr>
      </w:pPr>
      <w:bookmarkStart w:name="（四）主要挑战" w:id="38"/>
      <w:bookmarkEnd w:id="38"/>
      <w:r>
        <w:rPr>
          <w:b w:val="0"/>
        </w:rPr>
      </w:r>
      <w:bookmarkStart w:name="_bookmark14" w:id="39"/>
      <w:bookmarkEnd w:id="39"/>
      <w:r>
        <w:rPr>
          <w:b w:val="0"/>
        </w:rPr>
      </w:r>
      <w:r>
        <w:rPr>
          <w:rFonts w:ascii="楷体" w:eastAsia="楷体" w:hint="eastAsia"/>
        </w:rPr>
        <w:t>（四）主要挑战</w:t>
      </w:r>
    </w:p>
    <w:p>
      <w:pPr>
        <w:pStyle w:val="BodyText"/>
        <w:spacing w:before="11"/>
        <w:ind w:left="0"/>
        <w:rPr>
          <w:rFonts w:ascii="楷体"/>
          <w:b/>
          <w:sz w:val="25"/>
        </w:rPr>
      </w:pPr>
    </w:p>
    <w:p>
      <w:pPr>
        <w:pStyle w:val="BodyText"/>
        <w:spacing w:line="364" w:lineRule="auto"/>
        <w:ind w:right="419" w:firstLine="640"/>
      </w:pPr>
      <w:r>
        <w:rPr>
          <w:spacing w:val="-2"/>
        </w:rPr>
        <w:t>西部陆海新通道建设对桂林既是机遇，更是挑战。在桂</w:t>
      </w:r>
      <w:r>
        <w:rPr>
          <w:spacing w:val="-4"/>
        </w:rPr>
        <w:t>林周边地区，相当部分城市与桂林市条件相仿、功能定位趋</w:t>
      </w:r>
      <w:r>
        <w:rPr>
          <w:spacing w:val="-5"/>
        </w:rPr>
        <w:t>同，同质化竞争难以避免，物流市场竞争激烈，要求桂林市</w:t>
      </w:r>
      <w:r>
        <w:rPr>
          <w:spacing w:val="-17"/>
          <w:w w:val="95"/>
        </w:rPr>
        <w:t>物流业转变发展观念，以物流资源整合、物流运行模式创新、 </w:t>
      </w:r>
      <w:r>
        <w:rPr>
          <w:spacing w:val="-15"/>
        </w:rPr>
        <w:t>物流降本增效和优化营商环境、物流基础设施建设和战略性</w:t>
      </w:r>
      <w:r>
        <w:rPr>
          <w:spacing w:val="11"/>
        </w:rPr>
        <w:t>项目为抓手，进一步促进物流业降本增效和增强企业竞争力，加快物流业转型升级。</w:t>
      </w:r>
    </w:p>
    <w:p>
      <w:pPr>
        <w:pStyle w:val="BodyText"/>
        <w:spacing w:before="116"/>
        <w:ind w:left="1200"/>
        <w:rPr>
          <w:rFonts w:ascii="黑体" w:eastAsia="黑体" w:hint="eastAsia"/>
        </w:rPr>
      </w:pPr>
      <w:bookmarkStart w:name="二、总体要求" w:id="40"/>
      <w:bookmarkEnd w:id="40"/>
      <w:r>
        <w:rPr/>
      </w:r>
      <w:bookmarkStart w:name="_bookmark15" w:id="41"/>
      <w:bookmarkEnd w:id="41"/>
      <w:r>
        <w:rPr/>
      </w:r>
      <w:r>
        <w:rPr>
          <w:rFonts w:ascii="黑体" w:eastAsia="黑体" w:hint="eastAsia"/>
        </w:rPr>
        <w:t>二、总体要求</w:t>
      </w:r>
    </w:p>
    <w:p>
      <w:pPr>
        <w:pStyle w:val="BodyText"/>
        <w:spacing w:before="11"/>
        <w:ind w:left="0"/>
        <w:rPr>
          <w:rFonts w:ascii="黑体"/>
          <w:sz w:val="25"/>
        </w:rPr>
      </w:pPr>
    </w:p>
    <w:p>
      <w:pPr>
        <w:pStyle w:val="Heading1"/>
        <w:spacing w:before="0"/>
        <w:rPr>
          <w:rFonts w:ascii="楷体" w:eastAsia="楷体" w:hint="eastAsia"/>
        </w:rPr>
      </w:pPr>
      <w:bookmarkStart w:name="（一）指导思想" w:id="42"/>
      <w:bookmarkEnd w:id="42"/>
      <w:r>
        <w:rPr>
          <w:b w:val="0"/>
        </w:rPr>
      </w:r>
      <w:bookmarkStart w:name="_bookmark16" w:id="43"/>
      <w:bookmarkEnd w:id="43"/>
      <w:r>
        <w:rPr>
          <w:b w:val="0"/>
        </w:rPr>
      </w:r>
      <w:r>
        <w:rPr>
          <w:rFonts w:ascii="楷体" w:eastAsia="楷体" w:hint="eastAsia"/>
        </w:rPr>
        <w:t>（一）指导思想</w:t>
      </w:r>
    </w:p>
    <w:p>
      <w:pPr>
        <w:pStyle w:val="BodyText"/>
        <w:spacing w:before="11"/>
        <w:ind w:left="0"/>
        <w:rPr>
          <w:rFonts w:ascii="楷体"/>
          <w:b/>
          <w:sz w:val="25"/>
        </w:rPr>
      </w:pPr>
    </w:p>
    <w:p>
      <w:pPr>
        <w:pStyle w:val="BodyText"/>
        <w:spacing w:line="364" w:lineRule="auto" w:before="1"/>
        <w:ind w:right="418" w:firstLine="640"/>
      </w:pPr>
      <w:r>
        <w:rPr>
          <w:spacing w:val="-1"/>
        </w:rPr>
        <w:t>以习近平新时代中国特色社会主义思想为指导，全面贯</w:t>
      </w:r>
      <w:r>
        <w:rPr>
          <w:spacing w:val="-4"/>
        </w:rPr>
        <w:t>彻党的十九大和十九届二中、三中、四中全会精神，牢固树</w:t>
      </w:r>
      <w:r>
        <w:rPr>
          <w:spacing w:val="-5"/>
        </w:rPr>
        <w:t>立和贯彻落实新发展理念，按照高质量发展的要求，统筹推</w:t>
      </w:r>
      <w:r>
        <w:rPr>
          <w:spacing w:val="-14"/>
        </w:rPr>
        <w:t>进“五位一体”总体布局和协调推进“四个全面”战略布局， </w:t>
      </w:r>
      <w:r>
        <w:rPr>
          <w:spacing w:val="-2"/>
        </w:rPr>
        <w:t>坚持以供给侧结构性改革为主线，认真落实党中央、国务院</w:t>
      </w:r>
      <w:r>
        <w:rPr>
          <w:spacing w:val="-3"/>
        </w:rPr>
        <w:t>决策部署，把握“一带一路”倡议、国家物流枢纽网络体系</w:t>
      </w:r>
      <w:r>
        <w:rPr>
          <w:spacing w:val="-4"/>
        </w:rPr>
        <w:t>和西部陆海新通道建设等机遇，充分发挥现代物流业的基础</w:t>
      </w:r>
      <w:r>
        <w:rPr>
          <w:spacing w:val="-5"/>
        </w:rPr>
        <w:t>性、战略性和先导性作用，以国际旅游商贸物流、制造业高效融合物流、冷链物流和电商快递物流等为重点突破方向， 以物流资源整合、重大物流基础设施建设、物流业现代化、</w:t>
      </w:r>
      <w:r>
        <w:rPr>
          <w:spacing w:val="-6"/>
        </w:rPr>
        <w:t>物流与产业高效融合联动发展等为抓手，以物流业降本增效</w:t>
      </w:r>
    </w:p>
    <w:p>
      <w:pPr>
        <w:spacing w:after="0" w:line="364" w:lineRule="auto"/>
        <w:sectPr>
          <w:pgSz w:w="11910" w:h="16840"/>
          <w:pgMar w:header="0" w:footer="902" w:top="1420" w:bottom="1180" w:left="1240" w:right="1220"/>
        </w:sectPr>
      </w:pPr>
    </w:p>
    <w:p>
      <w:pPr>
        <w:pStyle w:val="BodyText"/>
        <w:spacing w:line="364" w:lineRule="auto" w:before="43"/>
        <w:ind w:right="418"/>
      </w:pPr>
      <w:r>
        <w:rPr>
          <w:spacing w:val="-2"/>
        </w:rPr>
        <w:t>和服务提升为方向，推动物流发展模式和行业管理体制机制</w:t>
      </w:r>
      <w:r>
        <w:rPr>
          <w:spacing w:val="-15"/>
          <w:w w:val="95"/>
        </w:rPr>
        <w:t>创新，打造智慧、高效、绿色、低成本的“通道+枢纽+网络” </w:t>
      </w:r>
      <w:r>
        <w:rPr>
          <w:spacing w:val="-11"/>
        </w:rPr>
        <w:t>物流运行体系，把桂林市建设成为商贸服务型国家物流枢纽</w:t>
      </w:r>
      <w:r>
        <w:rPr>
          <w:spacing w:val="-17"/>
        </w:rPr>
        <w:t>区域性中心、西部陆海新通道重要的节点城市和“一带一路” </w:t>
      </w:r>
      <w:r>
        <w:rPr>
          <w:spacing w:val="-16"/>
        </w:rPr>
        <w:t>重要的区域性商贸物流组织中心，为桂林市全面建成世界一流的国际旅游胜地提供重要支撑。</w:t>
      </w:r>
    </w:p>
    <w:p>
      <w:pPr>
        <w:pStyle w:val="Heading1"/>
        <w:rPr>
          <w:rFonts w:ascii="楷体" w:eastAsia="楷体" w:hint="eastAsia"/>
        </w:rPr>
      </w:pPr>
      <w:bookmarkStart w:name="（二）基本原则" w:id="44"/>
      <w:bookmarkEnd w:id="44"/>
      <w:r>
        <w:rPr>
          <w:b w:val="0"/>
        </w:rPr>
      </w:r>
      <w:bookmarkStart w:name="_bookmark17" w:id="45"/>
      <w:bookmarkEnd w:id="45"/>
      <w:r>
        <w:rPr>
          <w:b w:val="0"/>
        </w:rPr>
      </w:r>
      <w:r>
        <w:rPr>
          <w:rFonts w:ascii="楷体" w:eastAsia="楷体" w:hint="eastAsia"/>
        </w:rPr>
        <w:t>（二）基本原则</w:t>
      </w:r>
    </w:p>
    <w:p>
      <w:pPr>
        <w:pStyle w:val="BodyText"/>
        <w:spacing w:before="11"/>
        <w:ind w:left="0"/>
        <w:rPr>
          <w:rFonts w:ascii="楷体"/>
          <w:b/>
          <w:sz w:val="25"/>
        </w:rPr>
      </w:pPr>
    </w:p>
    <w:p>
      <w:pPr>
        <w:pStyle w:val="BodyText"/>
        <w:spacing w:line="364" w:lineRule="auto"/>
        <w:ind w:right="580" w:firstLine="640"/>
        <w:jc w:val="both"/>
      </w:pPr>
      <w:r>
        <w:rPr>
          <w:spacing w:val="-4"/>
        </w:rPr>
        <w:t>政府引导，市场主导。遵循市场经济和现代物流发展规律，充分发挥市场在资源配置中的决定性作用，更好地发挥</w:t>
      </w:r>
      <w:r>
        <w:rPr>
          <w:spacing w:val="-3"/>
        </w:rPr>
        <w:t>政府作用，通过规划引领和指导，推动物流资源向物流枢纽</w:t>
      </w:r>
      <w:r>
        <w:rPr/>
        <w:t>和物流园区进一步集聚。</w:t>
      </w:r>
    </w:p>
    <w:p>
      <w:pPr>
        <w:pStyle w:val="BodyText"/>
        <w:spacing w:line="364" w:lineRule="auto" w:before="116"/>
        <w:ind w:right="565" w:firstLine="640"/>
        <w:jc w:val="both"/>
      </w:pPr>
      <w:r>
        <w:rPr>
          <w:spacing w:val="-3"/>
        </w:rPr>
        <w:t>统筹兼顾，网络连接。统筹城市经济社会发展基础和增</w:t>
      </w:r>
      <w:r>
        <w:rPr>
          <w:spacing w:val="-5"/>
        </w:rPr>
        <w:t>长潜力，兼顾新型城镇化和乡村振兴，围绕产业发展、区域协调、公共服务、开放合作等需要，科学选址、合理布局、</w:t>
      </w:r>
      <w:r>
        <w:rPr>
          <w:spacing w:val="4"/>
          <w:w w:val="95"/>
        </w:rPr>
        <w:t>加强联动，加快构建智慧、高效、绿色、低成本的“通道+ </w:t>
      </w:r>
      <w:r>
        <w:rPr>
          <w:spacing w:val="4"/>
        </w:rPr>
        <w:t>枢纽+网络”的物流运行体系。</w:t>
      </w:r>
    </w:p>
    <w:p>
      <w:pPr>
        <w:pStyle w:val="BodyText"/>
        <w:spacing w:line="364" w:lineRule="auto" w:before="119"/>
        <w:ind w:right="565" w:firstLine="640"/>
        <w:jc w:val="both"/>
      </w:pPr>
      <w:r>
        <w:rPr/>
        <w:t>集约整合，融合创新。坚持以存量设施整合提升为主、以增量设施补短板为辅，重点提高现有物流园区资源集约利用水平，构建物流枢纽。依托物流枢纽加强物流与交通、旅游、制造、商贸、农业等产业联动发展，培育行业发展新动能，探索城市枢纽经济新范式。</w:t>
      </w:r>
    </w:p>
    <w:p>
      <w:pPr>
        <w:spacing w:after="0" w:line="364" w:lineRule="auto"/>
        <w:jc w:val="both"/>
        <w:sectPr>
          <w:pgSz w:w="11910" w:h="16840"/>
          <w:pgMar w:header="0" w:footer="902" w:top="1420" w:bottom="1180" w:left="1240" w:right="1220"/>
        </w:sectPr>
      </w:pPr>
    </w:p>
    <w:p>
      <w:pPr>
        <w:pStyle w:val="BodyText"/>
        <w:spacing w:line="364" w:lineRule="auto" w:before="43"/>
        <w:ind w:right="577" w:firstLine="640"/>
        <w:jc w:val="both"/>
      </w:pPr>
      <w:r>
        <w:rPr>
          <w:spacing w:val="-3"/>
        </w:rPr>
        <w:t>智慧高效，开放协同。顺应现代物流业发展新趋势，加</w:t>
      </w:r>
      <w:r>
        <w:rPr>
          <w:spacing w:val="-5"/>
        </w:rPr>
        <w:t>强现代信息技术和智能化、绿色化装备应用，推进货物运输结构调整，提高资源配置效率，降低成本与能耗，鼓励物流</w:t>
      </w:r>
      <w:r>
        <w:rPr>
          <w:spacing w:val="-4"/>
          <w:w w:val="95"/>
        </w:rPr>
        <w:t>新技术、新业态、新模式推广应用。增强枢纽辐射能力，强 </w:t>
      </w:r>
      <w:r>
        <w:rPr>
          <w:spacing w:val="-6"/>
        </w:rPr>
        <w:t>化与周边城市，尤其是其它国家物流枢纽承载城市的互联互通，抢占区域物流合作发展制高点。</w:t>
      </w:r>
    </w:p>
    <w:p>
      <w:pPr>
        <w:pStyle w:val="Heading1"/>
        <w:rPr>
          <w:rFonts w:ascii="楷体" w:eastAsia="楷体" w:hint="eastAsia"/>
        </w:rPr>
      </w:pPr>
      <w:bookmarkStart w:name="（三）战略定位" w:id="46"/>
      <w:bookmarkEnd w:id="46"/>
      <w:r>
        <w:rPr>
          <w:b w:val="0"/>
        </w:rPr>
      </w:r>
      <w:bookmarkStart w:name="_bookmark18" w:id="47"/>
      <w:bookmarkEnd w:id="47"/>
      <w:r>
        <w:rPr>
          <w:b w:val="0"/>
        </w:rPr>
      </w:r>
      <w:r>
        <w:rPr>
          <w:rFonts w:ascii="楷体" w:eastAsia="楷体" w:hint="eastAsia"/>
        </w:rPr>
        <w:t>（三）战略定位</w:t>
      </w:r>
    </w:p>
    <w:p>
      <w:pPr>
        <w:pStyle w:val="BodyText"/>
        <w:spacing w:before="12"/>
        <w:ind w:left="0"/>
        <w:rPr>
          <w:rFonts w:ascii="楷体"/>
          <w:b/>
          <w:sz w:val="25"/>
        </w:rPr>
      </w:pPr>
    </w:p>
    <w:p>
      <w:pPr>
        <w:pStyle w:val="ListParagraph"/>
        <w:numPr>
          <w:ilvl w:val="0"/>
          <w:numId w:val="15"/>
        </w:numPr>
        <w:tabs>
          <w:tab w:pos="1463" w:val="left" w:leader="none"/>
        </w:tabs>
        <w:spacing w:line="240" w:lineRule="auto" w:before="0" w:after="0"/>
        <w:ind w:left="1462" w:right="0" w:hanging="303"/>
        <w:jc w:val="left"/>
        <w:rPr>
          <w:b/>
          <w:sz w:val="30"/>
        </w:rPr>
      </w:pPr>
      <w:bookmarkStart w:name="1.国家物流枢纽区域性中心" w:id="48"/>
      <w:bookmarkEnd w:id="48"/>
      <w:r>
        <w:rPr/>
      </w:r>
      <w:bookmarkStart w:name="_bookmark19" w:id="49"/>
      <w:bookmarkEnd w:id="49"/>
      <w:r>
        <w:rPr/>
      </w:r>
      <w:bookmarkStart w:name="_bookmark19" w:id="50"/>
      <w:bookmarkEnd w:id="50"/>
      <w:r>
        <w:rPr>
          <w:b/>
          <w:sz w:val="30"/>
        </w:rPr>
        <w:t>国家物流枢纽区域性中心</w:t>
      </w:r>
    </w:p>
    <w:p>
      <w:pPr>
        <w:pStyle w:val="BodyText"/>
        <w:spacing w:before="10"/>
        <w:ind w:left="0"/>
        <w:rPr>
          <w:b/>
          <w:sz w:val="24"/>
        </w:rPr>
      </w:pPr>
    </w:p>
    <w:p>
      <w:pPr>
        <w:pStyle w:val="BodyText"/>
        <w:spacing w:line="364" w:lineRule="auto"/>
        <w:ind w:right="577" w:firstLine="640"/>
        <w:jc w:val="both"/>
      </w:pPr>
      <w:r>
        <w:rPr>
          <w:spacing w:val="-4"/>
        </w:rPr>
        <w:t>发挥桂林市在桂粤湘黔四省</w:t>
      </w:r>
      <w:r>
        <w:rPr/>
        <w:t>（区</w:t>
      </w:r>
      <w:r>
        <w:rPr>
          <w:spacing w:val="-16"/>
        </w:rPr>
        <w:t>）22</w:t>
      </w:r>
      <w:r>
        <w:rPr>
          <w:spacing w:val="-12"/>
        </w:rPr>
        <w:t> 个国家物流枢纽承</w:t>
      </w:r>
      <w:r>
        <w:rPr>
          <w:spacing w:val="-10"/>
        </w:rPr>
        <w:t>载城市中承东启西、贯通南北的区位交通优势，统筹规划建设国家物流枢纽设施，以旅游商贸物流、制造业物流、冷链</w:t>
      </w:r>
      <w:r>
        <w:rPr>
          <w:spacing w:val="-5"/>
        </w:rPr>
        <w:t>物流、电商快递物流等为重点，积极探索发展航空物流、高</w:t>
      </w:r>
      <w:r>
        <w:rPr>
          <w:spacing w:val="-6"/>
        </w:rPr>
        <w:t>铁物流，不断扩大辐射范围和辐射能级，培育具备区域物流</w:t>
      </w:r>
      <w:r>
        <w:rPr>
          <w:spacing w:val="-7"/>
        </w:rPr>
        <w:t>集聚辐射能力的物流产业集群，将桂林市逐步打造成为国家物流枢纽区域性中心。</w:t>
      </w:r>
    </w:p>
    <w:p>
      <w:pPr>
        <w:pStyle w:val="ListParagraph"/>
        <w:numPr>
          <w:ilvl w:val="0"/>
          <w:numId w:val="15"/>
        </w:numPr>
        <w:tabs>
          <w:tab w:pos="1463" w:val="left" w:leader="none"/>
        </w:tabs>
        <w:spacing w:line="240" w:lineRule="auto" w:before="115" w:after="0"/>
        <w:ind w:left="1462" w:right="0" w:hanging="303"/>
        <w:jc w:val="left"/>
        <w:rPr>
          <w:b/>
          <w:sz w:val="30"/>
        </w:rPr>
      </w:pPr>
      <w:bookmarkStart w:name="2.西部陆海新通道重要的节点城市" w:id="51"/>
      <w:bookmarkEnd w:id="51"/>
      <w:r>
        <w:rPr/>
      </w:r>
      <w:bookmarkStart w:name="_bookmark20" w:id="52"/>
      <w:bookmarkEnd w:id="52"/>
      <w:r>
        <w:rPr/>
      </w:r>
      <w:bookmarkStart w:name="_bookmark20" w:id="53"/>
      <w:bookmarkEnd w:id="53"/>
      <w:r>
        <w:rPr>
          <w:b/>
          <w:sz w:val="30"/>
        </w:rPr>
        <w:t>西部陆海新通道重要的节点城市</w:t>
      </w:r>
    </w:p>
    <w:p>
      <w:pPr>
        <w:pStyle w:val="BodyText"/>
        <w:ind w:left="0"/>
        <w:rPr>
          <w:b/>
          <w:sz w:val="25"/>
        </w:rPr>
      </w:pPr>
    </w:p>
    <w:p>
      <w:pPr>
        <w:pStyle w:val="BodyText"/>
        <w:spacing w:line="364" w:lineRule="auto"/>
        <w:ind w:right="565" w:firstLine="640"/>
        <w:jc w:val="both"/>
      </w:pPr>
      <w:r>
        <w:rPr>
          <w:spacing w:val="13"/>
          <w:w w:val="95"/>
        </w:rPr>
        <w:t>桂林紧邻西部陆海新通道重庆经怀化至北部湾出海口 </w:t>
      </w:r>
      <w:r>
        <w:rPr>
          <w:spacing w:val="13"/>
        </w:rPr>
        <w:t>主通道，是广西的北大门，地处湘桂经济走廊的咽喉要道， </w:t>
      </w:r>
      <w:r>
        <w:rPr>
          <w:spacing w:val="11"/>
          <w:w w:val="95"/>
        </w:rPr>
        <w:t>是中南地区经广西通往东南亚地区新陆路通道的重要节点 </w:t>
      </w:r>
      <w:r>
        <w:rPr>
          <w:spacing w:val="-1"/>
        </w:rPr>
        <w:t>城市，应抓住契机，积极加快保税物流中心和铁路口岸申请</w:t>
      </w:r>
      <w:r>
        <w:rPr>
          <w:spacing w:val="-3"/>
        </w:rPr>
        <w:t>及建设，充分发挥两江国际机场作用，推动通关便利化，畅</w:t>
      </w:r>
    </w:p>
    <w:p>
      <w:pPr>
        <w:spacing w:after="0" w:line="364" w:lineRule="auto"/>
        <w:jc w:val="both"/>
        <w:sectPr>
          <w:pgSz w:w="11910" w:h="16840"/>
          <w:pgMar w:header="0" w:footer="902" w:top="1420" w:bottom="1180" w:left="1240" w:right="1220"/>
        </w:sectPr>
      </w:pPr>
    </w:p>
    <w:p>
      <w:pPr>
        <w:pStyle w:val="BodyText"/>
        <w:spacing w:line="364" w:lineRule="auto" w:before="43"/>
        <w:ind w:right="577"/>
        <w:jc w:val="both"/>
      </w:pPr>
      <w:r>
        <w:rPr>
          <w:spacing w:val="-2"/>
          <w:w w:val="95"/>
        </w:rPr>
        <w:t>通国际物流通道，加快无水港和公路港建设，创新构建国际 </w:t>
      </w:r>
      <w:r>
        <w:rPr>
          <w:spacing w:val="-4"/>
        </w:rPr>
        <w:t>物流运营服务平台，大力发展面向东盟、重点满足内需的国</w:t>
      </w:r>
      <w:r>
        <w:rPr>
          <w:spacing w:val="-5"/>
        </w:rPr>
        <w:t>际物流，引领带动桂林市及周边地区外向型产业和国际物流跨越式发展，打造西部陆海新通道重要的商贸物流支点。</w:t>
      </w:r>
    </w:p>
    <w:p>
      <w:pPr>
        <w:pStyle w:val="ListParagraph"/>
        <w:numPr>
          <w:ilvl w:val="0"/>
          <w:numId w:val="15"/>
        </w:numPr>
        <w:tabs>
          <w:tab w:pos="1463" w:val="left" w:leader="none"/>
        </w:tabs>
        <w:spacing w:line="240" w:lineRule="auto" w:before="117" w:after="0"/>
        <w:ind w:left="1462" w:right="0" w:hanging="303"/>
        <w:jc w:val="left"/>
        <w:rPr>
          <w:b/>
          <w:sz w:val="30"/>
        </w:rPr>
      </w:pPr>
      <w:bookmarkStart w:name="3.“一带一路”重要的区域性商贸物流组织中心" w:id="54"/>
      <w:bookmarkEnd w:id="54"/>
      <w:r>
        <w:rPr/>
      </w:r>
      <w:bookmarkStart w:name="_bookmark21" w:id="55"/>
      <w:bookmarkEnd w:id="55"/>
      <w:r>
        <w:rPr/>
      </w:r>
      <w:bookmarkStart w:name="_bookmark21" w:id="56"/>
      <w:bookmarkEnd w:id="56"/>
      <w:r>
        <w:rPr>
          <w:b/>
          <w:sz w:val="30"/>
        </w:rPr>
        <w:t>“一带一路”重要的区域性商贸物流组织中心</w:t>
      </w:r>
    </w:p>
    <w:p>
      <w:pPr>
        <w:pStyle w:val="BodyText"/>
        <w:spacing w:before="10"/>
        <w:ind w:left="0"/>
        <w:rPr>
          <w:b/>
          <w:sz w:val="24"/>
        </w:rPr>
      </w:pPr>
    </w:p>
    <w:p>
      <w:pPr>
        <w:pStyle w:val="BodyText"/>
        <w:spacing w:line="364" w:lineRule="auto"/>
        <w:ind w:right="419" w:firstLine="640"/>
      </w:pPr>
      <w:r>
        <w:rPr>
          <w:spacing w:val="-2"/>
        </w:rPr>
        <w:t>以区位交通、旅游名城和优势产业等为依托，主动融入中国（广西）自由贸易区，南接东盟国家和北部湾城市群， 引入“一路”沿线尤其是东南亚国家商业元素，北经四川、</w:t>
      </w:r>
      <w:r>
        <w:rPr>
          <w:spacing w:val="-5"/>
        </w:rPr>
        <w:t>重庆引入“一带”沿线尤其是中亚西亚地区的民族风情，以</w:t>
      </w:r>
      <w:r>
        <w:rPr>
          <w:spacing w:val="-16"/>
          <w:w w:val="95"/>
        </w:rPr>
        <w:t>建设东盟商品跨境贸易、跨境物流、东盟特色商品体验消费、 </w:t>
      </w:r>
      <w:r>
        <w:rPr>
          <w:spacing w:val="-9"/>
        </w:rPr>
        <w:t>跨境电商、市场采购贸易、外贸综合服务等为抓手，加快构</w:t>
      </w:r>
      <w:r>
        <w:rPr>
          <w:spacing w:val="-10"/>
        </w:rPr>
        <w:t>建覆盖全产业链的供应链服务体系，营造产业集聚扩张发展</w:t>
      </w:r>
      <w:r>
        <w:rPr>
          <w:spacing w:val="-6"/>
        </w:rPr>
        <w:t>环境，促进相关产业要素与供应链服务体系深度融合，打造</w:t>
      </w:r>
      <w:r>
        <w:rPr>
          <w:spacing w:val="-7"/>
        </w:rPr>
        <w:t>跨境电商消费体验中心、进出口商品直销集散中心和中国— 东盟旅游商品交易基地，成为“一带一路”重要的区域性商贸物流组织中心。</w:t>
      </w:r>
    </w:p>
    <w:p>
      <w:pPr>
        <w:pStyle w:val="Heading1"/>
        <w:spacing w:before="112"/>
        <w:rPr>
          <w:rFonts w:ascii="楷体" w:eastAsia="楷体" w:hint="eastAsia"/>
        </w:rPr>
      </w:pPr>
      <w:bookmarkStart w:name="（四）发展目标" w:id="57"/>
      <w:bookmarkEnd w:id="57"/>
      <w:r>
        <w:rPr>
          <w:b w:val="0"/>
        </w:rPr>
      </w:r>
      <w:bookmarkStart w:name="_bookmark22" w:id="58"/>
      <w:bookmarkEnd w:id="58"/>
      <w:r>
        <w:rPr>
          <w:b w:val="0"/>
        </w:rPr>
      </w:r>
      <w:r>
        <w:rPr>
          <w:rFonts w:ascii="楷体" w:eastAsia="楷体" w:hint="eastAsia"/>
        </w:rPr>
        <w:t>（四）发展目标</w:t>
      </w:r>
    </w:p>
    <w:p>
      <w:pPr>
        <w:pStyle w:val="BodyText"/>
        <w:spacing w:before="12"/>
        <w:ind w:left="0"/>
        <w:rPr>
          <w:rFonts w:ascii="楷体"/>
          <w:b/>
          <w:sz w:val="25"/>
        </w:rPr>
      </w:pPr>
    </w:p>
    <w:p>
      <w:pPr>
        <w:pStyle w:val="ListParagraph"/>
        <w:numPr>
          <w:ilvl w:val="0"/>
          <w:numId w:val="16"/>
        </w:numPr>
        <w:tabs>
          <w:tab w:pos="1463" w:val="left" w:leader="none"/>
        </w:tabs>
        <w:spacing w:line="240" w:lineRule="auto" w:before="0" w:after="0"/>
        <w:ind w:left="1462" w:right="0" w:hanging="303"/>
        <w:jc w:val="left"/>
        <w:rPr>
          <w:b/>
          <w:sz w:val="30"/>
        </w:rPr>
      </w:pPr>
      <w:bookmarkStart w:name="1.近期目标" w:id="59"/>
      <w:bookmarkEnd w:id="59"/>
      <w:r>
        <w:rPr/>
      </w:r>
      <w:bookmarkStart w:name="_bookmark23" w:id="60"/>
      <w:bookmarkEnd w:id="60"/>
      <w:r>
        <w:rPr/>
      </w:r>
      <w:bookmarkStart w:name="_bookmark23" w:id="61"/>
      <w:bookmarkEnd w:id="61"/>
      <w:r>
        <w:rPr>
          <w:b/>
          <w:sz w:val="30"/>
        </w:rPr>
        <w:t>近期目标</w:t>
      </w:r>
    </w:p>
    <w:p>
      <w:pPr>
        <w:pStyle w:val="BodyText"/>
        <w:ind w:left="0"/>
        <w:rPr>
          <w:b/>
          <w:sz w:val="25"/>
        </w:rPr>
      </w:pPr>
    </w:p>
    <w:p>
      <w:pPr>
        <w:pStyle w:val="BodyText"/>
        <w:spacing w:line="364" w:lineRule="auto"/>
        <w:ind w:right="406" w:firstLine="640"/>
        <w:jc w:val="both"/>
      </w:pPr>
      <w:r>
        <w:rPr>
          <w:spacing w:val="-40"/>
        </w:rPr>
        <w:t>到 </w:t>
      </w:r>
      <w:r>
        <w:rPr/>
        <w:t>2022</w:t>
      </w:r>
      <w:r>
        <w:rPr>
          <w:spacing w:val="-2"/>
        </w:rPr>
        <w:t> 年，抓住国家物流枢纽建设机遇，桂林商贸服</w:t>
      </w:r>
      <w:r>
        <w:rPr>
          <w:spacing w:val="-3"/>
        </w:rPr>
        <w:t>务型国家物流枢纽建设格局初步形成：以桂林西物流中心为</w:t>
      </w:r>
      <w:r>
        <w:rPr>
          <w:spacing w:val="-13"/>
        </w:rPr>
        <w:t>基础，基本完成桂林铁路港主体项目建设，重点发展农资、、</w:t>
      </w:r>
    </w:p>
    <w:p>
      <w:pPr>
        <w:spacing w:after="0" w:line="364" w:lineRule="auto"/>
        <w:jc w:val="both"/>
        <w:sectPr>
          <w:pgSz w:w="11910" w:h="16840"/>
          <w:pgMar w:header="0" w:footer="902" w:top="1420" w:bottom="1180" w:left="1240" w:right="1220"/>
        </w:sectPr>
      </w:pPr>
    </w:p>
    <w:p>
      <w:pPr>
        <w:pStyle w:val="BodyText"/>
        <w:spacing w:line="364" w:lineRule="auto" w:before="43"/>
        <w:ind w:right="418"/>
      </w:pPr>
      <w:r>
        <w:rPr>
          <w:spacing w:val="-14"/>
        </w:rPr>
        <w:t>特色农产品、钢材、粮油、饲料、汽车等大宗物资集散功能； </w:t>
      </w:r>
      <w:r>
        <w:rPr>
          <w:spacing w:val="-6"/>
        </w:rPr>
        <w:t>在桂林西物流中心周边，落实商贸物流用地 </w:t>
      </w:r>
      <w:r>
        <w:rPr/>
        <w:t>13000</w:t>
      </w:r>
      <w:r>
        <w:rPr>
          <w:spacing w:val="-20"/>
        </w:rPr>
        <w:t> 亩，集聚建设桂林公路港、快递物流园、冷链物流园、保税物流中心、</w:t>
      </w:r>
      <w:r>
        <w:rPr>
          <w:spacing w:val="-12"/>
        </w:rPr>
        <w:t>综合服务中心、枢纽经济产业园、商贸物流小镇和配套商业</w:t>
      </w:r>
      <w:r>
        <w:rPr>
          <w:spacing w:val="-7"/>
        </w:rPr>
        <w:t>等设施，其中高铁快递物流园、东盟冷链物流园和综合服务中心完成主体工程建设。</w:t>
      </w:r>
    </w:p>
    <w:p>
      <w:pPr>
        <w:pStyle w:val="ListParagraph"/>
        <w:numPr>
          <w:ilvl w:val="0"/>
          <w:numId w:val="16"/>
        </w:numPr>
        <w:tabs>
          <w:tab w:pos="1463" w:val="left" w:leader="none"/>
        </w:tabs>
        <w:spacing w:line="240" w:lineRule="auto" w:before="113" w:after="0"/>
        <w:ind w:left="1462" w:right="0" w:hanging="303"/>
        <w:jc w:val="left"/>
        <w:rPr>
          <w:b/>
          <w:sz w:val="30"/>
        </w:rPr>
      </w:pPr>
      <w:bookmarkStart w:name="2.中期目标" w:id="62"/>
      <w:bookmarkEnd w:id="62"/>
      <w:r>
        <w:rPr/>
      </w:r>
      <w:bookmarkStart w:name="_bookmark24" w:id="63"/>
      <w:bookmarkEnd w:id="63"/>
      <w:r>
        <w:rPr/>
      </w:r>
      <w:bookmarkStart w:name="_bookmark24" w:id="64"/>
      <w:bookmarkEnd w:id="64"/>
      <w:r>
        <w:rPr>
          <w:b/>
          <w:sz w:val="30"/>
        </w:rPr>
        <w:t>中期目标</w:t>
      </w:r>
    </w:p>
    <w:p>
      <w:pPr>
        <w:pStyle w:val="BodyText"/>
        <w:ind w:left="0"/>
        <w:rPr>
          <w:b/>
          <w:sz w:val="25"/>
        </w:rPr>
      </w:pPr>
    </w:p>
    <w:p>
      <w:pPr>
        <w:pStyle w:val="BodyText"/>
        <w:spacing w:line="364" w:lineRule="auto"/>
        <w:ind w:right="419" w:firstLine="640"/>
      </w:pPr>
      <w:r>
        <w:rPr>
          <w:spacing w:val="-40"/>
        </w:rPr>
        <w:t>到 </w:t>
      </w:r>
      <w:r>
        <w:rPr/>
        <w:t>2025</w:t>
      </w:r>
      <w:r>
        <w:rPr>
          <w:spacing w:val="-2"/>
        </w:rPr>
        <w:t> 年，桂林商贸服务型国家物流枢纽主体设施基</w:t>
      </w:r>
      <w:r>
        <w:rPr>
          <w:spacing w:val="-4"/>
        </w:rPr>
        <w:t>本建成，桂林旅游商贸、制造业、电商快递、农产品冷链等重点领域物流业态、技术、管理得到全面发展，城乡物流、</w:t>
      </w:r>
      <w:r>
        <w:rPr>
          <w:spacing w:val="11"/>
        </w:rPr>
        <w:t>农业物流关键短板有效解决，桂林国家物流枢纽区域性中</w:t>
      </w:r>
      <w:r>
        <w:rPr>
          <w:spacing w:val="-2"/>
        </w:rPr>
        <w:t>心、西部陆海新通道重要的节点城市和“一带一路”重要的</w:t>
      </w:r>
      <w:r>
        <w:rPr>
          <w:spacing w:val="-12"/>
          <w:w w:val="95"/>
        </w:rPr>
        <w:t>区域性商贸物流组织中心地位基本确立，智慧、高效、绿色、 </w:t>
      </w:r>
      <w:r>
        <w:rPr>
          <w:spacing w:val="-12"/>
        </w:rPr>
        <w:t>低成本“通道+枢纽+网络”的物流运行体系基本建成。</w:t>
      </w:r>
    </w:p>
    <w:p>
      <w:pPr>
        <w:pStyle w:val="ListParagraph"/>
        <w:numPr>
          <w:ilvl w:val="0"/>
          <w:numId w:val="16"/>
        </w:numPr>
        <w:tabs>
          <w:tab w:pos="1463" w:val="left" w:leader="none"/>
        </w:tabs>
        <w:spacing w:line="240" w:lineRule="auto" w:before="115" w:after="0"/>
        <w:ind w:left="1462" w:right="0" w:hanging="303"/>
        <w:jc w:val="left"/>
        <w:rPr>
          <w:b/>
          <w:sz w:val="30"/>
        </w:rPr>
      </w:pPr>
      <w:bookmarkStart w:name="3.远期目标" w:id="65"/>
      <w:bookmarkEnd w:id="65"/>
      <w:r>
        <w:rPr/>
      </w:r>
      <w:bookmarkStart w:name="_bookmark25" w:id="66"/>
      <w:bookmarkEnd w:id="66"/>
      <w:r>
        <w:rPr/>
      </w:r>
      <w:bookmarkStart w:name="_bookmark25" w:id="67"/>
      <w:bookmarkEnd w:id="67"/>
      <w:r>
        <w:rPr>
          <w:b/>
          <w:sz w:val="30"/>
        </w:rPr>
        <w:t>远期目标</w:t>
      </w:r>
    </w:p>
    <w:p>
      <w:pPr>
        <w:pStyle w:val="BodyText"/>
        <w:spacing w:before="10"/>
        <w:ind w:left="0"/>
        <w:rPr>
          <w:b/>
          <w:sz w:val="24"/>
        </w:rPr>
      </w:pPr>
    </w:p>
    <w:p>
      <w:pPr>
        <w:pStyle w:val="BodyText"/>
        <w:spacing w:line="364" w:lineRule="auto"/>
        <w:ind w:right="419" w:firstLine="640"/>
      </w:pPr>
      <w:r>
        <w:rPr>
          <w:spacing w:val="-40"/>
        </w:rPr>
        <w:t>到 </w:t>
      </w:r>
      <w:r>
        <w:rPr/>
        <w:t>2035</w:t>
      </w:r>
      <w:r>
        <w:rPr>
          <w:spacing w:val="-2"/>
        </w:rPr>
        <w:t> 年，物流规模化、组织化、网络化、智能化水</w:t>
      </w:r>
      <w:r>
        <w:rPr>
          <w:spacing w:val="-5"/>
        </w:rPr>
        <w:t>平全面提升，全社会物流总费用与</w:t>
      </w:r>
      <w:r>
        <w:rPr/>
        <w:t>GDP的比率继续显著下降， </w:t>
      </w:r>
      <w:r>
        <w:rPr>
          <w:spacing w:val="-1"/>
        </w:rPr>
        <w:t>物流运行效率和效益达到国内先进水平，桂林市成为物流设</w:t>
      </w:r>
      <w:r>
        <w:rPr>
          <w:spacing w:val="-15"/>
          <w:w w:val="95"/>
        </w:rPr>
        <w:t>施网络化连通度高、通道化组织效率高、一体化服务水平高、 </w:t>
      </w:r>
      <w:r>
        <w:rPr>
          <w:spacing w:val="-10"/>
        </w:rPr>
        <w:t>资源整合力强、创新发展动能强、枢纽经济带动力强的国家物流枢纽区域性中心、西部陆海新通道重要节点城市和“一带一路”重要的区域性商贸物流组织中心。</w:t>
      </w:r>
    </w:p>
    <w:p>
      <w:pPr>
        <w:spacing w:after="0" w:line="364" w:lineRule="auto"/>
        <w:sectPr>
          <w:pgSz w:w="11910" w:h="16840"/>
          <w:pgMar w:header="0" w:footer="902" w:top="1420" w:bottom="1180" w:left="1240" w:right="1220"/>
        </w:sectPr>
      </w:pPr>
    </w:p>
    <w:p>
      <w:pPr>
        <w:pStyle w:val="ListParagraph"/>
        <w:numPr>
          <w:ilvl w:val="0"/>
          <w:numId w:val="16"/>
        </w:numPr>
        <w:tabs>
          <w:tab w:pos="1463" w:val="left" w:leader="none"/>
        </w:tabs>
        <w:spacing w:line="240" w:lineRule="auto" w:before="41" w:after="0"/>
        <w:ind w:left="1462" w:right="0" w:hanging="303"/>
        <w:jc w:val="left"/>
        <w:rPr>
          <w:b/>
          <w:sz w:val="30"/>
        </w:rPr>
      </w:pPr>
      <w:bookmarkStart w:name="4.定量指标" w:id="68"/>
      <w:bookmarkEnd w:id="68"/>
      <w:r>
        <w:rPr/>
      </w:r>
      <w:bookmarkStart w:name="_bookmark26" w:id="69"/>
      <w:bookmarkEnd w:id="69"/>
      <w:r>
        <w:rPr/>
      </w:r>
      <w:bookmarkStart w:name="_bookmark26" w:id="70"/>
      <w:bookmarkEnd w:id="70"/>
      <w:r>
        <w:rPr>
          <w:b/>
          <w:sz w:val="30"/>
        </w:rPr>
        <w:t>定量指标</w:t>
      </w:r>
    </w:p>
    <w:p>
      <w:pPr>
        <w:pStyle w:val="BodyText"/>
        <w:spacing w:before="10"/>
        <w:ind w:left="0"/>
        <w:rPr>
          <w:b/>
          <w:sz w:val="24"/>
        </w:rPr>
      </w:pPr>
    </w:p>
    <w:p>
      <w:pPr>
        <w:pStyle w:val="BodyText"/>
        <w:spacing w:before="1"/>
        <w:ind w:left="1200"/>
      </w:pPr>
      <w:r>
        <w:rPr/>
        <w:t>本规划具体的定量发展指标详见下表 2。</w:t>
      </w:r>
    </w:p>
    <w:p>
      <w:pPr>
        <w:pStyle w:val="BodyText"/>
        <w:spacing w:before="12"/>
        <w:ind w:left="0"/>
        <w:rPr>
          <w:sz w:val="25"/>
        </w:rPr>
      </w:pPr>
    </w:p>
    <w:p>
      <w:pPr>
        <w:tabs>
          <w:tab w:pos="772" w:val="left" w:leader="none"/>
        </w:tabs>
        <w:spacing w:before="1"/>
        <w:ind w:left="0" w:right="17" w:firstLine="0"/>
        <w:jc w:val="center"/>
        <w:rPr>
          <w:b/>
          <w:sz w:val="28"/>
        </w:rPr>
      </w:pPr>
      <w:r>
        <w:rPr>
          <w:b/>
          <w:sz w:val="28"/>
        </w:rPr>
        <w:t>表</w:t>
      </w:r>
      <w:r>
        <w:rPr>
          <w:b/>
          <w:spacing w:val="-73"/>
          <w:sz w:val="28"/>
        </w:rPr>
        <w:t> </w:t>
      </w:r>
      <w:r>
        <w:rPr>
          <w:b/>
          <w:sz w:val="28"/>
        </w:rPr>
        <w:t>2</w:t>
        <w:tab/>
        <w:t>桂林国家物流枢纽承载城市建设发展指标表</w:t>
      </w:r>
    </w:p>
    <w:p>
      <w:pPr>
        <w:pStyle w:val="BodyText"/>
        <w:spacing w:before="9"/>
        <w:ind w:left="0"/>
        <w:rPr>
          <w:b/>
          <w:sz w:val="23"/>
        </w:rPr>
      </w:pPr>
    </w:p>
    <w:tbl>
      <w:tblPr>
        <w:tblW w:w="0" w:type="auto"/>
        <w:jc w:val="left"/>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97"/>
        <w:gridCol w:w="1544"/>
        <w:gridCol w:w="1515"/>
        <w:gridCol w:w="1477"/>
        <w:gridCol w:w="1058"/>
        <w:gridCol w:w="1323"/>
      </w:tblGrid>
      <w:tr>
        <w:trPr>
          <w:trHeight w:val="862" w:hRule="atLeast"/>
        </w:trPr>
        <w:tc>
          <w:tcPr>
            <w:tcW w:w="2297" w:type="dxa"/>
          </w:tcPr>
          <w:p>
            <w:pPr>
              <w:pStyle w:val="TableParagraph"/>
              <w:spacing w:before="7"/>
              <w:rPr>
                <w:b/>
                <w:sz w:val="21"/>
              </w:rPr>
            </w:pPr>
          </w:p>
          <w:p>
            <w:pPr>
              <w:pStyle w:val="TableParagraph"/>
              <w:ind w:left="886" w:right="879"/>
              <w:jc w:val="center"/>
              <w:rPr>
                <w:b/>
                <w:sz w:val="24"/>
              </w:rPr>
            </w:pPr>
            <w:r>
              <w:rPr>
                <w:b/>
                <w:sz w:val="24"/>
              </w:rPr>
              <w:t>指标</w:t>
            </w:r>
          </w:p>
        </w:tc>
        <w:tc>
          <w:tcPr>
            <w:tcW w:w="1544" w:type="dxa"/>
          </w:tcPr>
          <w:p>
            <w:pPr>
              <w:pStyle w:val="TableParagraph"/>
              <w:spacing w:before="7"/>
              <w:rPr>
                <w:b/>
                <w:sz w:val="21"/>
              </w:rPr>
            </w:pPr>
          </w:p>
          <w:p>
            <w:pPr>
              <w:pStyle w:val="TableParagraph"/>
              <w:ind w:left="381"/>
              <w:rPr>
                <w:b/>
                <w:sz w:val="24"/>
              </w:rPr>
            </w:pPr>
            <w:r>
              <w:rPr>
                <w:b/>
                <w:sz w:val="24"/>
              </w:rPr>
              <w:t>2018 年</w:t>
            </w:r>
          </w:p>
        </w:tc>
        <w:tc>
          <w:tcPr>
            <w:tcW w:w="1515" w:type="dxa"/>
          </w:tcPr>
          <w:p>
            <w:pPr>
              <w:pStyle w:val="TableParagraph"/>
              <w:spacing w:before="7"/>
              <w:rPr>
                <w:b/>
                <w:sz w:val="21"/>
              </w:rPr>
            </w:pPr>
          </w:p>
          <w:p>
            <w:pPr>
              <w:pStyle w:val="TableParagraph"/>
              <w:ind w:left="366"/>
              <w:rPr>
                <w:b/>
                <w:sz w:val="24"/>
              </w:rPr>
            </w:pPr>
            <w:r>
              <w:rPr>
                <w:b/>
                <w:sz w:val="24"/>
              </w:rPr>
              <w:t>2022 年</w:t>
            </w:r>
          </w:p>
        </w:tc>
        <w:tc>
          <w:tcPr>
            <w:tcW w:w="1477" w:type="dxa"/>
          </w:tcPr>
          <w:p>
            <w:pPr>
              <w:pStyle w:val="TableParagraph"/>
              <w:spacing w:before="7"/>
              <w:rPr>
                <w:b/>
                <w:sz w:val="21"/>
              </w:rPr>
            </w:pPr>
          </w:p>
          <w:p>
            <w:pPr>
              <w:pStyle w:val="TableParagraph"/>
              <w:ind w:left="346"/>
              <w:rPr>
                <w:b/>
                <w:sz w:val="24"/>
              </w:rPr>
            </w:pPr>
            <w:r>
              <w:rPr>
                <w:b/>
                <w:sz w:val="24"/>
              </w:rPr>
              <w:t>2025 年</w:t>
            </w:r>
          </w:p>
        </w:tc>
        <w:tc>
          <w:tcPr>
            <w:tcW w:w="1058" w:type="dxa"/>
          </w:tcPr>
          <w:p>
            <w:pPr>
              <w:pStyle w:val="TableParagraph"/>
              <w:spacing w:line="242" w:lineRule="auto" w:before="121"/>
              <w:ind w:left="287" w:right="155" w:hanging="120"/>
              <w:rPr>
                <w:b/>
                <w:sz w:val="24"/>
              </w:rPr>
            </w:pPr>
            <w:r>
              <w:rPr>
                <w:b/>
                <w:sz w:val="24"/>
              </w:rPr>
              <w:t>年均增长率</w:t>
            </w:r>
          </w:p>
        </w:tc>
        <w:tc>
          <w:tcPr>
            <w:tcW w:w="1323" w:type="dxa"/>
          </w:tcPr>
          <w:p>
            <w:pPr>
              <w:pStyle w:val="TableParagraph"/>
              <w:spacing w:before="7"/>
              <w:rPr>
                <w:b/>
                <w:sz w:val="21"/>
              </w:rPr>
            </w:pPr>
          </w:p>
          <w:p>
            <w:pPr>
              <w:pStyle w:val="TableParagraph"/>
              <w:ind w:left="420"/>
              <w:rPr>
                <w:b/>
                <w:sz w:val="24"/>
              </w:rPr>
            </w:pPr>
            <w:r>
              <w:rPr>
                <w:b/>
                <w:sz w:val="24"/>
              </w:rPr>
              <w:t>备注</w:t>
            </w:r>
          </w:p>
        </w:tc>
      </w:tr>
      <w:tr>
        <w:trPr>
          <w:trHeight w:val="862" w:hRule="atLeast"/>
        </w:trPr>
        <w:tc>
          <w:tcPr>
            <w:tcW w:w="2297" w:type="dxa"/>
          </w:tcPr>
          <w:p>
            <w:pPr>
              <w:pStyle w:val="TableParagraph"/>
              <w:spacing w:before="6"/>
              <w:rPr>
                <w:b/>
                <w:sz w:val="21"/>
              </w:rPr>
            </w:pPr>
          </w:p>
          <w:p>
            <w:pPr>
              <w:pStyle w:val="TableParagraph"/>
              <w:spacing w:before="1"/>
              <w:ind w:left="108"/>
              <w:rPr>
                <w:sz w:val="24"/>
              </w:rPr>
            </w:pPr>
            <w:r>
              <w:rPr>
                <w:sz w:val="24"/>
              </w:rPr>
              <w:t>国家物流枢纽</w:t>
            </w:r>
          </w:p>
        </w:tc>
        <w:tc>
          <w:tcPr>
            <w:tcW w:w="1544" w:type="dxa"/>
          </w:tcPr>
          <w:p>
            <w:pPr>
              <w:pStyle w:val="TableParagraph"/>
              <w:spacing w:before="6"/>
              <w:rPr>
                <w:b/>
                <w:sz w:val="21"/>
              </w:rPr>
            </w:pPr>
          </w:p>
          <w:p>
            <w:pPr>
              <w:pStyle w:val="TableParagraph"/>
              <w:spacing w:before="1"/>
              <w:ind w:left="107"/>
              <w:rPr>
                <w:sz w:val="24"/>
              </w:rPr>
            </w:pPr>
            <w:r>
              <w:rPr>
                <w:sz w:val="24"/>
              </w:rPr>
              <w:t>纳入规划</w:t>
            </w:r>
          </w:p>
        </w:tc>
        <w:tc>
          <w:tcPr>
            <w:tcW w:w="1515" w:type="dxa"/>
          </w:tcPr>
          <w:p>
            <w:pPr>
              <w:pStyle w:val="TableParagraph"/>
              <w:spacing w:line="242" w:lineRule="auto" w:before="122"/>
              <w:ind w:left="107" w:right="97"/>
              <w:rPr>
                <w:sz w:val="24"/>
              </w:rPr>
            </w:pPr>
            <w:r>
              <w:rPr>
                <w:sz w:val="24"/>
              </w:rPr>
              <w:t>纳入国家建设计划</w:t>
            </w:r>
          </w:p>
        </w:tc>
        <w:tc>
          <w:tcPr>
            <w:tcW w:w="1477" w:type="dxa"/>
          </w:tcPr>
          <w:p>
            <w:pPr>
              <w:pStyle w:val="TableParagraph"/>
              <w:spacing w:before="6"/>
              <w:rPr>
                <w:b/>
                <w:sz w:val="21"/>
              </w:rPr>
            </w:pPr>
          </w:p>
          <w:p>
            <w:pPr>
              <w:pStyle w:val="TableParagraph"/>
              <w:spacing w:before="1"/>
              <w:ind w:left="257"/>
              <w:rPr>
                <w:sz w:val="24"/>
              </w:rPr>
            </w:pPr>
            <w:r>
              <w:rPr>
                <w:sz w:val="24"/>
              </w:rPr>
              <w:t>基本建成</w:t>
            </w:r>
          </w:p>
        </w:tc>
        <w:tc>
          <w:tcPr>
            <w:tcW w:w="1058" w:type="dxa"/>
          </w:tcPr>
          <w:p>
            <w:pPr>
              <w:pStyle w:val="TableParagraph"/>
              <w:spacing w:before="6"/>
              <w:rPr>
                <w:b/>
                <w:sz w:val="21"/>
              </w:rPr>
            </w:pPr>
          </w:p>
          <w:p>
            <w:pPr>
              <w:pStyle w:val="TableParagraph"/>
              <w:spacing w:before="1"/>
              <w:ind w:left="7"/>
              <w:jc w:val="center"/>
              <w:rPr>
                <w:sz w:val="24"/>
              </w:rPr>
            </w:pPr>
            <w:r>
              <w:rPr>
                <w:sz w:val="24"/>
              </w:rPr>
              <w:t>—</w:t>
            </w:r>
          </w:p>
        </w:tc>
        <w:tc>
          <w:tcPr>
            <w:tcW w:w="1323" w:type="dxa"/>
          </w:tcPr>
          <w:p>
            <w:pPr>
              <w:pStyle w:val="TableParagraph"/>
              <w:spacing w:before="12"/>
              <w:rPr>
                <w:b/>
                <w:sz w:val="22"/>
              </w:rPr>
            </w:pPr>
          </w:p>
          <w:p>
            <w:pPr>
              <w:pStyle w:val="TableParagraph"/>
              <w:ind w:left="108"/>
              <w:rPr>
                <w:sz w:val="21"/>
              </w:rPr>
            </w:pPr>
            <w:r>
              <w:rPr>
                <w:sz w:val="21"/>
              </w:rPr>
              <w:t>预期性</w:t>
            </w:r>
          </w:p>
        </w:tc>
      </w:tr>
      <w:tr>
        <w:trPr>
          <w:trHeight w:val="784" w:hRule="atLeast"/>
        </w:trPr>
        <w:tc>
          <w:tcPr>
            <w:tcW w:w="2297" w:type="dxa"/>
          </w:tcPr>
          <w:p>
            <w:pPr>
              <w:pStyle w:val="TableParagraph"/>
              <w:spacing w:before="7"/>
              <w:rPr>
                <w:b/>
                <w:sz w:val="18"/>
              </w:rPr>
            </w:pPr>
          </w:p>
          <w:p>
            <w:pPr>
              <w:pStyle w:val="TableParagraph"/>
              <w:ind w:left="108"/>
              <w:rPr>
                <w:sz w:val="24"/>
              </w:rPr>
            </w:pPr>
            <w:r>
              <w:rPr>
                <w:sz w:val="24"/>
              </w:rPr>
              <w:t>货运量（万吨）</w:t>
            </w:r>
          </w:p>
        </w:tc>
        <w:tc>
          <w:tcPr>
            <w:tcW w:w="1544" w:type="dxa"/>
          </w:tcPr>
          <w:p>
            <w:pPr>
              <w:pStyle w:val="TableParagraph"/>
              <w:spacing w:before="7"/>
              <w:rPr>
                <w:b/>
                <w:sz w:val="18"/>
              </w:rPr>
            </w:pPr>
          </w:p>
          <w:p>
            <w:pPr>
              <w:pStyle w:val="TableParagraph"/>
              <w:ind w:right="96"/>
              <w:jc w:val="right"/>
              <w:rPr>
                <w:sz w:val="24"/>
              </w:rPr>
            </w:pPr>
            <w:r>
              <w:rPr>
                <w:sz w:val="24"/>
              </w:rPr>
              <w:t>10477.59</w:t>
            </w:r>
          </w:p>
        </w:tc>
        <w:tc>
          <w:tcPr>
            <w:tcW w:w="1515" w:type="dxa"/>
          </w:tcPr>
          <w:p>
            <w:pPr>
              <w:pStyle w:val="TableParagraph"/>
              <w:spacing w:before="7"/>
              <w:rPr>
                <w:b/>
                <w:sz w:val="18"/>
              </w:rPr>
            </w:pPr>
          </w:p>
          <w:p>
            <w:pPr>
              <w:pStyle w:val="TableParagraph"/>
              <w:ind w:right="97"/>
              <w:jc w:val="right"/>
              <w:rPr>
                <w:sz w:val="24"/>
              </w:rPr>
            </w:pPr>
            <w:r>
              <w:rPr>
                <w:sz w:val="24"/>
              </w:rPr>
              <w:t>13056.67</w:t>
            </w:r>
          </w:p>
        </w:tc>
        <w:tc>
          <w:tcPr>
            <w:tcW w:w="1477" w:type="dxa"/>
          </w:tcPr>
          <w:p>
            <w:pPr>
              <w:pStyle w:val="TableParagraph"/>
              <w:spacing w:before="7"/>
              <w:rPr>
                <w:b/>
                <w:sz w:val="18"/>
              </w:rPr>
            </w:pPr>
          </w:p>
          <w:p>
            <w:pPr>
              <w:pStyle w:val="TableParagraph"/>
              <w:ind w:left="408"/>
              <w:rPr>
                <w:sz w:val="24"/>
              </w:rPr>
            </w:pPr>
            <w:r>
              <w:rPr>
                <w:sz w:val="24"/>
              </w:rPr>
              <w:t>15112.78</w:t>
            </w:r>
          </w:p>
        </w:tc>
        <w:tc>
          <w:tcPr>
            <w:tcW w:w="1058" w:type="dxa"/>
          </w:tcPr>
          <w:p>
            <w:pPr>
              <w:pStyle w:val="TableParagraph"/>
              <w:spacing w:before="7"/>
              <w:rPr>
                <w:b/>
                <w:sz w:val="18"/>
              </w:rPr>
            </w:pPr>
          </w:p>
          <w:p>
            <w:pPr>
              <w:pStyle w:val="TableParagraph"/>
              <w:ind w:right="95"/>
              <w:jc w:val="right"/>
              <w:rPr>
                <w:sz w:val="24"/>
              </w:rPr>
            </w:pPr>
            <w:r>
              <w:rPr>
                <w:sz w:val="24"/>
              </w:rPr>
              <w:t>5.37%</w:t>
            </w:r>
          </w:p>
        </w:tc>
        <w:tc>
          <w:tcPr>
            <w:tcW w:w="1323" w:type="dxa"/>
          </w:tcPr>
          <w:p>
            <w:pPr>
              <w:pStyle w:val="TableParagraph"/>
              <w:spacing w:line="244" w:lineRule="auto" w:before="119"/>
              <w:ind w:left="108" w:right="96"/>
              <w:rPr>
                <w:sz w:val="21"/>
              </w:rPr>
            </w:pPr>
            <w:r>
              <w:rPr>
                <w:sz w:val="21"/>
              </w:rPr>
              <w:t>预期性，含铁路货运量</w:t>
            </w:r>
          </w:p>
        </w:tc>
      </w:tr>
      <w:tr>
        <w:trPr>
          <w:trHeight w:val="1057" w:hRule="atLeast"/>
        </w:trPr>
        <w:tc>
          <w:tcPr>
            <w:tcW w:w="2297" w:type="dxa"/>
          </w:tcPr>
          <w:p>
            <w:pPr>
              <w:pStyle w:val="TableParagraph"/>
              <w:spacing w:before="1"/>
              <w:rPr>
                <w:b/>
                <w:sz w:val="17"/>
              </w:rPr>
            </w:pPr>
          </w:p>
          <w:p>
            <w:pPr>
              <w:pStyle w:val="TableParagraph"/>
              <w:spacing w:line="242" w:lineRule="auto"/>
              <w:ind w:left="108" w:right="17"/>
              <w:rPr>
                <w:sz w:val="24"/>
              </w:rPr>
            </w:pPr>
            <w:r>
              <w:rPr>
                <w:sz w:val="24"/>
              </w:rPr>
              <w:t>货物周转量（万吨公里）</w:t>
            </w:r>
          </w:p>
        </w:tc>
        <w:tc>
          <w:tcPr>
            <w:tcW w:w="1544" w:type="dxa"/>
          </w:tcPr>
          <w:p>
            <w:pPr>
              <w:pStyle w:val="TableParagraph"/>
              <w:spacing w:before="1"/>
              <w:rPr>
                <w:b/>
                <w:sz w:val="29"/>
              </w:rPr>
            </w:pPr>
          </w:p>
          <w:p>
            <w:pPr>
              <w:pStyle w:val="TableParagraph"/>
              <w:ind w:right="96"/>
              <w:jc w:val="right"/>
              <w:rPr>
                <w:sz w:val="24"/>
              </w:rPr>
            </w:pPr>
            <w:r>
              <w:rPr>
                <w:sz w:val="24"/>
              </w:rPr>
              <w:t>2148724.50</w:t>
            </w:r>
          </w:p>
        </w:tc>
        <w:tc>
          <w:tcPr>
            <w:tcW w:w="1515" w:type="dxa"/>
          </w:tcPr>
          <w:p>
            <w:pPr>
              <w:pStyle w:val="TableParagraph"/>
              <w:spacing w:before="1"/>
              <w:rPr>
                <w:b/>
                <w:sz w:val="29"/>
              </w:rPr>
            </w:pPr>
          </w:p>
          <w:p>
            <w:pPr>
              <w:pStyle w:val="TableParagraph"/>
              <w:ind w:right="97"/>
              <w:jc w:val="right"/>
              <w:rPr>
                <w:sz w:val="24"/>
              </w:rPr>
            </w:pPr>
            <w:r>
              <w:rPr>
                <w:sz w:val="24"/>
              </w:rPr>
              <w:t>3104538.39</w:t>
            </w:r>
          </w:p>
        </w:tc>
        <w:tc>
          <w:tcPr>
            <w:tcW w:w="1477" w:type="dxa"/>
          </w:tcPr>
          <w:p>
            <w:pPr>
              <w:pStyle w:val="TableParagraph"/>
              <w:spacing w:before="1"/>
              <w:rPr>
                <w:b/>
                <w:sz w:val="29"/>
              </w:rPr>
            </w:pPr>
          </w:p>
          <w:p>
            <w:pPr>
              <w:pStyle w:val="TableParagraph"/>
              <w:ind w:left="168"/>
              <w:rPr>
                <w:sz w:val="24"/>
              </w:rPr>
            </w:pPr>
            <w:r>
              <w:rPr>
                <w:sz w:val="24"/>
              </w:rPr>
              <w:t>3858756.29</w:t>
            </w:r>
          </w:p>
        </w:tc>
        <w:tc>
          <w:tcPr>
            <w:tcW w:w="1058" w:type="dxa"/>
          </w:tcPr>
          <w:p>
            <w:pPr>
              <w:pStyle w:val="TableParagraph"/>
              <w:spacing w:before="1"/>
              <w:rPr>
                <w:b/>
                <w:sz w:val="29"/>
              </w:rPr>
            </w:pPr>
          </w:p>
          <w:p>
            <w:pPr>
              <w:pStyle w:val="TableParagraph"/>
              <w:ind w:right="95"/>
              <w:jc w:val="right"/>
              <w:rPr>
                <w:sz w:val="24"/>
              </w:rPr>
            </w:pPr>
            <w:r>
              <w:rPr>
                <w:sz w:val="24"/>
              </w:rPr>
              <w:t>8.72%</w:t>
            </w:r>
          </w:p>
        </w:tc>
        <w:tc>
          <w:tcPr>
            <w:tcW w:w="1323" w:type="dxa"/>
          </w:tcPr>
          <w:p>
            <w:pPr>
              <w:pStyle w:val="TableParagraph"/>
              <w:spacing w:line="242" w:lineRule="auto" w:before="122"/>
              <w:ind w:left="108" w:right="96"/>
              <w:jc w:val="both"/>
              <w:rPr>
                <w:sz w:val="21"/>
              </w:rPr>
            </w:pPr>
            <w:r>
              <w:rPr>
                <w:sz w:val="21"/>
              </w:rPr>
              <w:t>预期性，含铁路货物周转量</w:t>
            </w:r>
          </w:p>
        </w:tc>
      </w:tr>
      <w:tr>
        <w:trPr>
          <w:trHeight w:val="861" w:hRule="atLeast"/>
        </w:trPr>
        <w:tc>
          <w:tcPr>
            <w:tcW w:w="2297" w:type="dxa"/>
          </w:tcPr>
          <w:p>
            <w:pPr>
              <w:pStyle w:val="TableParagraph"/>
              <w:spacing w:line="242" w:lineRule="auto" w:before="121"/>
              <w:ind w:left="108" w:right="96"/>
              <w:rPr>
                <w:sz w:val="24"/>
              </w:rPr>
            </w:pPr>
            <w:r>
              <w:rPr>
                <w:spacing w:val="21"/>
                <w:sz w:val="24"/>
              </w:rPr>
              <w:t>社会物流总额</w:t>
            </w:r>
            <w:r>
              <w:rPr>
                <w:sz w:val="24"/>
              </w:rPr>
              <w:t>（</w:t>
            </w:r>
            <w:r>
              <w:rPr>
                <w:spacing w:val="-56"/>
                <w:sz w:val="24"/>
              </w:rPr>
              <w:t> 亿</w:t>
            </w:r>
            <w:r>
              <w:rPr>
                <w:sz w:val="24"/>
              </w:rPr>
              <w:t>元）</w:t>
            </w:r>
          </w:p>
        </w:tc>
        <w:tc>
          <w:tcPr>
            <w:tcW w:w="1544" w:type="dxa"/>
          </w:tcPr>
          <w:p>
            <w:pPr>
              <w:pStyle w:val="TableParagraph"/>
              <w:spacing w:before="7"/>
              <w:rPr>
                <w:b/>
                <w:sz w:val="21"/>
              </w:rPr>
            </w:pPr>
          </w:p>
          <w:p>
            <w:pPr>
              <w:pStyle w:val="TableParagraph"/>
              <w:spacing w:before="1"/>
              <w:ind w:right="96"/>
              <w:jc w:val="right"/>
              <w:rPr>
                <w:sz w:val="24"/>
              </w:rPr>
            </w:pPr>
            <w:r>
              <w:rPr>
                <w:sz w:val="24"/>
              </w:rPr>
              <w:t>3985.30</w:t>
            </w:r>
          </w:p>
        </w:tc>
        <w:tc>
          <w:tcPr>
            <w:tcW w:w="1515" w:type="dxa"/>
          </w:tcPr>
          <w:p>
            <w:pPr>
              <w:pStyle w:val="TableParagraph"/>
              <w:spacing w:before="7"/>
              <w:rPr>
                <w:b/>
                <w:sz w:val="21"/>
              </w:rPr>
            </w:pPr>
          </w:p>
          <w:p>
            <w:pPr>
              <w:pStyle w:val="TableParagraph"/>
              <w:spacing w:before="1"/>
              <w:ind w:right="97"/>
              <w:jc w:val="right"/>
              <w:rPr>
                <w:sz w:val="24"/>
              </w:rPr>
            </w:pPr>
            <w:r>
              <w:rPr>
                <w:sz w:val="24"/>
              </w:rPr>
              <w:t>5834.88</w:t>
            </w:r>
          </w:p>
        </w:tc>
        <w:tc>
          <w:tcPr>
            <w:tcW w:w="1477" w:type="dxa"/>
          </w:tcPr>
          <w:p>
            <w:pPr>
              <w:pStyle w:val="TableParagraph"/>
              <w:spacing w:before="7"/>
              <w:rPr>
                <w:b/>
                <w:sz w:val="21"/>
              </w:rPr>
            </w:pPr>
          </w:p>
          <w:p>
            <w:pPr>
              <w:pStyle w:val="TableParagraph"/>
              <w:spacing w:before="1"/>
              <w:ind w:right="96"/>
              <w:jc w:val="right"/>
              <w:rPr>
                <w:sz w:val="24"/>
              </w:rPr>
            </w:pPr>
            <w:r>
              <w:rPr>
                <w:sz w:val="24"/>
              </w:rPr>
              <w:t>7766.23</w:t>
            </w:r>
          </w:p>
        </w:tc>
        <w:tc>
          <w:tcPr>
            <w:tcW w:w="1058" w:type="dxa"/>
          </w:tcPr>
          <w:p>
            <w:pPr>
              <w:pStyle w:val="TableParagraph"/>
              <w:spacing w:before="7"/>
              <w:rPr>
                <w:b/>
                <w:sz w:val="21"/>
              </w:rPr>
            </w:pPr>
          </w:p>
          <w:p>
            <w:pPr>
              <w:pStyle w:val="TableParagraph"/>
              <w:spacing w:before="1"/>
              <w:ind w:right="95"/>
              <w:jc w:val="right"/>
              <w:rPr>
                <w:sz w:val="24"/>
              </w:rPr>
            </w:pPr>
            <w:r>
              <w:rPr>
                <w:sz w:val="24"/>
              </w:rPr>
              <w:t>10.00%</w:t>
            </w:r>
          </w:p>
        </w:tc>
        <w:tc>
          <w:tcPr>
            <w:tcW w:w="1323" w:type="dxa"/>
          </w:tcPr>
          <w:p>
            <w:pPr>
              <w:pStyle w:val="TableParagraph"/>
              <w:rPr>
                <w:b/>
                <w:sz w:val="23"/>
              </w:rPr>
            </w:pPr>
          </w:p>
          <w:p>
            <w:pPr>
              <w:pStyle w:val="TableParagraph"/>
              <w:ind w:left="108"/>
              <w:rPr>
                <w:sz w:val="21"/>
              </w:rPr>
            </w:pPr>
            <w:r>
              <w:rPr>
                <w:sz w:val="21"/>
              </w:rPr>
              <w:t>预期性</w:t>
            </w:r>
          </w:p>
        </w:tc>
      </w:tr>
      <w:tr>
        <w:trPr>
          <w:trHeight w:val="863" w:hRule="atLeast"/>
        </w:trPr>
        <w:tc>
          <w:tcPr>
            <w:tcW w:w="2297" w:type="dxa"/>
          </w:tcPr>
          <w:p>
            <w:pPr>
              <w:pStyle w:val="TableParagraph"/>
              <w:spacing w:line="242" w:lineRule="auto" w:before="122"/>
              <w:ind w:left="108" w:right="16"/>
              <w:rPr>
                <w:sz w:val="24"/>
              </w:rPr>
            </w:pPr>
            <w:r>
              <w:rPr>
                <w:sz w:val="24"/>
              </w:rPr>
              <w:t>交通运输、仓储和邮政业增加值（亿元）</w:t>
            </w:r>
          </w:p>
        </w:tc>
        <w:tc>
          <w:tcPr>
            <w:tcW w:w="1544" w:type="dxa"/>
          </w:tcPr>
          <w:p>
            <w:pPr>
              <w:pStyle w:val="TableParagraph"/>
              <w:spacing w:before="7"/>
              <w:rPr>
                <w:b/>
                <w:sz w:val="21"/>
              </w:rPr>
            </w:pPr>
          </w:p>
          <w:p>
            <w:pPr>
              <w:pStyle w:val="TableParagraph"/>
              <w:ind w:right="96"/>
              <w:jc w:val="right"/>
              <w:rPr>
                <w:sz w:val="24"/>
              </w:rPr>
            </w:pPr>
            <w:r>
              <w:rPr>
                <w:sz w:val="24"/>
              </w:rPr>
              <w:t>78.94</w:t>
            </w:r>
          </w:p>
        </w:tc>
        <w:tc>
          <w:tcPr>
            <w:tcW w:w="1515" w:type="dxa"/>
          </w:tcPr>
          <w:p>
            <w:pPr>
              <w:pStyle w:val="TableParagraph"/>
              <w:spacing w:before="7"/>
              <w:rPr>
                <w:b/>
                <w:sz w:val="21"/>
              </w:rPr>
            </w:pPr>
          </w:p>
          <w:p>
            <w:pPr>
              <w:pStyle w:val="TableParagraph"/>
              <w:ind w:right="97"/>
              <w:jc w:val="right"/>
              <w:rPr>
                <w:sz w:val="24"/>
              </w:rPr>
            </w:pPr>
            <w:r>
              <w:rPr>
                <w:sz w:val="24"/>
              </w:rPr>
              <w:t>107.40</w:t>
            </w:r>
          </w:p>
        </w:tc>
        <w:tc>
          <w:tcPr>
            <w:tcW w:w="1477" w:type="dxa"/>
          </w:tcPr>
          <w:p>
            <w:pPr>
              <w:pStyle w:val="TableParagraph"/>
              <w:spacing w:before="7"/>
              <w:rPr>
                <w:b/>
                <w:sz w:val="21"/>
              </w:rPr>
            </w:pPr>
          </w:p>
          <w:p>
            <w:pPr>
              <w:pStyle w:val="TableParagraph"/>
              <w:ind w:right="96"/>
              <w:jc w:val="right"/>
              <w:rPr>
                <w:sz w:val="24"/>
              </w:rPr>
            </w:pPr>
            <w:r>
              <w:rPr>
                <w:sz w:val="24"/>
              </w:rPr>
              <w:t>135.29</w:t>
            </w:r>
          </w:p>
        </w:tc>
        <w:tc>
          <w:tcPr>
            <w:tcW w:w="1058" w:type="dxa"/>
          </w:tcPr>
          <w:p>
            <w:pPr>
              <w:pStyle w:val="TableParagraph"/>
              <w:spacing w:before="7"/>
              <w:rPr>
                <w:b/>
                <w:sz w:val="21"/>
              </w:rPr>
            </w:pPr>
          </w:p>
          <w:p>
            <w:pPr>
              <w:pStyle w:val="TableParagraph"/>
              <w:ind w:right="95"/>
              <w:jc w:val="right"/>
              <w:rPr>
                <w:sz w:val="24"/>
              </w:rPr>
            </w:pPr>
            <w:r>
              <w:rPr>
                <w:sz w:val="24"/>
              </w:rPr>
              <w:t>8.00%</w:t>
            </w:r>
          </w:p>
        </w:tc>
        <w:tc>
          <w:tcPr>
            <w:tcW w:w="1323" w:type="dxa"/>
          </w:tcPr>
          <w:p>
            <w:pPr>
              <w:pStyle w:val="TableParagraph"/>
              <w:spacing w:before="12"/>
              <w:rPr>
                <w:b/>
                <w:sz w:val="22"/>
              </w:rPr>
            </w:pPr>
          </w:p>
          <w:p>
            <w:pPr>
              <w:pStyle w:val="TableParagraph"/>
              <w:ind w:left="108"/>
              <w:rPr>
                <w:sz w:val="21"/>
              </w:rPr>
            </w:pPr>
            <w:r>
              <w:rPr>
                <w:sz w:val="21"/>
              </w:rPr>
              <w:t>预期性</w:t>
            </w:r>
          </w:p>
        </w:tc>
      </w:tr>
      <w:tr>
        <w:trPr>
          <w:trHeight w:val="1172" w:hRule="atLeast"/>
        </w:trPr>
        <w:tc>
          <w:tcPr>
            <w:tcW w:w="2297" w:type="dxa"/>
          </w:tcPr>
          <w:p>
            <w:pPr>
              <w:pStyle w:val="TableParagraph"/>
              <w:spacing w:before="7"/>
              <w:rPr>
                <w:b/>
                <w:sz w:val="33"/>
              </w:rPr>
            </w:pPr>
          </w:p>
          <w:p>
            <w:pPr>
              <w:pStyle w:val="TableParagraph"/>
              <w:ind w:left="108"/>
              <w:rPr>
                <w:sz w:val="24"/>
              </w:rPr>
            </w:pPr>
            <w:r>
              <w:rPr>
                <w:sz w:val="24"/>
              </w:rPr>
              <w:t>海关特殊监管区</w:t>
            </w:r>
          </w:p>
        </w:tc>
        <w:tc>
          <w:tcPr>
            <w:tcW w:w="1544" w:type="dxa"/>
          </w:tcPr>
          <w:p>
            <w:pPr>
              <w:pStyle w:val="TableParagraph"/>
              <w:spacing w:before="7"/>
              <w:rPr>
                <w:b/>
                <w:sz w:val="21"/>
              </w:rPr>
            </w:pPr>
          </w:p>
          <w:p>
            <w:pPr>
              <w:pStyle w:val="TableParagraph"/>
              <w:spacing w:line="242" w:lineRule="auto"/>
              <w:ind w:left="107" w:right="96"/>
              <w:rPr>
                <w:sz w:val="24"/>
              </w:rPr>
            </w:pPr>
            <w:r>
              <w:rPr>
                <w:sz w:val="24"/>
              </w:rPr>
              <w:t>1</w:t>
            </w:r>
            <w:r>
              <w:rPr>
                <w:spacing w:val="-57"/>
                <w:sz w:val="24"/>
              </w:rPr>
              <w:t> 个</w:t>
            </w:r>
            <w:r>
              <w:rPr>
                <w:sz w:val="24"/>
              </w:rPr>
              <w:t>（</w:t>
            </w:r>
            <w:r>
              <w:rPr>
                <w:spacing w:val="-6"/>
                <w:sz w:val="24"/>
              </w:rPr>
              <w:t>公用型</w:t>
            </w:r>
            <w:r>
              <w:rPr>
                <w:sz w:val="24"/>
              </w:rPr>
              <w:t>保税仓）</w:t>
            </w:r>
          </w:p>
        </w:tc>
        <w:tc>
          <w:tcPr>
            <w:tcW w:w="1515" w:type="dxa"/>
          </w:tcPr>
          <w:p>
            <w:pPr>
              <w:pStyle w:val="TableParagraph"/>
              <w:spacing w:line="242" w:lineRule="auto" w:before="121"/>
              <w:ind w:left="107" w:right="97"/>
              <w:rPr>
                <w:sz w:val="24"/>
              </w:rPr>
            </w:pPr>
            <w:r>
              <w:rPr>
                <w:sz w:val="24"/>
              </w:rPr>
              <w:t>申请建设保税物流中心</w:t>
            </w:r>
          </w:p>
          <w:p>
            <w:pPr>
              <w:pStyle w:val="TableParagraph"/>
              <w:ind w:left="107"/>
              <w:rPr>
                <w:sz w:val="24"/>
              </w:rPr>
            </w:pPr>
            <w:r>
              <w:rPr>
                <w:sz w:val="24"/>
              </w:rPr>
              <w:t>（B型）</w:t>
            </w:r>
          </w:p>
        </w:tc>
        <w:tc>
          <w:tcPr>
            <w:tcW w:w="1477" w:type="dxa"/>
          </w:tcPr>
          <w:p>
            <w:pPr>
              <w:pStyle w:val="TableParagraph"/>
              <w:spacing w:line="242" w:lineRule="auto" w:before="121"/>
              <w:ind w:left="106" w:right="96"/>
              <w:rPr>
                <w:sz w:val="24"/>
              </w:rPr>
            </w:pPr>
            <w:r>
              <w:rPr>
                <w:sz w:val="24"/>
              </w:rPr>
              <w:t>启动建设保税物流中心</w:t>
            </w:r>
          </w:p>
          <w:p>
            <w:pPr>
              <w:pStyle w:val="TableParagraph"/>
              <w:ind w:left="106"/>
              <w:rPr>
                <w:sz w:val="24"/>
              </w:rPr>
            </w:pPr>
            <w:r>
              <w:rPr>
                <w:sz w:val="24"/>
              </w:rPr>
              <w:t>（B型）</w:t>
            </w:r>
          </w:p>
        </w:tc>
        <w:tc>
          <w:tcPr>
            <w:tcW w:w="1058" w:type="dxa"/>
          </w:tcPr>
          <w:p>
            <w:pPr>
              <w:pStyle w:val="TableParagraph"/>
              <w:rPr>
                <w:b/>
                <w:sz w:val="24"/>
              </w:rPr>
            </w:pPr>
          </w:p>
          <w:p>
            <w:pPr>
              <w:pStyle w:val="TableParagraph"/>
              <w:spacing w:before="5"/>
              <w:rPr>
                <w:b/>
                <w:sz w:val="26"/>
              </w:rPr>
            </w:pPr>
          </w:p>
          <w:p>
            <w:pPr>
              <w:pStyle w:val="TableParagraph"/>
              <w:ind w:left="7"/>
              <w:jc w:val="center"/>
              <w:rPr>
                <w:sz w:val="24"/>
              </w:rPr>
            </w:pPr>
            <w:r>
              <w:rPr>
                <w:sz w:val="24"/>
              </w:rPr>
              <w:t>—</w:t>
            </w:r>
          </w:p>
        </w:tc>
        <w:tc>
          <w:tcPr>
            <w:tcW w:w="1323" w:type="dxa"/>
          </w:tcPr>
          <w:p>
            <w:pPr>
              <w:pStyle w:val="TableParagraph"/>
              <w:rPr>
                <w:b/>
                <w:sz w:val="20"/>
              </w:rPr>
            </w:pPr>
          </w:p>
          <w:p>
            <w:pPr>
              <w:pStyle w:val="TableParagraph"/>
              <w:rPr>
                <w:b/>
                <w:sz w:val="20"/>
              </w:rPr>
            </w:pPr>
          </w:p>
          <w:p>
            <w:pPr>
              <w:pStyle w:val="TableParagraph"/>
              <w:spacing w:before="132"/>
              <w:ind w:left="108"/>
              <w:rPr>
                <w:sz w:val="21"/>
              </w:rPr>
            </w:pPr>
            <w:r>
              <w:rPr>
                <w:sz w:val="21"/>
              </w:rPr>
              <w:t>预期性</w:t>
            </w:r>
          </w:p>
        </w:tc>
      </w:tr>
      <w:tr>
        <w:trPr>
          <w:trHeight w:val="862" w:hRule="atLeast"/>
        </w:trPr>
        <w:tc>
          <w:tcPr>
            <w:tcW w:w="2297" w:type="dxa"/>
          </w:tcPr>
          <w:p>
            <w:pPr>
              <w:pStyle w:val="TableParagraph"/>
              <w:spacing w:line="242" w:lineRule="auto" w:before="121"/>
              <w:ind w:left="108" w:right="96"/>
              <w:rPr>
                <w:sz w:val="24"/>
              </w:rPr>
            </w:pPr>
            <w:r>
              <w:rPr>
                <w:sz w:val="24"/>
              </w:rPr>
              <w:t>国家 3A级以上物流企业（家）</w:t>
            </w:r>
          </w:p>
        </w:tc>
        <w:tc>
          <w:tcPr>
            <w:tcW w:w="1544" w:type="dxa"/>
          </w:tcPr>
          <w:p>
            <w:pPr>
              <w:pStyle w:val="TableParagraph"/>
              <w:spacing w:before="7"/>
              <w:rPr>
                <w:b/>
                <w:sz w:val="21"/>
              </w:rPr>
            </w:pPr>
          </w:p>
          <w:p>
            <w:pPr>
              <w:pStyle w:val="TableParagraph"/>
              <w:spacing w:before="1"/>
              <w:ind w:right="96"/>
              <w:jc w:val="right"/>
              <w:rPr>
                <w:sz w:val="24"/>
              </w:rPr>
            </w:pPr>
            <w:r>
              <w:rPr>
                <w:sz w:val="24"/>
              </w:rPr>
              <w:t>3</w:t>
            </w:r>
          </w:p>
        </w:tc>
        <w:tc>
          <w:tcPr>
            <w:tcW w:w="1515" w:type="dxa"/>
          </w:tcPr>
          <w:p>
            <w:pPr>
              <w:pStyle w:val="TableParagraph"/>
              <w:spacing w:before="7"/>
              <w:rPr>
                <w:b/>
                <w:sz w:val="21"/>
              </w:rPr>
            </w:pPr>
          </w:p>
          <w:p>
            <w:pPr>
              <w:pStyle w:val="TableParagraph"/>
              <w:spacing w:before="1"/>
              <w:ind w:right="97"/>
              <w:jc w:val="right"/>
              <w:rPr>
                <w:sz w:val="24"/>
              </w:rPr>
            </w:pPr>
            <w:r>
              <w:rPr>
                <w:sz w:val="24"/>
              </w:rPr>
              <w:t>5</w:t>
            </w:r>
          </w:p>
        </w:tc>
        <w:tc>
          <w:tcPr>
            <w:tcW w:w="1477" w:type="dxa"/>
          </w:tcPr>
          <w:p>
            <w:pPr>
              <w:pStyle w:val="TableParagraph"/>
              <w:spacing w:before="7"/>
              <w:rPr>
                <w:b/>
                <w:sz w:val="21"/>
              </w:rPr>
            </w:pPr>
          </w:p>
          <w:p>
            <w:pPr>
              <w:pStyle w:val="TableParagraph"/>
              <w:spacing w:before="1"/>
              <w:ind w:right="96"/>
              <w:jc w:val="right"/>
              <w:rPr>
                <w:sz w:val="24"/>
              </w:rPr>
            </w:pPr>
            <w:r>
              <w:rPr>
                <w:sz w:val="24"/>
              </w:rPr>
              <w:t>8</w:t>
            </w:r>
          </w:p>
        </w:tc>
        <w:tc>
          <w:tcPr>
            <w:tcW w:w="1058" w:type="dxa"/>
          </w:tcPr>
          <w:p>
            <w:pPr>
              <w:pStyle w:val="TableParagraph"/>
              <w:spacing w:before="7"/>
              <w:rPr>
                <w:b/>
                <w:sz w:val="21"/>
              </w:rPr>
            </w:pPr>
          </w:p>
          <w:p>
            <w:pPr>
              <w:pStyle w:val="TableParagraph"/>
              <w:spacing w:before="1"/>
              <w:ind w:right="95"/>
              <w:jc w:val="right"/>
              <w:rPr>
                <w:sz w:val="24"/>
              </w:rPr>
            </w:pPr>
            <w:r>
              <w:rPr>
                <w:sz w:val="24"/>
              </w:rPr>
              <w:t>15.04%</w:t>
            </w:r>
          </w:p>
        </w:tc>
        <w:tc>
          <w:tcPr>
            <w:tcW w:w="1323" w:type="dxa"/>
          </w:tcPr>
          <w:p>
            <w:pPr>
              <w:pStyle w:val="TableParagraph"/>
              <w:rPr>
                <w:b/>
                <w:sz w:val="23"/>
              </w:rPr>
            </w:pPr>
          </w:p>
          <w:p>
            <w:pPr>
              <w:pStyle w:val="TableParagraph"/>
              <w:ind w:left="108"/>
              <w:rPr>
                <w:sz w:val="21"/>
              </w:rPr>
            </w:pPr>
            <w:r>
              <w:rPr>
                <w:sz w:val="21"/>
              </w:rPr>
              <w:t>约束性</w:t>
            </w:r>
          </w:p>
        </w:tc>
      </w:tr>
      <w:tr>
        <w:trPr>
          <w:trHeight w:val="862" w:hRule="atLeast"/>
        </w:trPr>
        <w:tc>
          <w:tcPr>
            <w:tcW w:w="2297" w:type="dxa"/>
          </w:tcPr>
          <w:p>
            <w:pPr>
              <w:pStyle w:val="TableParagraph"/>
              <w:spacing w:line="242" w:lineRule="auto" w:before="121"/>
              <w:ind w:left="108" w:right="96"/>
              <w:rPr>
                <w:sz w:val="24"/>
              </w:rPr>
            </w:pPr>
            <w:r>
              <w:rPr>
                <w:sz w:val="24"/>
              </w:rPr>
              <w:t>冷库库容（ 万立方米）</w:t>
            </w:r>
          </w:p>
        </w:tc>
        <w:tc>
          <w:tcPr>
            <w:tcW w:w="1544" w:type="dxa"/>
          </w:tcPr>
          <w:p>
            <w:pPr>
              <w:pStyle w:val="TableParagraph"/>
              <w:spacing w:before="6"/>
              <w:rPr>
                <w:b/>
                <w:sz w:val="21"/>
              </w:rPr>
            </w:pPr>
          </w:p>
          <w:p>
            <w:pPr>
              <w:pStyle w:val="TableParagraph"/>
              <w:ind w:right="96"/>
              <w:jc w:val="right"/>
              <w:rPr>
                <w:sz w:val="24"/>
              </w:rPr>
            </w:pPr>
            <w:r>
              <w:rPr>
                <w:sz w:val="24"/>
              </w:rPr>
              <w:t>26.8</w:t>
            </w:r>
          </w:p>
        </w:tc>
        <w:tc>
          <w:tcPr>
            <w:tcW w:w="1515" w:type="dxa"/>
          </w:tcPr>
          <w:p>
            <w:pPr>
              <w:pStyle w:val="TableParagraph"/>
              <w:spacing w:before="6"/>
              <w:rPr>
                <w:b/>
                <w:sz w:val="21"/>
              </w:rPr>
            </w:pPr>
          </w:p>
          <w:p>
            <w:pPr>
              <w:pStyle w:val="TableParagraph"/>
              <w:ind w:right="97"/>
              <w:jc w:val="right"/>
              <w:rPr>
                <w:sz w:val="24"/>
              </w:rPr>
            </w:pPr>
            <w:r>
              <w:rPr>
                <w:sz w:val="24"/>
              </w:rPr>
              <w:t>37.8</w:t>
            </w:r>
          </w:p>
        </w:tc>
        <w:tc>
          <w:tcPr>
            <w:tcW w:w="1477" w:type="dxa"/>
          </w:tcPr>
          <w:p>
            <w:pPr>
              <w:pStyle w:val="TableParagraph"/>
              <w:spacing w:before="6"/>
              <w:rPr>
                <w:b/>
                <w:sz w:val="21"/>
              </w:rPr>
            </w:pPr>
          </w:p>
          <w:p>
            <w:pPr>
              <w:pStyle w:val="TableParagraph"/>
              <w:ind w:right="96"/>
              <w:jc w:val="right"/>
              <w:rPr>
                <w:sz w:val="24"/>
              </w:rPr>
            </w:pPr>
            <w:r>
              <w:rPr>
                <w:sz w:val="24"/>
              </w:rPr>
              <w:t>49.5</w:t>
            </w:r>
          </w:p>
        </w:tc>
        <w:tc>
          <w:tcPr>
            <w:tcW w:w="1058" w:type="dxa"/>
          </w:tcPr>
          <w:p>
            <w:pPr>
              <w:pStyle w:val="TableParagraph"/>
              <w:spacing w:before="6"/>
              <w:rPr>
                <w:b/>
                <w:sz w:val="21"/>
              </w:rPr>
            </w:pPr>
          </w:p>
          <w:p>
            <w:pPr>
              <w:pStyle w:val="TableParagraph"/>
              <w:ind w:right="95"/>
              <w:jc w:val="right"/>
              <w:rPr>
                <w:sz w:val="24"/>
              </w:rPr>
            </w:pPr>
            <w:r>
              <w:rPr>
                <w:sz w:val="24"/>
              </w:rPr>
              <w:t>9.16%</w:t>
            </w:r>
          </w:p>
        </w:tc>
        <w:tc>
          <w:tcPr>
            <w:tcW w:w="1323" w:type="dxa"/>
          </w:tcPr>
          <w:p>
            <w:pPr>
              <w:pStyle w:val="TableParagraph"/>
              <w:spacing w:before="11"/>
              <w:rPr>
                <w:b/>
                <w:sz w:val="22"/>
              </w:rPr>
            </w:pPr>
          </w:p>
          <w:p>
            <w:pPr>
              <w:pStyle w:val="TableParagraph"/>
              <w:ind w:left="108"/>
              <w:rPr>
                <w:sz w:val="21"/>
              </w:rPr>
            </w:pPr>
            <w:r>
              <w:rPr>
                <w:sz w:val="21"/>
              </w:rPr>
              <w:t>预期性</w:t>
            </w:r>
          </w:p>
        </w:tc>
      </w:tr>
      <w:tr>
        <w:trPr>
          <w:trHeight w:val="707" w:hRule="atLeast"/>
        </w:trPr>
        <w:tc>
          <w:tcPr>
            <w:tcW w:w="2297" w:type="dxa"/>
          </w:tcPr>
          <w:p>
            <w:pPr>
              <w:pStyle w:val="TableParagraph"/>
              <w:spacing w:before="123"/>
              <w:ind w:left="108"/>
              <w:rPr>
                <w:sz w:val="24"/>
              </w:rPr>
            </w:pPr>
            <w:r>
              <w:rPr>
                <w:sz w:val="24"/>
              </w:rPr>
              <w:t>快递物流园</w:t>
            </w:r>
          </w:p>
        </w:tc>
        <w:tc>
          <w:tcPr>
            <w:tcW w:w="1544" w:type="dxa"/>
          </w:tcPr>
          <w:p>
            <w:pPr>
              <w:pStyle w:val="TableParagraph"/>
              <w:spacing w:before="123"/>
              <w:ind w:right="96"/>
              <w:jc w:val="right"/>
              <w:rPr>
                <w:sz w:val="24"/>
              </w:rPr>
            </w:pPr>
            <w:r>
              <w:rPr>
                <w:sz w:val="24"/>
              </w:rPr>
              <w:t>3</w:t>
            </w:r>
          </w:p>
        </w:tc>
        <w:tc>
          <w:tcPr>
            <w:tcW w:w="1515" w:type="dxa"/>
          </w:tcPr>
          <w:p>
            <w:pPr>
              <w:pStyle w:val="TableParagraph"/>
              <w:spacing w:before="123"/>
              <w:ind w:right="75"/>
              <w:jc w:val="right"/>
              <w:rPr>
                <w:sz w:val="24"/>
              </w:rPr>
            </w:pPr>
            <w:r>
              <w:rPr>
                <w:sz w:val="24"/>
              </w:rPr>
              <w:t>4（含在建）</w:t>
            </w:r>
          </w:p>
        </w:tc>
        <w:tc>
          <w:tcPr>
            <w:tcW w:w="1477" w:type="dxa"/>
          </w:tcPr>
          <w:p>
            <w:pPr>
              <w:pStyle w:val="TableParagraph"/>
              <w:spacing w:before="123"/>
              <w:ind w:right="38"/>
              <w:jc w:val="right"/>
              <w:rPr>
                <w:sz w:val="24"/>
              </w:rPr>
            </w:pPr>
            <w:r>
              <w:rPr>
                <w:sz w:val="24"/>
              </w:rPr>
              <w:t>5（含在建）</w:t>
            </w:r>
          </w:p>
        </w:tc>
        <w:tc>
          <w:tcPr>
            <w:tcW w:w="1058" w:type="dxa"/>
          </w:tcPr>
          <w:p>
            <w:pPr>
              <w:pStyle w:val="TableParagraph"/>
              <w:spacing w:before="123"/>
              <w:ind w:right="95"/>
              <w:jc w:val="right"/>
              <w:rPr>
                <w:sz w:val="24"/>
              </w:rPr>
            </w:pPr>
            <w:r>
              <w:rPr>
                <w:sz w:val="24"/>
              </w:rPr>
              <w:t>7.57%</w:t>
            </w:r>
          </w:p>
        </w:tc>
        <w:tc>
          <w:tcPr>
            <w:tcW w:w="1323" w:type="dxa"/>
          </w:tcPr>
          <w:p>
            <w:pPr>
              <w:pStyle w:val="TableParagraph"/>
              <w:spacing w:before="148"/>
              <w:ind w:left="108"/>
              <w:rPr>
                <w:sz w:val="21"/>
              </w:rPr>
            </w:pPr>
            <w:r>
              <w:rPr>
                <w:sz w:val="21"/>
              </w:rPr>
              <w:t>预期性</w:t>
            </w:r>
          </w:p>
        </w:tc>
      </w:tr>
      <w:tr>
        <w:trPr>
          <w:trHeight w:val="707" w:hRule="atLeast"/>
        </w:trPr>
        <w:tc>
          <w:tcPr>
            <w:tcW w:w="2297" w:type="dxa"/>
          </w:tcPr>
          <w:p>
            <w:pPr>
              <w:pStyle w:val="TableParagraph"/>
              <w:spacing w:before="121"/>
              <w:ind w:left="108"/>
              <w:rPr>
                <w:sz w:val="24"/>
              </w:rPr>
            </w:pPr>
            <w:r>
              <w:rPr>
                <w:sz w:val="24"/>
              </w:rPr>
              <w:t>物流综合信息平台</w:t>
            </w:r>
          </w:p>
        </w:tc>
        <w:tc>
          <w:tcPr>
            <w:tcW w:w="1544" w:type="dxa"/>
          </w:tcPr>
          <w:p>
            <w:pPr>
              <w:pStyle w:val="TableParagraph"/>
              <w:spacing w:before="121"/>
              <w:ind w:left="11"/>
              <w:jc w:val="center"/>
              <w:rPr>
                <w:sz w:val="24"/>
              </w:rPr>
            </w:pPr>
            <w:r>
              <w:rPr>
                <w:sz w:val="24"/>
              </w:rPr>
              <w:t>无</w:t>
            </w:r>
          </w:p>
        </w:tc>
        <w:tc>
          <w:tcPr>
            <w:tcW w:w="1515" w:type="dxa"/>
          </w:tcPr>
          <w:p>
            <w:pPr>
              <w:pStyle w:val="TableParagraph"/>
              <w:spacing w:before="121"/>
              <w:ind w:left="277"/>
              <w:rPr>
                <w:sz w:val="24"/>
              </w:rPr>
            </w:pPr>
            <w:r>
              <w:rPr>
                <w:sz w:val="24"/>
              </w:rPr>
              <w:t>初具雏形</w:t>
            </w:r>
          </w:p>
        </w:tc>
        <w:tc>
          <w:tcPr>
            <w:tcW w:w="1477" w:type="dxa"/>
          </w:tcPr>
          <w:p>
            <w:pPr>
              <w:pStyle w:val="TableParagraph"/>
              <w:spacing w:before="121"/>
              <w:ind w:left="257"/>
              <w:rPr>
                <w:sz w:val="24"/>
              </w:rPr>
            </w:pPr>
            <w:r>
              <w:rPr>
                <w:sz w:val="24"/>
              </w:rPr>
              <w:t>基本建成</w:t>
            </w:r>
          </w:p>
        </w:tc>
        <w:tc>
          <w:tcPr>
            <w:tcW w:w="1058" w:type="dxa"/>
          </w:tcPr>
          <w:p>
            <w:pPr>
              <w:pStyle w:val="TableParagraph"/>
              <w:rPr>
                <w:rFonts w:ascii="Times New Roman"/>
                <w:sz w:val="24"/>
              </w:rPr>
            </w:pPr>
          </w:p>
        </w:tc>
        <w:tc>
          <w:tcPr>
            <w:tcW w:w="1323" w:type="dxa"/>
          </w:tcPr>
          <w:p>
            <w:pPr>
              <w:pStyle w:val="TableParagraph"/>
              <w:spacing w:before="149"/>
              <w:ind w:left="108"/>
              <w:rPr>
                <w:sz w:val="21"/>
              </w:rPr>
            </w:pPr>
            <w:r>
              <w:rPr>
                <w:sz w:val="21"/>
              </w:rPr>
              <w:t>预期性</w:t>
            </w:r>
          </w:p>
        </w:tc>
      </w:tr>
    </w:tbl>
    <w:p>
      <w:pPr>
        <w:pStyle w:val="BodyText"/>
        <w:ind w:left="0"/>
        <w:rPr>
          <w:b/>
          <w:sz w:val="28"/>
        </w:rPr>
      </w:pPr>
    </w:p>
    <w:p>
      <w:pPr>
        <w:pStyle w:val="BodyText"/>
        <w:spacing w:before="6"/>
        <w:ind w:left="0"/>
        <w:rPr>
          <w:b/>
          <w:sz w:val="39"/>
        </w:rPr>
      </w:pPr>
    </w:p>
    <w:p>
      <w:pPr>
        <w:pStyle w:val="BodyText"/>
        <w:spacing w:before="1"/>
        <w:ind w:left="1200"/>
        <w:rPr>
          <w:rFonts w:ascii="黑体" w:eastAsia="黑体" w:hint="eastAsia"/>
        </w:rPr>
      </w:pPr>
      <w:bookmarkStart w:name="三、空间布局" w:id="71"/>
      <w:bookmarkEnd w:id="71"/>
      <w:r>
        <w:rPr/>
      </w:r>
      <w:bookmarkStart w:name="_bookmark27" w:id="72"/>
      <w:bookmarkEnd w:id="72"/>
      <w:r>
        <w:rPr/>
      </w:r>
      <w:r>
        <w:rPr>
          <w:rFonts w:ascii="黑体" w:eastAsia="黑体" w:hint="eastAsia"/>
        </w:rPr>
        <w:t>三、空间布局</w:t>
      </w:r>
    </w:p>
    <w:p>
      <w:pPr>
        <w:pStyle w:val="BodyText"/>
        <w:ind w:left="0"/>
        <w:rPr>
          <w:rFonts w:ascii="黑体"/>
          <w:sz w:val="26"/>
        </w:rPr>
      </w:pPr>
    </w:p>
    <w:p>
      <w:pPr>
        <w:pStyle w:val="BodyText"/>
        <w:spacing w:before="1"/>
        <w:ind w:left="1200"/>
      </w:pPr>
      <w:r>
        <w:rPr/>
        <w:t>根据国家物流枢纽建设要求和打造“通道+枢纽+网络”</w:t>
      </w:r>
    </w:p>
    <w:p>
      <w:pPr>
        <w:spacing w:after="0"/>
        <w:sectPr>
          <w:pgSz w:w="11910" w:h="16840"/>
          <w:pgMar w:header="0" w:footer="902" w:top="1420" w:bottom="1180" w:left="1240" w:right="1220"/>
        </w:sectPr>
      </w:pPr>
    </w:p>
    <w:p>
      <w:pPr>
        <w:pStyle w:val="BodyText"/>
        <w:spacing w:line="364" w:lineRule="auto" w:before="43"/>
        <w:ind w:right="535"/>
      </w:pPr>
      <w:r>
        <w:rPr/>
        <w:t>的物流运行体系目标，空间布局包括三个方面：物流枢纽和节点布局、骨干物流通道布局、城乡三级物流网络布局。</w:t>
      </w:r>
    </w:p>
    <w:p>
      <w:pPr>
        <w:pStyle w:val="Heading1"/>
        <w:spacing w:before="116"/>
        <w:rPr>
          <w:rFonts w:ascii="楷体" w:eastAsia="楷体" w:hint="eastAsia"/>
        </w:rPr>
      </w:pPr>
      <w:bookmarkStart w:name="（一）物流枢纽和节点布局" w:id="73"/>
      <w:bookmarkEnd w:id="73"/>
      <w:r>
        <w:rPr>
          <w:b w:val="0"/>
        </w:rPr>
      </w:r>
      <w:bookmarkStart w:name="_bookmark28" w:id="74"/>
      <w:bookmarkEnd w:id="74"/>
      <w:r>
        <w:rPr>
          <w:b w:val="0"/>
        </w:rPr>
      </w:r>
      <w:r>
        <w:rPr>
          <w:rFonts w:ascii="楷体" w:eastAsia="楷体" w:hint="eastAsia"/>
        </w:rPr>
        <w:t>（一）物流枢纽和节点布局</w:t>
      </w:r>
    </w:p>
    <w:p>
      <w:pPr>
        <w:pStyle w:val="BodyText"/>
        <w:spacing w:before="12"/>
        <w:ind w:left="0"/>
        <w:rPr>
          <w:rFonts w:ascii="楷体"/>
          <w:b/>
          <w:sz w:val="25"/>
        </w:rPr>
      </w:pPr>
    </w:p>
    <w:p>
      <w:pPr>
        <w:pStyle w:val="BodyText"/>
        <w:spacing w:line="364" w:lineRule="auto"/>
        <w:ind w:right="418" w:firstLine="640"/>
      </w:pPr>
      <w:r>
        <w:rPr>
          <w:spacing w:val="-2"/>
        </w:rPr>
        <w:t>依托交通物流基础设施，服务经济社会发展，衔接城市</w:t>
      </w:r>
      <w:r>
        <w:rPr>
          <w:spacing w:val="11"/>
        </w:rPr>
        <w:t>建设、城镇化发展和乡村振兴，物流枢纽和节点总体按照“1359</w:t>
      </w:r>
      <w:r>
        <w:rPr>
          <w:spacing w:val="8"/>
        </w:rPr>
        <w:t>”进行布局：</w:t>
      </w:r>
      <w:r>
        <w:rPr>
          <w:spacing w:val="-3"/>
        </w:rPr>
        <w:t>1</w:t>
      </w:r>
      <w:r>
        <w:rPr>
          <w:spacing w:val="-12"/>
        </w:rPr>
        <w:t> 个国家物流枢纽、</w:t>
      </w:r>
      <w:r>
        <w:rPr/>
        <w:t>3</w:t>
      </w:r>
      <w:r>
        <w:rPr>
          <w:spacing w:val="-11"/>
        </w:rPr>
        <w:t> 个地方物流枢纽、5</w:t>
      </w:r>
      <w:r>
        <w:rPr>
          <w:spacing w:val="-12"/>
        </w:rPr>
        <w:t> 个各具特色的现代物流集聚中心和 </w:t>
      </w:r>
      <w:r>
        <w:rPr/>
        <w:t>9</w:t>
      </w:r>
      <w:r>
        <w:rPr>
          <w:spacing w:val="-9"/>
        </w:rPr>
        <w:t> 个县域物流基地，同时重点建设一批物流园区，形成相互衔接、分工合理、辐射</w:t>
      </w:r>
      <w:r>
        <w:rPr>
          <w:spacing w:val="-14"/>
        </w:rPr>
        <w:t>内外的物流空间新格局，详见下图 </w:t>
      </w:r>
      <w:r>
        <w:rPr/>
        <w:t>1</w:t>
      </w:r>
      <w:r>
        <w:rPr>
          <w:spacing w:val="-41"/>
        </w:rPr>
        <w:t> 和图 </w:t>
      </w:r>
      <w:r>
        <w:rPr/>
        <w:t>2</w:t>
      </w:r>
      <w:r>
        <w:rPr>
          <w:spacing w:val="-21"/>
        </w:rPr>
        <w:t> 所示。</w:t>
      </w:r>
    </w:p>
    <w:p>
      <w:pPr>
        <w:pStyle w:val="ListParagraph"/>
        <w:numPr>
          <w:ilvl w:val="0"/>
          <w:numId w:val="17"/>
        </w:numPr>
        <w:tabs>
          <w:tab w:pos="1463" w:val="left" w:leader="none"/>
        </w:tabs>
        <w:spacing w:line="240" w:lineRule="auto" w:before="116" w:after="0"/>
        <w:ind w:left="1462" w:right="0" w:hanging="303"/>
        <w:jc w:val="left"/>
        <w:rPr>
          <w:b/>
          <w:sz w:val="28"/>
        </w:rPr>
      </w:pPr>
      <w:bookmarkStart w:name="1.国家物流枢纽布局" w:id="75"/>
      <w:bookmarkEnd w:id="75"/>
      <w:r>
        <w:rPr/>
      </w:r>
      <w:bookmarkStart w:name="1.国家物流枢纽布局" w:id="76"/>
      <w:bookmarkEnd w:id="76"/>
      <w:r>
        <w:rPr>
          <w:b/>
          <w:sz w:val="30"/>
        </w:rPr>
        <w:t>国家物流枢纽布局</w:t>
      </w:r>
    </w:p>
    <w:p>
      <w:pPr>
        <w:pStyle w:val="BodyText"/>
        <w:ind w:left="0"/>
        <w:rPr>
          <w:b/>
          <w:sz w:val="25"/>
        </w:rPr>
      </w:pPr>
    </w:p>
    <w:p>
      <w:pPr>
        <w:pStyle w:val="BodyText"/>
        <w:spacing w:line="364" w:lineRule="auto"/>
        <w:ind w:right="577" w:firstLine="640"/>
        <w:jc w:val="both"/>
      </w:pPr>
      <w:r>
        <w:rPr>
          <w:spacing w:val="-3"/>
          <w:w w:val="95"/>
        </w:rPr>
        <w:t>按照区位条件良好、空间布局集约、存量设施优先、开 </w:t>
      </w:r>
      <w:r>
        <w:rPr>
          <w:spacing w:val="-5"/>
        </w:rPr>
        <w:t>放性公共性强、服务功能完善、统筹运营管理等原则，结合</w:t>
      </w:r>
      <w:r>
        <w:rPr>
          <w:spacing w:val="-6"/>
        </w:rPr>
        <w:t>桂林市实际，桂林国家物流枢纽选址以铁路桂林西货运站为</w:t>
      </w:r>
      <w:r>
        <w:rPr>
          <w:spacing w:val="-12"/>
        </w:rPr>
        <w:t>基点，向周边地区扩展至 </w:t>
      </w:r>
      <w:r>
        <w:rPr/>
        <w:t>15000</w:t>
      </w:r>
      <w:r>
        <w:rPr>
          <w:spacing w:val="-10"/>
        </w:rPr>
        <w:t> 亩用地区域，整体建设桂林国家物流枢纽，具体包括：</w:t>
      </w:r>
    </w:p>
    <w:p>
      <w:pPr>
        <w:pStyle w:val="ListParagraph"/>
        <w:numPr>
          <w:ilvl w:val="0"/>
          <w:numId w:val="18"/>
        </w:numPr>
        <w:tabs>
          <w:tab w:pos="2001" w:val="left" w:leader="none"/>
        </w:tabs>
        <w:spacing w:line="364" w:lineRule="auto" w:before="117" w:after="0"/>
        <w:ind w:left="560" w:right="577" w:firstLine="640"/>
        <w:jc w:val="both"/>
        <w:rPr>
          <w:sz w:val="32"/>
        </w:rPr>
      </w:pPr>
      <w:r>
        <w:rPr>
          <w:spacing w:val="6"/>
          <w:w w:val="95"/>
          <w:sz w:val="32"/>
        </w:rPr>
        <w:t>一期工程：桂林铁路港。以广西宁铁物资工业有 </w:t>
      </w:r>
      <w:r>
        <w:rPr>
          <w:spacing w:val="-5"/>
          <w:sz w:val="32"/>
        </w:rPr>
        <w:t>限公司为实施主体，以铁路桂林西货运站 </w:t>
      </w:r>
      <w:r>
        <w:rPr>
          <w:sz w:val="32"/>
        </w:rPr>
        <w:t>700</w:t>
      </w:r>
      <w:r>
        <w:rPr>
          <w:spacing w:val="-13"/>
          <w:sz w:val="32"/>
        </w:rPr>
        <w:t> 亩建设用地和</w:t>
      </w:r>
    </w:p>
    <w:p>
      <w:pPr>
        <w:pStyle w:val="BodyText"/>
        <w:spacing w:line="407" w:lineRule="exact"/>
        <w:jc w:val="both"/>
      </w:pPr>
      <w:r>
        <w:rPr/>
        <w:t>存量设施为基础，在紧邻西货运站西北面新增规划用地 1300</w:t>
      </w:r>
    </w:p>
    <w:p>
      <w:pPr>
        <w:pStyle w:val="BodyText"/>
        <w:spacing w:line="364" w:lineRule="auto" w:before="214"/>
        <w:ind w:right="580"/>
        <w:jc w:val="both"/>
      </w:pPr>
      <w:r>
        <w:rPr>
          <w:spacing w:val="7"/>
        </w:rPr>
        <w:t>亩（已经基本完成征地手续），</w:t>
      </w:r>
      <w:r>
        <w:rPr>
          <w:spacing w:val="-9"/>
        </w:rPr>
        <w:t>建设用地面积 </w:t>
      </w:r>
      <w:r>
        <w:rPr/>
        <w:t>2000</w:t>
      </w:r>
      <w:r>
        <w:rPr>
          <w:spacing w:val="-18"/>
        </w:rPr>
        <w:t> 亩的铁</w:t>
      </w:r>
      <w:r>
        <w:rPr>
          <w:spacing w:val="-6"/>
          <w:w w:val="95"/>
        </w:rPr>
        <w:t>路港，重点发展农资、钢材、粮油、饲料、汽车等大宗物资 </w:t>
      </w:r>
      <w:r>
        <w:rPr>
          <w:spacing w:val="-6"/>
        </w:rPr>
        <w:t>集散功能。</w:t>
      </w:r>
    </w:p>
    <w:p>
      <w:pPr>
        <w:spacing w:after="0" w:line="364" w:lineRule="auto"/>
        <w:jc w:val="both"/>
        <w:sectPr>
          <w:pgSz w:w="11910" w:h="16840"/>
          <w:pgMar w:header="0" w:footer="902" w:top="1420" w:bottom="1180" w:left="1240" w:right="1220"/>
        </w:sectPr>
      </w:pPr>
    </w:p>
    <w:p>
      <w:pPr>
        <w:pStyle w:val="BodyText"/>
        <w:rPr>
          <w:sz w:val="20"/>
        </w:rPr>
      </w:pPr>
      <w:r>
        <w:rPr>
          <w:sz w:val="20"/>
        </w:rPr>
        <w:drawing>
          <wp:inline distT="0" distB="0" distL="0" distR="0">
            <wp:extent cx="5517590" cy="8191500"/>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7" cstate="print"/>
                    <a:stretch>
                      <a:fillRect/>
                    </a:stretch>
                  </pic:blipFill>
                  <pic:spPr>
                    <a:xfrm>
                      <a:off x="0" y="0"/>
                      <a:ext cx="5517590" cy="8191500"/>
                    </a:xfrm>
                    <a:prstGeom prst="rect">
                      <a:avLst/>
                    </a:prstGeom>
                  </pic:spPr>
                </pic:pic>
              </a:graphicData>
            </a:graphic>
          </wp:inline>
        </w:drawing>
      </w:r>
      <w:r>
        <w:rPr>
          <w:sz w:val="20"/>
        </w:rPr>
      </w:r>
    </w:p>
    <w:p>
      <w:pPr>
        <w:pStyle w:val="BodyText"/>
        <w:spacing w:before="3"/>
        <w:ind w:left="0"/>
        <w:rPr>
          <w:sz w:val="26"/>
        </w:rPr>
      </w:pPr>
    </w:p>
    <w:p>
      <w:pPr>
        <w:spacing w:before="62"/>
        <w:ind w:left="0" w:right="17" w:firstLine="0"/>
        <w:jc w:val="center"/>
        <w:rPr>
          <w:b/>
          <w:sz w:val="28"/>
        </w:rPr>
      </w:pPr>
      <w:r>
        <w:rPr>
          <w:b/>
          <w:sz w:val="28"/>
        </w:rPr>
        <w:t>图 1 桂林市“1359”物流枢纽和节点布局示意图</w:t>
      </w:r>
    </w:p>
    <w:p>
      <w:pPr>
        <w:spacing w:after="0"/>
        <w:jc w:val="center"/>
        <w:rPr>
          <w:sz w:val="28"/>
        </w:rPr>
        <w:sectPr>
          <w:pgSz w:w="11910" w:h="16840"/>
          <w:pgMar w:header="0" w:footer="902" w:top="1460" w:bottom="1180" w:left="1240" w:right="1220"/>
        </w:sectPr>
      </w:pPr>
    </w:p>
    <w:p>
      <w:pPr>
        <w:pStyle w:val="BodyText"/>
        <w:rPr>
          <w:sz w:val="20"/>
        </w:rPr>
      </w:pPr>
      <w:r>
        <w:rPr>
          <w:sz w:val="20"/>
        </w:rPr>
        <w:drawing>
          <wp:inline distT="0" distB="0" distL="0" distR="0">
            <wp:extent cx="5395270" cy="7283386"/>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8" cstate="print"/>
                    <a:stretch>
                      <a:fillRect/>
                    </a:stretch>
                  </pic:blipFill>
                  <pic:spPr>
                    <a:xfrm>
                      <a:off x="0" y="0"/>
                      <a:ext cx="5395270" cy="7283386"/>
                    </a:xfrm>
                    <a:prstGeom prst="rect">
                      <a:avLst/>
                    </a:prstGeom>
                  </pic:spPr>
                </pic:pic>
              </a:graphicData>
            </a:graphic>
          </wp:inline>
        </w:drawing>
      </w:r>
      <w:r>
        <w:rPr>
          <w:sz w:val="20"/>
        </w:rPr>
      </w:r>
    </w:p>
    <w:p>
      <w:pPr>
        <w:pStyle w:val="BodyText"/>
        <w:spacing w:before="2"/>
        <w:ind w:left="0"/>
        <w:rPr>
          <w:b/>
          <w:sz w:val="14"/>
        </w:rPr>
      </w:pPr>
    </w:p>
    <w:p>
      <w:pPr>
        <w:spacing w:before="84"/>
        <w:ind w:left="0" w:right="17" w:firstLine="0"/>
        <w:jc w:val="center"/>
        <w:rPr>
          <w:sz w:val="14"/>
        </w:rPr>
      </w:pPr>
      <w:r>
        <w:rPr>
          <w:b/>
          <w:sz w:val="28"/>
        </w:rPr>
        <w:t>图 2 桂林市物流园区分布示意图</w:t>
      </w:r>
      <w:hyperlink w:history="true" w:anchor="_bookmark29">
        <w:r>
          <w:rPr>
            <w:position w:val="14"/>
            <w:sz w:val="14"/>
          </w:rPr>
          <w:t>1</w:t>
        </w:r>
      </w:hyperlink>
    </w:p>
    <w:p>
      <w:pPr>
        <w:pStyle w:val="BodyText"/>
        <w:ind w:left="0"/>
        <w:rPr>
          <w:sz w:val="20"/>
        </w:rPr>
      </w:pPr>
    </w:p>
    <w:p>
      <w:pPr>
        <w:pStyle w:val="BodyText"/>
        <w:spacing w:before="6"/>
        <w:ind w:left="0"/>
        <w:rPr>
          <w:sz w:val="28"/>
        </w:rPr>
      </w:pPr>
      <w:r>
        <w:rPr/>
        <w:pict>
          <v:shape style="position:absolute;margin-left:90pt;margin-top:20.481251pt;width:144pt;height:.1pt;mso-position-horizontal-relative:page;mso-position-vertical-relative:paragraph;z-index:-251658240;mso-wrap-distance-left:0;mso-wrap-distance-right:0" coordorigin="1800,410" coordsize="2880,0" path="m1800,410l4680,410e" filled="false" stroked="true" strokeweight=".40183pt" strokecolor="#000000">
            <v:path arrowok="t"/>
            <v:stroke dashstyle="solid"/>
            <w10:wrap type="topAndBottom"/>
          </v:shape>
        </w:pict>
      </w:r>
    </w:p>
    <w:p>
      <w:pPr>
        <w:spacing w:line="252" w:lineRule="auto" w:before="90"/>
        <w:ind w:left="560" w:right="457" w:firstLine="0"/>
        <w:jc w:val="both"/>
        <w:rPr>
          <w:sz w:val="24"/>
        </w:rPr>
      </w:pPr>
      <w:r>
        <w:rPr>
          <w:position w:val="16"/>
          <w:sz w:val="16"/>
        </w:rPr>
        <w:t>1</w:t>
      </w:r>
      <w:bookmarkStart w:name="_bookmark29" w:id="77"/>
      <w:bookmarkEnd w:id="77"/>
      <w:r>
        <w:rPr>
          <w:spacing w:val="79"/>
          <w:position w:val="16"/>
          <w:sz w:val="16"/>
        </w:rPr>
        <w:t> </w:t>
      </w:r>
      <w:r>
        <w:rPr>
          <w:spacing w:val="-9"/>
          <w:sz w:val="24"/>
        </w:rPr>
        <w:t>上图中，物流园区简称与全名对照关系如下：西物流中心——桂林西铁路物流</w:t>
      </w:r>
      <w:r>
        <w:rPr>
          <w:spacing w:val="-11"/>
          <w:sz w:val="24"/>
        </w:rPr>
        <w:t>中心，东站冷链——桂林东站冷链物流园，储运——广西桂物储运集团桂林有限</w:t>
      </w:r>
      <w:r>
        <w:rPr>
          <w:spacing w:val="-17"/>
          <w:sz w:val="24"/>
        </w:rPr>
        <w:t>公司物流园，小麻雀——桂林小麻雀物流基地，万禾——桂林万禾农产品物流园，</w:t>
      </w:r>
    </w:p>
    <w:p>
      <w:pPr>
        <w:spacing w:after="0" w:line="252" w:lineRule="auto"/>
        <w:jc w:val="both"/>
        <w:rPr>
          <w:sz w:val="24"/>
        </w:rPr>
        <w:sectPr>
          <w:pgSz w:w="11910" w:h="16840"/>
          <w:pgMar w:header="0" w:footer="902" w:top="1460" w:bottom="1180" w:left="1240" w:right="1220"/>
        </w:sectPr>
      </w:pPr>
    </w:p>
    <w:p>
      <w:pPr>
        <w:pStyle w:val="ListParagraph"/>
        <w:numPr>
          <w:ilvl w:val="0"/>
          <w:numId w:val="18"/>
        </w:numPr>
        <w:tabs>
          <w:tab w:pos="2001" w:val="left" w:leader="none"/>
        </w:tabs>
        <w:spacing w:line="364" w:lineRule="auto" w:before="43" w:after="0"/>
        <w:ind w:left="560" w:right="565" w:firstLine="640"/>
        <w:jc w:val="both"/>
        <w:rPr>
          <w:sz w:val="32"/>
        </w:rPr>
      </w:pPr>
      <w:r>
        <w:rPr>
          <w:spacing w:val="6"/>
          <w:sz w:val="32"/>
        </w:rPr>
        <w:t>二期工程：桂林交投物流中心。以桂林市交通投资控股集团有限公司为实施主体，在桂林铁路港周边地区、</w:t>
      </w:r>
      <w:r>
        <w:rPr>
          <w:sz w:val="32"/>
        </w:rPr>
        <w:t>桂林高铁产业园内，新增物流建设用地 3000</w:t>
      </w:r>
      <w:r>
        <w:rPr>
          <w:spacing w:val="-9"/>
          <w:sz w:val="32"/>
        </w:rPr>
        <w:t> 亩，集聚建设</w:t>
      </w:r>
      <w:r>
        <w:rPr>
          <w:spacing w:val="-7"/>
          <w:sz w:val="32"/>
        </w:rPr>
        <w:t>桂林公路港、快递物流园、冷链物流园、保税物流中心和综服务中心，形成桂林国家物流枢纽的基本框架。</w:t>
      </w:r>
    </w:p>
    <w:p>
      <w:pPr>
        <w:pStyle w:val="ListParagraph"/>
        <w:numPr>
          <w:ilvl w:val="0"/>
          <w:numId w:val="18"/>
        </w:numPr>
        <w:tabs>
          <w:tab w:pos="2001" w:val="left" w:leader="none"/>
        </w:tabs>
        <w:spacing w:line="364" w:lineRule="auto" w:before="114" w:after="0"/>
        <w:ind w:left="560" w:right="419" w:firstLine="640"/>
        <w:jc w:val="left"/>
        <w:rPr>
          <w:sz w:val="32"/>
        </w:rPr>
      </w:pPr>
      <w:r>
        <w:rPr>
          <w:spacing w:val="-2"/>
          <w:w w:val="95"/>
          <w:sz w:val="32"/>
        </w:rPr>
        <w:t>三期工程：枢纽经济发展区。在桂林公路港周边、 </w:t>
      </w:r>
      <w:r>
        <w:rPr>
          <w:spacing w:val="-8"/>
          <w:sz w:val="32"/>
        </w:rPr>
        <w:t>桂林高铁产业园内，新增产业建设用地 </w:t>
      </w:r>
      <w:r>
        <w:rPr>
          <w:sz w:val="32"/>
        </w:rPr>
        <w:t>10000</w:t>
      </w:r>
      <w:r>
        <w:rPr>
          <w:spacing w:val="-15"/>
          <w:sz w:val="32"/>
        </w:rPr>
        <w:t> 亩，建设枢纽经济产业园、商贸物流小镇和配套商业等设施。</w:t>
      </w:r>
    </w:p>
    <w:p>
      <w:pPr>
        <w:pStyle w:val="BodyText"/>
        <w:spacing w:line="364" w:lineRule="auto" w:before="120"/>
        <w:ind w:right="580" w:firstLine="640"/>
      </w:pPr>
      <w:r>
        <w:rPr>
          <w:spacing w:val="-5"/>
        </w:rPr>
        <w:t>桂林国家物流枢纽功能布局、选址详见下图 </w:t>
      </w:r>
      <w:r>
        <w:rPr>
          <w:spacing w:val="3"/>
        </w:rPr>
        <w:t>3</w:t>
      </w:r>
      <w:r>
        <w:rPr>
          <w:spacing w:val="-26"/>
        </w:rPr>
        <w:t>、图 </w:t>
      </w:r>
      <w:r>
        <w:rPr/>
        <w:t>4</w:t>
      </w:r>
      <w:r>
        <w:rPr>
          <w:spacing w:val="-40"/>
        </w:rPr>
        <w:t> 和</w:t>
      </w:r>
      <w:r>
        <w:rPr>
          <w:spacing w:val="-54"/>
        </w:rPr>
        <w:t>下表 </w:t>
      </w:r>
      <w:r>
        <w:rPr/>
        <w:t>3。</w: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6"/>
        <w:ind w:left="0"/>
        <w:rPr>
          <w:sz w:val="26"/>
        </w:rPr>
      </w:pPr>
      <w:r>
        <w:rPr/>
        <w:pict>
          <v:shape style="position:absolute;margin-left:90pt;margin-top:18.9375pt;width:144pt;height:.1pt;mso-position-horizontal-relative:page;mso-position-vertical-relative:paragraph;z-index:-251657216;mso-wrap-distance-left:0;mso-wrap-distance-right:0" coordorigin="1800,379" coordsize="2880,0" path="m1800,379l4680,379e" filled="false" stroked="true" strokeweight="0pt" strokecolor="#000000">
            <v:path arrowok="t"/>
            <v:stroke dashstyle="solid"/>
            <w10:wrap type="topAndBottom"/>
          </v:shape>
        </w:pict>
      </w:r>
    </w:p>
    <w:p>
      <w:pPr>
        <w:spacing w:line="242" w:lineRule="auto" w:before="94"/>
        <w:ind w:left="560" w:right="457" w:firstLine="0"/>
        <w:jc w:val="left"/>
        <w:rPr>
          <w:sz w:val="24"/>
        </w:rPr>
      </w:pPr>
      <w:r>
        <w:rPr>
          <w:spacing w:val="-5"/>
          <w:sz w:val="24"/>
        </w:rPr>
        <w:t>海吉星——桂林海吉星农产品物流园，中辰——桂林中辰电商物流交易中心，通</w:t>
      </w:r>
      <w:r>
        <w:rPr>
          <w:spacing w:val="-10"/>
          <w:sz w:val="24"/>
        </w:rPr>
        <w:t>达——桂林通达综合物流园，申通——桂林申通物流园，空港——桂林空港物流产业园，无水港——桂林苏桥无水港物流园，冠豪——灵川冠豪农产品物流园， </w:t>
      </w:r>
      <w:r>
        <w:rPr>
          <w:spacing w:val="-14"/>
          <w:sz w:val="24"/>
        </w:rPr>
        <w:t>聚农——灵川聚农粮油物流中心，城北——桂林城北现代物流配送中心，国投电</w:t>
      </w:r>
      <w:r>
        <w:rPr>
          <w:spacing w:val="-16"/>
          <w:sz w:val="24"/>
        </w:rPr>
        <w:t>商——桂林国投城市电商物流园，桂北粮食——全州桂北粮食仓储物流中心，泽</w:t>
      </w:r>
      <w:r>
        <w:rPr>
          <w:sz w:val="24"/>
        </w:rPr>
        <w:t>源丰——兴安泽源丰冷链物流中心，永福农副产品——桂林永福农副产品物流</w:t>
      </w:r>
      <w:r>
        <w:rPr>
          <w:spacing w:val="-16"/>
          <w:sz w:val="24"/>
        </w:rPr>
        <w:t>园，平乐电商——平乐电商物流总部经济园，珠子洲——平乐县珠子洲物流园区。</w:t>
      </w:r>
    </w:p>
    <w:p>
      <w:pPr>
        <w:spacing w:after="0" w:line="242" w:lineRule="auto"/>
        <w:jc w:val="left"/>
        <w:rPr>
          <w:sz w:val="24"/>
        </w:rPr>
        <w:sectPr>
          <w:pgSz w:w="11910" w:h="16840"/>
          <w:pgMar w:header="0" w:footer="902" w:top="1420" w:bottom="1180" w:left="1240" w:right="1220"/>
        </w:sectPr>
      </w:pPr>
    </w:p>
    <w:p>
      <w:pPr>
        <w:pStyle w:val="BodyText"/>
        <w:rPr>
          <w:sz w:val="20"/>
        </w:rPr>
      </w:pPr>
      <w:r>
        <w:rPr>
          <w:sz w:val="20"/>
        </w:rPr>
        <w:drawing>
          <wp:inline distT="0" distB="0" distL="0" distR="0">
            <wp:extent cx="5385996" cy="4818888"/>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9" cstate="print"/>
                    <a:stretch>
                      <a:fillRect/>
                    </a:stretch>
                  </pic:blipFill>
                  <pic:spPr>
                    <a:xfrm>
                      <a:off x="0" y="0"/>
                      <a:ext cx="5385996" cy="4818888"/>
                    </a:xfrm>
                    <a:prstGeom prst="rect">
                      <a:avLst/>
                    </a:prstGeom>
                  </pic:spPr>
                </pic:pic>
              </a:graphicData>
            </a:graphic>
          </wp:inline>
        </w:drawing>
      </w:r>
      <w:r>
        <w:rPr>
          <w:sz w:val="20"/>
        </w:rPr>
      </w:r>
    </w:p>
    <w:p>
      <w:pPr>
        <w:pStyle w:val="BodyText"/>
        <w:spacing w:before="5"/>
        <w:ind w:left="0"/>
        <w:rPr>
          <w:sz w:val="15"/>
        </w:rPr>
      </w:pPr>
    </w:p>
    <w:p>
      <w:pPr>
        <w:tabs>
          <w:tab w:pos="1314" w:val="left" w:leader="none"/>
        </w:tabs>
        <w:spacing w:before="61"/>
        <w:ind w:left="542" w:right="0" w:firstLine="0"/>
        <w:jc w:val="center"/>
        <w:rPr>
          <w:rFonts w:ascii="宋体" w:eastAsia="宋体" w:hint="eastAsia"/>
          <w:b/>
          <w:sz w:val="28"/>
        </w:rPr>
      </w:pPr>
      <w:r>
        <w:rPr>
          <w:rFonts w:ascii="宋体" w:eastAsia="宋体" w:hint="eastAsia"/>
          <w:b/>
          <w:sz w:val="28"/>
        </w:rPr>
        <w:t>图</w:t>
      </w:r>
      <w:r>
        <w:rPr>
          <w:rFonts w:ascii="宋体" w:eastAsia="宋体" w:hint="eastAsia"/>
          <w:b/>
          <w:spacing w:val="-73"/>
          <w:sz w:val="28"/>
        </w:rPr>
        <w:t> </w:t>
      </w:r>
      <w:r>
        <w:rPr>
          <w:rFonts w:ascii="宋体" w:eastAsia="宋体" w:hint="eastAsia"/>
          <w:b/>
          <w:sz w:val="28"/>
        </w:rPr>
        <w:t>3</w:t>
        <w:tab/>
        <w:t>桂林国家物流枢纽功能布局示意图</w:t>
      </w:r>
    </w:p>
    <w:p>
      <w:pPr>
        <w:spacing w:after="0"/>
        <w:jc w:val="center"/>
        <w:rPr>
          <w:rFonts w:ascii="宋体" w:eastAsia="宋体" w:hint="eastAsia"/>
          <w:sz w:val="28"/>
        </w:rPr>
        <w:sectPr>
          <w:pgSz w:w="11910" w:h="16840"/>
          <w:pgMar w:header="0" w:footer="902" w:top="1460" w:bottom="1180" w:left="1240" w:right="1220"/>
        </w:sectPr>
      </w:pPr>
    </w:p>
    <w:p>
      <w:pPr>
        <w:pStyle w:val="BodyText"/>
        <w:spacing w:before="1"/>
        <w:ind w:left="0"/>
        <w:rPr>
          <w:rFonts w:ascii="宋体"/>
          <w:b/>
          <w:sz w:val="16"/>
        </w:rPr>
      </w:pPr>
    </w:p>
    <w:p>
      <w:pPr>
        <w:pStyle w:val="BodyText"/>
        <w:rPr>
          <w:rFonts w:ascii="宋体"/>
          <w:sz w:val="20"/>
        </w:rPr>
      </w:pPr>
      <w:r>
        <w:rPr>
          <w:rFonts w:ascii="宋体"/>
          <w:sz w:val="20"/>
        </w:rPr>
        <w:drawing>
          <wp:inline distT="0" distB="0" distL="0" distR="0">
            <wp:extent cx="5306878" cy="5554027"/>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10" cstate="print"/>
                    <a:stretch>
                      <a:fillRect/>
                    </a:stretch>
                  </pic:blipFill>
                  <pic:spPr>
                    <a:xfrm>
                      <a:off x="0" y="0"/>
                      <a:ext cx="5306878" cy="5554027"/>
                    </a:xfrm>
                    <a:prstGeom prst="rect">
                      <a:avLst/>
                    </a:prstGeom>
                  </pic:spPr>
                </pic:pic>
              </a:graphicData>
            </a:graphic>
          </wp:inline>
        </w:drawing>
      </w:r>
      <w:r>
        <w:rPr>
          <w:rFonts w:ascii="宋体"/>
          <w:sz w:val="20"/>
        </w:rPr>
      </w:r>
    </w:p>
    <w:p>
      <w:pPr>
        <w:pStyle w:val="BodyText"/>
        <w:ind w:left="0"/>
        <w:rPr>
          <w:rFonts w:ascii="宋体"/>
          <w:b/>
          <w:sz w:val="20"/>
        </w:rPr>
      </w:pPr>
    </w:p>
    <w:p>
      <w:pPr>
        <w:pStyle w:val="BodyText"/>
        <w:ind w:left="0"/>
        <w:rPr>
          <w:rFonts w:ascii="宋体"/>
          <w:b/>
          <w:sz w:val="20"/>
        </w:rPr>
      </w:pPr>
    </w:p>
    <w:p>
      <w:pPr>
        <w:tabs>
          <w:tab w:pos="1312" w:val="left" w:leader="none"/>
        </w:tabs>
        <w:spacing w:before="200"/>
        <w:ind w:left="539" w:right="0" w:firstLine="0"/>
        <w:jc w:val="center"/>
        <w:rPr>
          <w:rFonts w:ascii="宋体" w:eastAsia="宋体" w:hint="eastAsia"/>
          <w:b/>
          <w:sz w:val="28"/>
        </w:rPr>
      </w:pPr>
      <w:r>
        <w:rPr>
          <w:rFonts w:ascii="宋体" w:eastAsia="宋体" w:hint="eastAsia"/>
          <w:b/>
          <w:sz w:val="28"/>
        </w:rPr>
        <w:t>图</w:t>
      </w:r>
      <w:r>
        <w:rPr>
          <w:rFonts w:ascii="宋体" w:eastAsia="宋体" w:hint="eastAsia"/>
          <w:b/>
          <w:spacing w:val="-73"/>
          <w:sz w:val="28"/>
        </w:rPr>
        <w:t> </w:t>
      </w:r>
      <w:r>
        <w:rPr>
          <w:rFonts w:ascii="宋体" w:eastAsia="宋体" w:hint="eastAsia"/>
          <w:b/>
          <w:sz w:val="28"/>
        </w:rPr>
        <w:t>4</w:t>
        <w:tab/>
        <w:t>桂林国家物流枢纽选址方位图</w:t>
      </w:r>
    </w:p>
    <w:p>
      <w:pPr>
        <w:spacing w:after="0"/>
        <w:jc w:val="center"/>
        <w:rPr>
          <w:rFonts w:ascii="宋体" w:eastAsia="宋体" w:hint="eastAsia"/>
          <w:sz w:val="28"/>
        </w:rPr>
        <w:sectPr>
          <w:pgSz w:w="11910" w:h="16840"/>
          <w:pgMar w:header="0" w:footer="902" w:top="1580" w:bottom="1180" w:left="1240" w:right="1220"/>
        </w:sectPr>
      </w:pPr>
    </w:p>
    <w:p>
      <w:pPr>
        <w:spacing w:before="42"/>
        <w:ind w:left="554" w:right="17" w:firstLine="0"/>
        <w:jc w:val="center"/>
        <w:rPr>
          <w:rFonts w:ascii="宋体" w:eastAsia="宋体" w:hint="eastAsia"/>
          <w:b/>
          <w:sz w:val="28"/>
        </w:rPr>
      </w:pPr>
      <w:r>
        <w:rPr>
          <w:rFonts w:ascii="宋体" w:eastAsia="宋体" w:hint="eastAsia"/>
          <w:b/>
          <w:sz w:val="28"/>
        </w:rPr>
        <w:t>表 3 桂林国家物流枢纽功能分区表</w:t>
      </w:r>
    </w:p>
    <w:p>
      <w:pPr>
        <w:pStyle w:val="BodyText"/>
        <w:spacing w:before="3"/>
        <w:ind w:left="0"/>
        <w:rPr>
          <w:rFonts w:ascii="宋体"/>
          <w:b/>
          <w:sz w:val="17"/>
        </w:rPr>
      </w:pPr>
    </w:p>
    <w:tbl>
      <w:tblPr>
        <w:tblW w:w="0" w:type="auto"/>
        <w:jc w:val="left"/>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20"/>
        <w:gridCol w:w="825"/>
        <w:gridCol w:w="5190"/>
        <w:gridCol w:w="1104"/>
      </w:tblGrid>
      <w:tr>
        <w:trPr>
          <w:trHeight w:val="982" w:hRule="atLeast"/>
        </w:trPr>
        <w:tc>
          <w:tcPr>
            <w:tcW w:w="1120" w:type="dxa"/>
          </w:tcPr>
          <w:p>
            <w:pPr>
              <w:pStyle w:val="TableParagraph"/>
              <w:spacing w:line="430" w:lineRule="atLeast"/>
              <w:ind w:left="319" w:right="116" w:hanging="51"/>
              <w:rPr>
                <w:b/>
                <w:sz w:val="24"/>
              </w:rPr>
            </w:pPr>
            <w:r>
              <w:rPr>
                <w:b/>
                <w:sz w:val="24"/>
              </w:rPr>
              <w:t>功能区名称</w:t>
            </w:r>
          </w:p>
        </w:tc>
        <w:tc>
          <w:tcPr>
            <w:tcW w:w="825" w:type="dxa"/>
          </w:tcPr>
          <w:p>
            <w:pPr>
              <w:pStyle w:val="TableParagraph"/>
              <w:spacing w:line="430" w:lineRule="atLeast"/>
              <w:ind w:left="171" w:right="161"/>
              <w:rPr>
                <w:b/>
                <w:sz w:val="24"/>
              </w:rPr>
            </w:pPr>
            <w:r>
              <w:rPr>
                <w:b/>
                <w:sz w:val="24"/>
              </w:rPr>
              <w:t>用地面积</w:t>
            </w:r>
          </w:p>
        </w:tc>
        <w:tc>
          <w:tcPr>
            <w:tcW w:w="5190" w:type="dxa"/>
          </w:tcPr>
          <w:p>
            <w:pPr>
              <w:pStyle w:val="TableParagraph"/>
              <w:spacing w:line="430" w:lineRule="atLeast"/>
              <w:ind w:left="2354" w:right="2343"/>
              <w:jc w:val="center"/>
              <w:rPr>
                <w:b/>
                <w:sz w:val="24"/>
              </w:rPr>
            </w:pPr>
            <w:r>
              <w:rPr>
                <w:b/>
                <w:sz w:val="24"/>
              </w:rPr>
              <w:t>功能定位</w:t>
            </w:r>
          </w:p>
        </w:tc>
        <w:tc>
          <w:tcPr>
            <w:tcW w:w="1104" w:type="dxa"/>
          </w:tcPr>
          <w:p>
            <w:pPr>
              <w:pStyle w:val="TableParagraph"/>
              <w:spacing w:line="430" w:lineRule="atLeast"/>
              <w:ind w:left="310" w:right="301"/>
              <w:rPr>
                <w:b/>
                <w:sz w:val="24"/>
              </w:rPr>
            </w:pPr>
            <w:r>
              <w:rPr>
                <w:b/>
                <w:sz w:val="24"/>
              </w:rPr>
              <w:t>建设期限</w:t>
            </w:r>
          </w:p>
        </w:tc>
      </w:tr>
      <w:tr>
        <w:trPr>
          <w:trHeight w:val="5495" w:hRule="atLeast"/>
        </w:trPr>
        <w:tc>
          <w:tcPr>
            <w:tcW w:w="1120" w:type="dxa"/>
          </w:tcPr>
          <w:p>
            <w:pPr>
              <w:pStyle w:val="TableParagraph"/>
              <w:rPr>
                <w:rFonts w:ascii="宋体"/>
                <w:b/>
                <w:sz w:val="24"/>
              </w:rPr>
            </w:pPr>
          </w:p>
          <w:p>
            <w:pPr>
              <w:pStyle w:val="TableParagraph"/>
              <w:rPr>
                <w:rFonts w:ascii="宋体"/>
                <w:b/>
                <w:sz w:val="24"/>
              </w:rPr>
            </w:pPr>
          </w:p>
          <w:p>
            <w:pPr>
              <w:pStyle w:val="TableParagraph"/>
              <w:rPr>
                <w:rFonts w:ascii="宋体"/>
                <w:b/>
                <w:sz w:val="24"/>
              </w:rPr>
            </w:pPr>
          </w:p>
          <w:p>
            <w:pPr>
              <w:pStyle w:val="TableParagraph"/>
              <w:rPr>
                <w:rFonts w:ascii="宋体"/>
                <w:b/>
                <w:sz w:val="24"/>
              </w:rPr>
            </w:pPr>
          </w:p>
          <w:p>
            <w:pPr>
              <w:pStyle w:val="TableParagraph"/>
              <w:rPr>
                <w:rFonts w:ascii="宋体"/>
                <w:b/>
                <w:sz w:val="24"/>
              </w:rPr>
            </w:pPr>
          </w:p>
          <w:p>
            <w:pPr>
              <w:pStyle w:val="TableParagraph"/>
              <w:rPr>
                <w:rFonts w:ascii="宋体"/>
                <w:b/>
                <w:sz w:val="24"/>
              </w:rPr>
            </w:pPr>
          </w:p>
          <w:p>
            <w:pPr>
              <w:pStyle w:val="TableParagraph"/>
              <w:spacing w:before="12"/>
              <w:rPr>
                <w:rFonts w:ascii="宋体"/>
                <w:b/>
                <w:sz w:val="33"/>
              </w:rPr>
            </w:pPr>
          </w:p>
          <w:p>
            <w:pPr>
              <w:pStyle w:val="TableParagraph"/>
              <w:spacing w:line="362" w:lineRule="auto"/>
              <w:ind w:left="108" w:right="28"/>
              <w:rPr>
                <w:sz w:val="24"/>
              </w:rPr>
            </w:pPr>
            <w:r>
              <w:rPr>
                <w:sz w:val="24"/>
              </w:rPr>
              <w:t>桂 林 铁路港</w:t>
            </w:r>
          </w:p>
        </w:tc>
        <w:tc>
          <w:tcPr>
            <w:tcW w:w="825" w:type="dxa"/>
          </w:tcPr>
          <w:p>
            <w:pPr>
              <w:pStyle w:val="TableParagraph"/>
              <w:rPr>
                <w:rFonts w:ascii="宋体"/>
                <w:b/>
                <w:sz w:val="24"/>
              </w:rPr>
            </w:pPr>
          </w:p>
          <w:p>
            <w:pPr>
              <w:pStyle w:val="TableParagraph"/>
              <w:rPr>
                <w:rFonts w:ascii="宋体"/>
                <w:b/>
                <w:sz w:val="24"/>
              </w:rPr>
            </w:pPr>
          </w:p>
          <w:p>
            <w:pPr>
              <w:pStyle w:val="TableParagraph"/>
              <w:rPr>
                <w:rFonts w:ascii="宋体"/>
                <w:b/>
                <w:sz w:val="24"/>
              </w:rPr>
            </w:pPr>
          </w:p>
          <w:p>
            <w:pPr>
              <w:pStyle w:val="TableParagraph"/>
              <w:rPr>
                <w:rFonts w:ascii="宋体"/>
                <w:b/>
                <w:sz w:val="24"/>
              </w:rPr>
            </w:pPr>
          </w:p>
          <w:p>
            <w:pPr>
              <w:pStyle w:val="TableParagraph"/>
              <w:rPr>
                <w:rFonts w:ascii="宋体"/>
                <w:b/>
                <w:sz w:val="24"/>
              </w:rPr>
            </w:pPr>
          </w:p>
          <w:p>
            <w:pPr>
              <w:pStyle w:val="TableParagraph"/>
              <w:rPr>
                <w:rFonts w:ascii="宋体"/>
                <w:b/>
                <w:sz w:val="24"/>
              </w:rPr>
            </w:pPr>
          </w:p>
          <w:p>
            <w:pPr>
              <w:pStyle w:val="TableParagraph"/>
              <w:spacing w:before="12"/>
              <w:rPr>
                <w:rFonts w:ascii="宋体"/>
                <w:b/>
                <w:sz w:val="33"/>
              </w:rPr>
            </w:pPr>
          </w:p>
          <w:p>
            <w:pPr>
              <w:pStyle w:val="TableParagraph"/>
              <w:ind w:left="107"/>
              <w:rPr>
                <w:sz w:val="24"/>
              </w:rPr>
            </w:pPr>
            <w:r>
              <w:rPr>
                <w:sz w:val="24"/>
              </w:rPr>
              <w:t>2000</w:t>
            </w:r>
          </w:p>
          <w:p>
            <w:pPr>
              <w:pStyle w:val="TableParagraph"/>
              <w:spacing w:before="159"/>
              <w:ind w:left="107"/>
              <w:rPr>
                <w:sz w:val="24"/>
              </w:rPr>
            </w:pPr>
            <w:r>
              <w:rPr>
                <w:sz w:val="24"/>
              </w:rPr>
              <w:t>亩</w:t>
            </w:r>
          </w:p>
        </w:tc>
        <w:tc>
          <w:tcPr>
            <w:tcW w:w="5190" w:type="dxa"/>
          </w:tcPr>
          <w:p>
            <w:pPr>
              <w:pStyle w:val="TableParagraph"/>
              <w:numPr>
                <w:ilvl w:val="0"/>
                <w:numId w:val="19"/>
              </w:numPr>
              <w:tabs>
                <w:tab w:pos="709" w:val="left" w:leader="none"/>
              </w:tabs>
              <w:spacing w:line="362" w:lineRule="auto" w:before="120" w:after="0"/>
              <w:ind w:left="107" w:right="95" w:firstLine="0"/>
              <w:jc w:val="both"/>
              <w:rPr>
                <w:sz w:val="24"/>
              </w:rPr>
            </w:pPr>
            <w:r>
              <w:rPr>
                <w:sz w:val="24"/>
              </w:rPr>
              <w:t>铁路桂林西货运站。设计年到发能力约为300</w:t>
            </w:r>
            <w:r>
              <w:rPr>
                <w:spacing w:val="-8"/>
                <w:sz w:val="24"/>
              </w:rPr>
              <w:t> 万吨，设置大宗商品、汽车、</w:t>
            </w:r>
            <w:hyperlink r:id="rId11">
              <w:r>
                <w:rPr>
                  <w:sz w:val="24"/>
                </w:rPr>
                <w:t>集装箱</w:t>
              </w:r>
            </w:hyperlink>
            <w:r>
              <w:rPr>
                <w:spacing w:val="-6"/>
                <w:sz w:val="24"/>
              </w:rPr>
              <w:t>、长大</w:t>
            </w:r>
          </w:p>
          <w:p>
            <w:pPr>
              <w:pStyle w:val="TableParagraph"/>
              <w:spacing w:before="5"/>
              <w:ind w:left="107"/>
              <w:jc w:val="both"/>
              <w:rPr>
                <w:sz w:val="24"/>
              </w:rPr>
            </w:pPr>
            <w:r>
              <w:rPr>
                <w:spacing w:val="-1"/>
                <w:sz w:val="24"/>
              </w:rPr>
              <w:t>笨重、成件快运等物流功能区，仓储面积 </w:t>
            </w:r>
            <w:r>
              <w:rPr>
                <w:sz w:val="24"/>
              </w:rPr>
              <w:t>2.96</w:t>
            </w:r>
          </w:p>
          <w:p>
            <w:pPr>
              <w:pStyle w:val="TableParagraph"/>
              <w:spacing w:before="161"/>
              <w:ind w:left="107"/>
              <w:jc w:val="both"/>
              <w:rPr>
                <w:sz w:val="24"/>
              </w:rPr>
            </w:pPr>
            <w:r>
              <w:rPr>
                <w:spacing w:val="-11"/>
                <w:sz w:val="24"/>
              </w:rPr>
              <w:t>万平方米，露天堆场总面积 </w:t>
            </w:r>
            <w:r>
              <w:rPr>
                <w:sz w:val="24"/>
              </w:rPr>
              <w:t>8.5</w:t>
            </w:r>
            <w:r>
              <w:rPr>
                <w:spacing w:val="-13"/>
                <w:sz w:val="24"/>
              </w:rPr>
              <w:t> 万平方米，铁路</w:t>
            </w:r>
          </w:p>
          <w:p>
            <w:pPr>
              <w:pStyle w:val="TableParagraph"/>
              <w:spacing w:line="364" w:lineRule="auto" w:before="158"/>
              <w:ind w:left="107" w:right="30"/>
              <w:jc w:val="both"/>
              <w:rPr>
                <w:sz w:val="24"/>
              </w:rPr>
            </w:pPr>
            <w:r>
              <w:rPr>
                <w:sz w:val="24"/>
              </w:rPr>
              <w:t>货物线股道总有效长度 3437 米，配置龙门吊 2 台。货源范围涵盖桂林市区、经开区、灵川县、永福县、龙胜县、</w:t>
            </w:r>
            <w:hyperlink r:id="rId12">
              <w:r>
                <w:rPr>
                  <w:sz w:val="24"/>
                </w:rPr>
                <w:t>资源县</w:t>
              </w:r>
            </w:hyperlink>
            <w:r>
              <w:rPr>
                <w:sz w:val="24"/>
              </w:rPr>
              <w:t>、</w:t>
            </w:r>
            <w:hyperlink r:id="rId13">
              <w:r>
                <w:rPr>
                  <w:sz w:val="24"/>
                </w:rPr>
                <w:t>灌阳县</w:t>
              </w:r>
            </w:hyperlink>
            <w:r>
              <w:rPr>
                <w:sz w:val="24"/>
              </w:rPr>
              <w:t>、阳朔县、平乐县、恭城县、荔浦县等区域。</w:t>
            </w:r>
          </w:p>
          <w:p>
            <w:pPr>
              <w:pStyle w:val="TableParagraph"/>
              <w:numPr>
                <w:ilvl w:val="0"/>
                <w:numId w:val="19"/>
              </w:numPr>
              <w:tabs>
                <w:tab w:pos="709" w:val="left" w:leader="none"/>
              </w:tabs>
              <w:spacing w:line="364" w:lineRule="auto" w:before="117" w:after="0"/>
              <w:ind w:left="107" w:right="-29" w:firstLine="0"/>
              <w:jc w:val="left"/>
              <w:rPr>
                <w:sz w:val="24"/>
              </w:rPr>
            </w:pPr>
            <w:r>
              <w:rPr>
                <w:spacing w:val="-4"/>
                <w:sz w:val="24"/>
              </w:rPr>
              <w:t>铁路桂林西物流中心。以铁路干线为依托</w:t>
            </w:r>
            <w:r>
              <w:rPr>
                <w:spacing w:val="-8"/>
                <w:sz w:val="24"/>
              </w:rPr>
              <w:t>，重点发展农资、钢材、粮油、饲料、汽车等大宗物资集散和铁路集装箱货运、驮背运输等功能。</w:t>
            </w:r>
          </w:p>
        </w:tc>
        <w:tc>
          <w:tcPr>
            <w:tcW w:w="1104" w:type="dxa"/>
          </w:tcPr>
          <w:p>
            <w:pPr>
              <w:pStyle w:val="TableParagraph"/>
              <w:rPr>
                <w:rFonts w:ascii="宋体"/>
                <w:b/>
                <w:sz w:val="24"/>
              </w:rPr>
            </w:pPr>
          </w:p>
          <w:p>
            <w:pPr>
              <w:pStyle w:val="TableParagraph"/>
              <w:rPr>
                <w:rFonts w:ascii="宋体"/>
                <w:b/>
                <w:sz w:val="24"/>
              </w:rPr>
            </w:pPr>
          </w:p>
          <w:p>
            <w:pPr>
              <w:pStyle w:val="TableParagraph"/>
              <w:rPr>
                <w:rFonts w:ascii="宋体"/>
                <w:b/>
                <w:sz w:val="24"/>
              </w:rPr>
            </w:pPr>
          </w:p>
          <w:p>
            <w:pPr>
              <w:pStyle w:val="TableParagraph"/>
              <w:spacing w:before="191"/>
              <w:ind w:left="106"/>
              <w:rPr>
                <w:sz w:val="24"/>
              </w:rPr>
            </w:pPr>
            <w:r>
              <w:rPr>
                <w:sz w:val="24"/>
              </w:rPr>
              <w:t>2017-20</w:t>
            </w:r>
          </w:p>
          <w:p>
            <w:pPr>
              <w:pStyle w:val="TableParagraph"/>
              <w:spacing w:line="364" w:lineRule="auto" w:before="158"/>
              <w:ind w:left="106" w:right="97"/>
              <w:jc w:val="both"/>
              <w:rPr>
                <w:sz w:val="24"/>
              </w:rPr>
            </w:pPr>
            <w:r>
              <w:rPr>
                <w:sz w:val="24"/>
              </w:rPr>
              <w:t>23</w:t>
            </w:r>
            <w:r>
              <w:rPr>
                <w:spacing w:val="10"/>
                <w:sz w:val="24"/>
              </w:rPr>
              <w:t> 年， </w:t>
            </w:r>
            <w:r>
              <w:rPr>
                <w:spacing w:val="-18"/>
                <w:sz w:val="24"/>
              </w:rPr>
              <w:t>其 中 西货 运 站</w:t>
            </w:r>
            <w:r>
              <w:rPr>
                <w:sz w:val="24"/>
              </w:rPr>
              <w:t>2017</w:t>
            </w:r>
            <w:r>
              <w:rPr>
                <w:spacing w:val="15"/>
                <w:sz w:val="24"/>
              </w:rPr>
              <w:t> 年</w:t>
            </w:r>
          </w:p>
          <w:p>
            <w:pPr>
              <w:pStyle w:val="TableParagraph"/>
              <w:spacing w:line="364" w:lineRule="auto"/>
              <w:ind w:left="106" w:right="97"/>
              <w:jc w:val="both"/>
              <w:rPr>
                <w:sz w:val="24"/>
              </w:rPr>
            </w:pPr>
            <w:r>
              <w:rPr>
                <w:spacing w:val="-18"/>
                <w:sz w:val="24"/>
              </w:rPr>
              <w:t>已 投 入</w:t>
            </w:r>
            <w:r>
              <w:rPr>
                <w:sz w:val="24"/>
              </w:rPr>
              <w:t>运营。</w:t>
            </w:r>
          </w:p>
        </w:tc>
      </w:tr>
      <w:tr>
        <w:trPr>
          <w:trHeight w:val="3507" w:hRule="atLeast"/>
        </w:trPr>
        <w:tc>
          <w:tcPr>
            <w:tcW w:w="1120" w:type="dxa"/>
          </w:tcPr>
          <w:p>
            <w:pPr>
              <w:pStyle w:val="TableParagraph"/>
              <w:rPr>
                <w:rFonts w:ascii="宋体"/>
                <w:b/>
                <w:sz w:val="24"/>
              </w:rPr>
            </w:pPr>
          </w:p>
          <w:p>
            <w:pPr>
              <w:pStyle w:val="TableParagraph"/>
              <w:rPr>
                <w:rFonts w:ascii="宋体"/>
                <w:b/>
                <w:sz w:val="24"/>
              </w:rPr>
            </w:pPr>
          </w:p>
          <w:p>
            <w:pPr>
              <w:pStyle w:val="TableParagraph"/>
              <w:rPr>
                <w:rFonts w:ascii="宋体"/>
                <w:b/>
                <w:sz w:val="24"/>
              </w:rPr>
            </w:pPr>
          </w:p>
          <w:p>
            <w:pPr>
              <w:pStyle w:val="TableParagraph"/>
              <w:spacing w:before="8"/>
              <w:rPr>
                <w:rFonts w:ascii="宋体"/>
                <w:b/>
                <w:sz w:val="28"/>
              </w:rPr>
            </w:pPr>
          </w:p>
          <w:p>
            <w:pPr>
              <w:pStyle w:val="TableParagraph"/>
              <w:spacing w:line="362" w:lineRule="auto"/>
              <w:ind w:left="108" w:right="28"/>
              <w:rPr>
                <w:sz w:val="24"/>
              </w:rPr>
            </w:pPr>
            <w:r>
              <w:rPr>
                <w:sz w:val="24"/>
              </w:rPr>
              <w:t>桂 林 公路港</w:t>
            </w:r>
          </w:p>
        </w:tc>
        <w:tc>
          <w:tcPr>
            <w:tcW w:w="825" w:type="dxa"/>
          </w:tcPr>
          <w:p>
            <w:pPr>
              <w:pStyle w:val="TableParagraph"/>
              <w:rPr>
                <w:rFonts w:ascii="宋体"/>
                <w:b/>
                <w:sz w:val="24"/>
              </w:rPr>
            </w:pPr>
          </w:p>
          <w:p>
            <w:pPr>
              <w:pStyle w:val="TableParagraph"/>
              <w:rPr>
                <w:rFonts w:ascii="宋体"/>
                <w:b/>
                <w:sz w:val="24"/>
              </w:rPr>
            </w:pPr>
          </w:p>
          <w:p>
            <w:pPr>
              <w:pStyle w:val="TableParagraph"/>
              <w:rPr>
                <w:rFonts w:ascii="宋体"/>
                <w:b/>
                <w:sz w:val="24"/>
              </w:rPr>
            </w:pPr>
          </w:p>
          <w:p>
            <w:pPr>
              <w:pStyle w:val="TableParagraph"/>
              <w:spacing w:before="8"/>
              <w:rPr>
                <w:rFonts w:ascii="宋体"/>
                <w:b/>
                <w:sz w:val="28"/>
              </w:rPr>
            </w:pPr>
          </w:p>
          <w:p>
            <w:pPr>
              <w:pStyle w:val="TableParagraph"/>
              <w:ind w:left="107"/>
              <w:rPr>
                <w:sz w:val="24"/>
              </w:rPr>
            </w:pPr>
            <w:r>
              <w:rPr>
                <w:sz w:val="24"/>
              </w:rPr>
              <w:t>1000</w:t>
            </w:r>
          </w:p>
          <w:p>
            <w:pPr>
              <w:pStyle w:val="TableParagraph"/>
              <w:spacing w:before="159"/>
              <w:ind w:left="107"/>
              <w:rPr>
                <w:sz w:val="24"/>
              </w:rPr>
            </w:pPr>
            <w:r>
              <w:rPr>
                <w:sz w:val="24"/>
              </w:rPr>
              <w:t>亩</w:t>
            </w:r>
          </w:p>
        </w:tc>
        <w:tc>
          <w:tcPr>
            <w:tcW w:w="5190" w:type="dxa"/>
          </w:tcPr>
          <w:p>
            <w:pPr>
              <w:pStyle w:val="TableParagraph"/>
              <w:spacing w:line="364" w:lineRule="auto" w:before="121"/>
              <w:ind w:left="107" w:right="30"/>
              <w:jc w:val="both"/>
              <w:rPr>
                <w:sz w:val="24"/>
              </w:rPr>
            </w:pPr>
            <w:r>
              <w:rPr>
                <w:sz w:val="24"/>
              </w:rPr>
              <w:t>重点开展农产品、大宗商品、快销商品等的公路配载、公铁联运、专线物流、货物中转、仓储加工、城市配送等业务，主要建设管理服务中心、金融保理服务、卡车商贸服务、信息交易中心、车源中心、零担快运中心、区域性分拨中心、仓储中心、 配送中心、司机旅馆和汽修汽配等物流配套服务中心。</w:t>
            </w:r>
          </w:p>
        </w:tc>
        <w:tc>
          <w:tcPr>
            <w:tcW w:w="1104" w:type="dxa"/>
          </w:tcPr>
          <w:p>
            <w:pPr>
              <w:pStyle w:val="TableParagraph"/>
              <w:rPr>
                <w:rFonts w:ascii="宋体"/>
                <w:b/>
                <w:sz w:val="24"/>
              </w:rPr>
            </w:pPr>
          </w:p>
          <w:p>
            <w:pPr>
              <w:pStyle w:val="TableParagraph"/>
              <w:rPr>
                <w:rFonts w:ascii="宋体"/>
                <w:b/>
                <w:sz w:val="24"/>
              </w:rPr>
            </w:pPr>
          </w:p>
          <w:p>
            <w:pPr>
              <w:pStyle w:val="TableParagraph"/>
              <w:rPr>
                <w:rFonts w:ascii="宋体"/>
                <w:b/>
                <w:sz w:val="24"/>
              </w:rPr>
            </w:pPr>
          </w:p>
          <w:p>
            <w:pPr>
              <w:pStyle w:val="TableParagraph"/>
              <w:spacing w:before="12"/>
              <w:rPr>
                <w:rFonts w:ascii="宋体"/>
                <w:b/>
                <w:sz w:val="23"/>
              </w:rPr>
            </w:pPr>
          </w:p>
          <w:p>
            <w:pPr>
              <w:pStyle w:val="TableParagraph"/>
              <w:spacing w:before="1"/>
              <w:ind w:left="106"/>
              <w:rPr>
                <w:sz w:val="24"/>
              </w:rPr>
            </w:pPr>
            <w:r>
              <w:rPr>
                <w:sz w:val="24"/>
              </w:rPr>
              <w:t>2021-</w:t>
            </w:r>
          </w:p>
          <w:p>
            <w:pPr>
              <w:pStyle w:val="TableParagraph"/>
              <w:spacing w:before="8"/>
              <w:rPr>
                <w:rFonts w:ascii="宋体"/>
                <w:b/>
                <w:sz w:val="21"/>
              </w:rPr>
            </w:pPr>
          </w:p>
          <w:p>
            <w:pPr>
              <w:pStyle w:val="TableParagraph"/>
              <w:spacing w:before="1"/>
              <w:ind w:left="106"/>
              <w:rPr>
                <w:sz w:val="24"/>
              </w:rPr>
            </w:pPr>
            <w:r>
              <w:rPr>
                <w:sz w:val="24"/>
              </w:rPr>
              <w:t>2025 年</w:t>
            </w:r>
          </w:p>
        </w:tc>
      </w:tr>
      <w:tr>
        <w:trPr>
          <w:trHeight w:val="1641" w:hRule="atLeast"/>
        </w:trPr>
        <w:tc>
          <w:tcPr>
            <w:tcW w:w="1120" w:type="dxa"/>
          </w:tcPr>
          <w:p>
            <w:pPr>
              <w:pStyle w:val="TableParagraph"/>
              <w:spacing w:before="8"/>
              <w:rPr>
                <w:rFonts w:ascii="宋体"/>
                <w:b/>
                <w:sz w:val="27"/>
              </w:rPr>
            </w:pPr>
          </w:p>
          <w:p>
            <w:pPr>
              <w:pStyle w:val="TableParagraph"/>
              <w:spacing w:line="362" w:lineRule="auto"/>
              <w:ind w:left="108" w:right="28"/>
              <w:rPr>
                <w:sz w:val="24"/>
              </w:rPr>
            </w:pPr>
            <w:r>
              <w:rPr>
                <w:sz w:val="24"/>
              </w:rPr>
              <w:t>冷 链 物流园</w:t>
            </w:r>
          </w:p>
        </w:tc>
        <w:tc>
          <w:tcPr>
            <w:tcW w:w="825" w:type="dxa"/>
          </w:tcPr>
          <w:p>
            <w:pPr>
              <w:pStyle w:val="TableParagraph"/>
              <w:spacing w:before="8"/>
              <w:rPr>
                <w:rFonts w:ascii="宋体"/>
                <w:b/>
                <w:sz w:val="27"/>
              </w:rPr>
            </w:pPr>
          </w:p>
          <w:p>
            <w:pPr>
              <w:pStyle w:val="TableParagraph"/>
              <w:ind w:left="107"/>
              <w:rPr>
                <w:sz w:val="24"/>
              </w:rPr>
            </w:pPr>
            <w:r>
              <w:rPr>
                <w:sz w:val="24"/>
              </w:rPr>
              <w:t>600</w:t>
            </w:r>
          </w:p>
          <w:p>
            <w:pPr>
              <w:pStyle w:val="TableParagraph"/>
              <w:spacing w:before="158"/>
              <w:ind w:left="107"/>
              <w:rPr>
                <w:sz w:val="24"/>
              </w:rPr>
            </w:pPr>
            <w:r>
              <w:rPr>
                <w:sz w:val="24"/>
              </w:rPr>
              <w:t>亩</w:t>
            </w:r>
          </w:p>
        </w:tc>
        <w:tc>
          <w:tcPr>
            <w:tcW w:w="5190" w:type="dxa"/>
          </w:tcPr>
          <w:p>
            <w:pPr>
              <w:pStyle w:val="TableParagraph"/>
              <w:spacing w:line="364" w:lineRule="auto" w:before="121"/>
              <w:ind w:left="107" w:right="97"/>
              <w:jc w:val="both"/>
              <w:rPr>
                <w:sz w:val="24"/>
              </w:rPr>
            </w:pPr>
            <w:r>
              <w:rPr>
                <w:spacing w:val="-6"/>
                <w:sz w:val="24"/>
              </w:rPr>
              <w:t>依托桂林丰富的特色农副产品资源，主要建设服</w:t>
            </w:r>
            <w:r>
              <w:rPr>
                <w:spacing w:val="-9"/>
                <w:sz w:val="24"/>
              </w:rPr>
              <w:t>务生鲜农产品、海产品、水产品、肉产品的冷链</w:t>
            </w:r>
            <w:r>
              <w:rPr>
                <w:sz w:val="24"/>
              </w:rPr>
              <w:t>物流设施。</w:t>
            </w:r>
          </w:p>
        </w:tc>
        <w:tc>
          <w:tcPr>
            <w:tcW w:w="1104" w:type="dxa"/>
          </w:tcPr>
          <w:p>
            <w:pPr>
              <w:pStyle w:val="TableParagraph"/>
              <w:spacing w:before="12"/>
              <w:rPr>
                <w:rFonts w:ascii="宋体"/>
                <w:b/>
                <w:sz w:val="22"/>
              </w:rPr>
            </w:pPr>
          </w:p>
          <w:p>
            <w:pPr>
              <w:pStyle w:val="TableParagraph"/>
              <w:ind w:left="106"/>
              <w:rPr>
                <w:sz w:val="24"/>
              </w:rPr>
            </w:pPr>
            <w:r>
              <w:rPr>
                <w:sz w:val="24"/>
              </w:rPr>
              <w:t>2021-</w:t>
            </w:r>
          </w:p>
          <w:p>
            <w:pPr>
              <w:pStyle w:val="TableParagraph"/>
              <w:spacing w:before="9"/>
              <w:rPr>
                <w:rFonts w:ascii="宋体"/>
                <w:b/>
                <w:sz w:val="21"/>
              </w:rPr>
            </w:pPr>
          </w:p>
          <w:p>
            <w:pPr>
              <w:pStyle w:val="TableParagraph"/>
              <w:ind w:left="106"/>
              <w:rPr>
                <w:sz w:val="24"/>
              </w:rPr>
            </w:pPr>
            <w:r>
              <w:rPr>
                <w:sz w:val="24"/>
              </w:rPr>
              <w:t>2025 年</w:t>
            </w:r>
          </w:p>
        </w:tc>
      </w:tr>
      <w:tr>
        <w:trPr>
          <w:trHeight w:val="1292" w:hRule="atLeast"/>
        </w:trPr>
        <w:tc>
          <w:tcPr>
            <w:tcW w:w="1120" w:type="dxa"/>
          </w:tcPr>
          <w:p>
            <w:pPr>
              <w:pStyle w:val="TableParagraph"/>
              <w:spacing w:line="362" w:lineRule="auto" w:before="179"/>
              <w:ind w:left="108" w:right="28"/>
              <w:rPr>
                <w:sz w:val="24"/>
              </w:rPr>
            </w:pPr>
            <w:r>
              <w:rPr>
                <w:sz w:val="24"/>
              </w:rPr>
              <w:t>快 递 物流园</w:t>
            </w:r>
          </w:p>
        </w:tc>
        <w:tc>
          <w:tcPr>
            <w:tcW w:w="825" w:type="dxa"/>
          </w:tcPr>
          <w:p>
            <w:pPr>
              <w:pStyle w:val="TableParagraph"/>
              <w:spacing w:before="179"/>
              <w:ind w:left="107"/>
              <w:rPr>
                <w:sz w:val="24"/>
              </w:rPr>
            </w:pPr>
            <w:r>
              <w:rPr>
                <w:sz w:val="24"/>
              </w:rPr>
              <w:t>600</w:t>
            </w:r>
          </w:p>
          <w:p>
            <w:pPr>
              <w:pStyle w:val="TableParagraph"/>
              <w:spacing w:before="158"/>
              <w:ind w:left="107"/>
              <w:rPr>
                <w:sz w:val="24"/>
              </w:rPr>
            </w:pPr>
            <w:r>
              <w:rPr>
                <w:sz w:val="24"/>
              </w:rPr>
              <w:t>亩</w:t>
            </w:r>
          </w:p>
        </w:tc>
        <w:tc>
          <w:tcPr>
            <w:tcW w:w="5190" w:type="dxa"/>
          </w:tcPr>
          <w:p>
            <w:pPr>
              <w:pStyle w:val="TableParagraph"/>
              <w:spacing w:line="362" w:lineRule="auto" w:before="179"/>
              <w:ind w:left="107" w:right="-29"/>
              <w:rPr>
                <w:sz w:val="24"/>
              </w:rPr>
            </w:pPr>
            <w:r>
              <w:rPr>
                <w:spacing w:val="-7"/>
                <w:sz w:val="24"/>
              </w:rPr>
              <w:t>依托桂林铁路、公路和民航等立体交通优势，建</w:t>
            </w:r>
            <w:r>
              <w:rPr>
                <w:spacing w:val="-17"/>
                <w:sz w:val="24"/>
              </w:rPr>
              <w:t>设区域性的快递仓储中心、分拨中心、配送中心。</w:t>
            </w:r>
          </w:p>
        </w:tc>
        <w:tc>
          <w:tcPr>
            <w:tcW w:w="1104" w:type="dxa"/>
          </w:tcPr>
          <w:p>
            <w:pPr>
              <w:pStyle w:val="TableParagraph"/>
              <w:spacing w:before="121"/>
              <w:ind w:left="106"/>
              <w:rPr>
                <w:sz w:val="24"/>
              </w:rPr>
            </w:pPr>
            <w:r>
              <w:rPr>
                <w:sz w:val="24"/>
              </w:rPr>
              <w:t>2021-</w:t>
            </w:r>
          </w:p>
          <w:p>
            <w:pPr>
              <w:pStyle w:val="TableParagraph"/>
              <w:spacing w:before="9"/>
              <w:rPr>
                <w:rFonts w:ascii="宋体"/>
                <w:b/>
                <w:sz w:val="21"/>
              </w:rPr>
            </w:pPr>
          </w:p>
          <w:p>
            <w:pPr>
              <w:pStyle w:val="TableParagraph"/>
              <w:spacing w:before="1"/>
              <w:ind w:left="106"/>
              <w:rPr>
                <w:sz w:val="24"/>
              </w:rPr>
            </w:pPr>
            <w:r>
              <w:rPr>
                <w:sz w:val="24"/>
              </w:rPr>
              <w:t>2025 年</w:t>
            </w:r>
          </w:p>
        </w:tc>
      </w:tr>
    </w:tbl>
    <w:p>
      <w:pPr>
        <w:spacing w:after="0"/>
        <w:rPr>
          <w:sz w:val="24"/>
        </w:rPr>
        <w:sectPr>
          <w:pgSz w:w="11910" w:h="16840"/>
          <w:pgMar w:header="0" w:footer="902" w:top="1420" w:bottom="1180" w:left="1240" w:right="1220"/>
        </w:sectPr>
      </w:pPr>
    </w:p>
    <w:tbl>
      <w:tblPr>
        <w:tblW w:w="0" w:type="auto"/>
        <w:jc w:val="left"/>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20"/>
        <w:gridCol w:w="825"/>
        <w:gridCol w:w="5190"/>
        <w:gridCol w:w="1104"/>
      </w:tblGrid>
      <w:tr>
        <w:trPr>
          <w:trHeight w:val="3975" w:hRule="atLeast"/>
        </w:trPr>
        <w:tc>
          <w:tcPr>
            <w:tcW w:w="1120" w:type="dxa"/>
          </w:tcPr>
          <w:p>
            <w:pPr>
              <w:pStyle w:val="TableParagraph"/>
              <w:rPr>
                <w:rFonts w:ascii="宋体"/>
                <w:b/>
                <w:sz w:val="24"/>
              </w:rPr>
            </w:pPr>
          </w:p>
          <w:p>
            <w:pPr>
              <w:pStyle w:val="TableParagraph"/>
              <w:rPr>
                <w:rFonts w:ascii="宋体"/>
                <w:b/>
                <w:sz w:val="24"/>
              </w:rPr>
            </w:pPr>
          </w:p>
          <w:p>
            <w:pPr>
              <w:pStyle w:val="TableParagraph"/>
              <w:rPr>
                <w:rFonts w:ascii="宋体"/>
                <w:b/>
                <w:sz w:val="24"/>
              </w:rPr>
            </w:pPr>
          </w:p>
          <w:p>
            <w:pPr>
              <w:pStyle w:val="TableParagraph"/>
              <w:spacing w:before="7"/>
              <w:rPr>
                <w:rFonts w:ascii="宋体"/>
                <w:b/>
                <w:sz w:val="28"/>
              </w:rPr>
            </w:pPr>
          </w:p>
          <w:p>
            <w:pPr>
              <w:pStyle w:val="TableParagraph"/>
              <w:spacing w:line="362" w:lineRule="auto"/>
              <w:ind w:left="108" w:right="94"/>
              <w:rPr>
                <w:sz w:val="24"/>
              </w:rPr>
            </w:pPr>
            <w:r>
              <w:rPr>
                <w:spacing w:val="-15"/>
                <w:sz w:val="24"/>
              </w:rPr>
              <w:t>保 税 物流 中 心</w:t>
            </w:r>
          </w:p>
          <w:p>
            <w:pPr>
              <w:pStyle w:val="TableParagraph"/>
              <w:spacing w:before="5"/>
              <w:ind w:left="108"/>
              <w:rPr>
                <w:sz w:val="24"/>
              </w:rPr>
            </w:pPr>
            <w:r>
              <w:rPr>
                <w:sz w:val="24"/>
              </w:rPr>
              <w:t>（B型）</w:t>
            </w:r>
          </w:p>
        </w:tc>
        <w:tc>
          <w:tcPr>
            <w:tcW w:w="825" w:type="dxa"/>
          </w:tcPr>
          <w:p>
            <w:pPr>
              <w:pStyle w:val="TableParagraph"/>
              <w:rPr>
                <w:rFonts w:ascii="宋体"/>
                <w:b/>
                <w:sz w:val="24"/>
              </w:rPr>
            </w:pPr>
          </w:p>
          <w:p>
            <w:pPr>
              <w:pStyle w:val="TableParagraph"/>
              <w:rPr>
                <w:rFonts w:ascii="宋体"/>
                <w:b/>
                <w:sz w:val="24"/>
              </w:rPr>
            </w:pPr>
          </w:p>
          <w:p>
            <w:pPr>
              <w:pStyle w:val="TableParagraph"/>
              <w:rPr>
                <w:rFonts w:ascii="宋体"/>
                <w:b/>
                <w:sz w:val="24"/>
              </w:rPr>
            </w:pPr>
          </w:p>
          <w:p>
            <w:pPr>
              <w:pStyle w:val="TableParagraph"/>
              <w:rPr>
                <w:rFonts w:ascii="宋体"/>
                <w:b/>
                <w:sz w:val="24"/>
              </w:rPr>
            </w:pPr>
          </w:p>
          <w:p>
            <w:pPr>
              <w:pStyle w:val="TableParagraph"/>
              <w:spacing w:before="9"/>
              <w:rPr>
                <w:rFonts w:ascii="宋体"/>
                <w:b/>
                <w:sz w:val="22"/>
              </w:rPr>
            </w:pPr>
          </w:p>
          <w:p>
            <w:pPr>
              <w:pStyle w:val="TableParagraph"/>
              <w:ind w:left="107"/>
              <w:rPr>
                <w:sz w:val="24"/>
              </w:rPr>
            </w:pPr>
            <w:r>
              <w:rPr>
                <w:sz w:val="24"/>
              </w:rPr>
              <w:t>600</w:t>
            </w:r>
          </w:p>
          <w:p>
            <w:pPr>
              <w:pStyle w:val="TableParagraph"/>
              <w:spacing w:before="158"/>
              <w:ind w:left="107"/>
              <w:rPr>
                <w:sz w:val="24"/>
              </w:rPr>
            </w:pPr>
            <w:r>
              <w:rPr>
                <w:sz w:val="24"/>
              </w:rPr>
              <w:t>亩</w:t>
            </w:r>
          </w:p>
        </w:tc>
        <w:tc>
          <w:tcPr>
            <w:tcW w:w="5190" w:type="dxa"/>
          </w:tcPr>
          <w:p>
            <w:pPr>
              <w:pStyle w:val="TableParagraph"/>
              <w:spacing w:line="364" w:lineRule="auto" w:before="122"/>
              <w:ind w:left="107" w:right="30"/>
              <w:jc w:val="both"/>
              <w:rPr>
                <w:sz w:val="24"/>
              </w:rPr>
            </w:pPr>
            <w:r>
              <w:rPr>
                <w:spacing w:val="-7"/>
                <w:sz w:val="24"/>
              </w:rPr>
              <w:t>以保税仓储、分装加工、销售、展示、结算等为</w:t>
            </w:r>
            <w:r>
              <w:rPr>
                <w:spacing w:val="-10"/>
                <w:sz w:val="24"/>
              </w:rPr>
              <w:t>主要业务，大力发展跨境电子商务，有序推进特</w:t>
            </w:r>
            <w:r>
              <w:rPr>
                <w:spacing w:val="-11"/>
                <w:sz w:val="24"/>
              </w:rPr>
              <w:t>色商品出口基地和新产业新业态孵化基地建设， </w:t>
            </w:r>
            <w:r>
              <w:rPr>
                <w:spacing w:val="-6"/>
                <w:sz w:val="24"/>
              </w:rPr>
              <w:t>形成区域性棉花(棉纱)、大米、红酒、东盟商品</w:t>
            </w:r>
            <w:r>
              <w:rPr>
                <w:spacing w:val="-10"/>
                <w:sz w:val="24"/>
              </w:rPr>
              <w:t>等的保税仓储、交割交易中心。加强与南宁、成</w:t>
            </w:r>
            <w:r>
              <w:rPr>
                <w:spacing w:val="-9"/>
                <w:sz w:val="24"/>
              </w:rPr>
              <w:t>都、重庆、郑州等国际陆港城市合作，以满足区</w:t>
            </w:r>
            <w:r>
              <w:rPr>
                <w:spacing w:val="-12"/>
                <w:sz w:val="24"/>
              </w:rPr>
              <w:t>域内需为出发点，形成进口商品保税展示和物流集散中心。</w:t>
            </w:r>
          </w:p>
        </w:tc>
        <w:tc>
          <w:tcPr>
            <w:tcW w:w="1104" w:type="dxa"/>
          </w:tcPr>
          <w:p>
            <w:pPr>
              <w:pStyle w:val="TableParagraph"/>
              <w:rPr>
                <w:rFonts w:ascii="宋体"/>
                <w:b/>
                <w:sz w:val="24"/>
              </w:rPr>
            </w:pPr>
          </w:p>
          <w:p>
            <w:pPr>
              <w:pStyle w:val="TableParagraph"/>
              <w:rPr>
                <w:rFonts w:ascii="宋体"/>
                <w:b/>
                <w:sz w:val="24"/>
              </w:rPr>
            </w:pPr>
          </w:p>
          <w:p>
            <w:pPr>
              <w:pStyle w:val="TableParagraph"/>
              <w:rPr>
                <w:rFonts w:ascii="宋体"/>
                <w:b/>
                <w:sz w:val="24"/>
              </w:rPr>
            </w:pPr>
          </w:p>
          <w:p>
            <w:pPr>
              <w:pStyle w:val="TableParagraph"/>
              <w:rPr>
                <w:rFonts w:ascii="宋体"/>
                <w:b/>
                <w:sz w:val="24"/>
              </w:rPr>
            </w:pPr>
          </w:p>
          <w:p>
            <w:pPr>
              <w:pStyle w:val="TableParagraph"/>
              <w:rPr>
                <w:rFonts w:ascii="宋体"/>
                <w:b/>
                <w:sz w:val="18"/>
              </w:rPr>
            </w:pPr>
          </w:p>
          <w:p>
            <w:pPr>
              <w:pStyle w:val="TableParagraph"/>
              <w:ind w:left="106"/>
              <w:rPr>
                <w:sz w:val="24"/>
              </w:rPr>
            </w:pPr>
            <w:r>
              <w:rPr>
                <w:sz w:val="24"/>
              </w:rPr>
              <w:t>2022-</w:t>
            </w:r>
          </w:p>
          <w:p>
            <w:pPr>
              <w:pStyle w:val="TableParagraph"/>
              <w:spacing w:before="9"/>
              <w:rPr>
                <w:rFonts w:ascii="宋体"/>
                <w:b/>
                <w:sz w:val="21"/>
              </w:rPr>
            </w:pPr>
          </w:p>
          <w:p>
            <w:pPr>
              <w:pStyle w:val="TableParagraph"/>
              <w:spacing w:before="1"/>
              <w:ind w:left="106"/>
              <w:rPr>
                <w:sz w:val="24"/>
              </w:rPr>
            </w:pPr>
            <w:r>
              <w:rPr>
                <w:sz w:val="24"/>
              </w:rPr>
              <w:t>2030 年</w:t>
            </w:r>
          </w:p>
        </w:tc>
      </w:tr>
      <w:tr>
        <w:trPr>
          <w:trHeight w:val="2107" w:hRule="atLeast"/>
        </w:trPr>
        <w:tc>
          <w:tcPr>
            <w:tcW w:w="1120" w:type="dxa"/>
          </w:tcPr>
          <w:p>
            <w:pPr>
              <w:pStyle w:val="TableParagraph"/>
              <w:spacing w:before="8"/>
              <w:rPr>
                <w:rFonts w:ascii="宋体"/>
                <w:b/>
                <w:sz w:val="27"/>
              </w:rPr>
            </w:pPr>
          </w:p>
          <w:p>
            <w:pPr>
              <w:pStyle w:val="TableParagraph"/>
              <w:spacing w:line="364" w:lineRule="auto"/>
              <w:ind w:left="108" w:right="94"/>
              <w:jc w:val="both"/>
              <w:rPr>
                <w:sz w:val="24"/>
              </w:rPr>
            </w:pPr>
            <w:r>
              <w:rPr>
                <w:spacing w:val="-15"/>
                <w:sz w:val="24"/>
              </w:rPr>
              <w:t>一 站 式服 务 中</w:t>
            </w:r>
            <w:r>
              <w:rPr>
                <w:sz w:val="24"/>
              </w:rPr>
              <w:t>心</w:t>
            </w:r>
          </w:p>
        </w:tc>
        <w:tc>
          <w:tcPr>
            <w:tcW w:w="825" w:type="dxa"/>
          </w:tcPr>
          <w:p>
            <w:pPr>
              <w:pStyle w:val="TableParagraph"/>
              <w:rPr>
                <w:rFonts w:ascii="宋体"/>
                <w:b/>
                <w:sz w:val="24"/>
              </w:rPr>
            </w:pPr>
          </w:p>
          <w:p>
            <w:pPr>
              <w:pStyle w:val="TableParagraph"/>
              <w:spacing w:before="12"/>
              <w:rPr>
                <w:rFonts w:ascii="宋体"/>
                <w:b/>
                <w:sz w:val="21"/>
              </w:rPr>
            </w:pPr>
          </w:p>
          <w:p>
            <w:pPr>
              <w:pStyle w:val="TableParagraph"/>
              <w:ind w:left="107"/>
              <w:rPr>
                <w:sz w:val="24"/>
              </w:rPr>
            </w:pPr>
            <w:r>
              <w:rPr>
                <w:sz w:val="24"/>
              </w:rPr>
              <w:t>200</w:t>
            </w:r>
          </w:p>
          <w:p>
            <w:pPr>
              <w:pStyle w:val="TableParagraph"/>
              <w:spacing w:before="158"/>
              <w:ind w:left="107"/>
              <w:rPr>
                <w:sz w:val="24"/>
              </w:rPr>
            </w:pPr>
            <w:r>
              <w:rPr>
                <w:sz w:val="24"/>
              </w:rPr>
              <w:t>亩</w:t>
            </w:r>
          </w:p>
        </w:tc>
        <w:tc>
          <w:tcPr>
            <w:tcW w:w="5190" w:type="dxa"/>
          </w:tcPr>
          <w:p>
            <w:pPr>
              <w:pStyle w:val="TableParagraph"/>
              <w:spacing w:line="364" w:lineRule="auto" w:before="121"/>
              <w:ind w:left="107" w:right="97"/>
              <w:jc w:val="both"/>
              <w:rPr>
                <w:sz w:val="24"/>
              </w:rPr>
            </w:pPr>
            <w:r>
              <w:rPr>
                <w:spacing w:val="-6"/>
                <w:sz w:val="24"/>
              </w:rPr>
              <w:t>为入驻企业提供专业性物业服务、一体化行政服</w:t>
            </w:r>
            <w:r>
              <w:rPr>
                <w:spacing w:val="-9"/>
                <w:sz w:val="24"/>
              </w:rPr>
              <w:t>务、物流供应链服务、物流信息服务、物流金融</w:t>
            </w:r>
            <w:r>
              <w:rPr>
                <w:spacing w:val="-10"/>
                <w:sz w:val="24"/>
              </w:rPr>
              <w:t>综合服务、货运车辆服务、集散中心特色服务和</w:t>
            </w:r>
            <w:r>
              <w:rPr>
                <w:sz w:val="24"/>
              </w:rPr>
              <w:t>生活配套服务。</w:t>
            </w:r>
          </w:p>
        </w:tc>
        <w:tc>
          <w:tcPr>
            <w:tcW w:w="1104" w:type="dxa"/>
          </w:tcPr>
          <w:p>
            <w:pPr>
              <w:pStyle w:val="TableParagraph"/>
              <w:rPr>
                <w:rFonts w:ascii="宋体"/>
                <w:b/>
                <w:sz w:val="24"/>
              </w:rPr>
            </w:pPr>
          </w:p>
          <w:p>
            <w:pPr>
              <w:pStyle w:val="TableParagraph"/>
              <w:spacing w:before="3"/>
              <w:rPr>
                <w:rFonts w:ascii="宋体"/>
                <w:b/>
                <w:sz w:val="17"/>
              </w:rPr>
            </w:pPr>
          </w:p>
          <w:p>
            <w:pPr>
              <w:pStyle w:val="TableParagraph"/>
              <w:spacing w:before="1"/>
              <w:ind w:left="106"/>
              <w:rPr>
                <w:sz w:val="24"/>
              </w:rPr>
            </w:pPr>
            <w:r>
              <w:rPr>
                <w:sz w:val="24"/>
              </w:rPr>
              <w:t>2021-</w:t>
            </w:r>
          </w:p>
          <w:p>
            <w:pPr>
              <w:pStyle w:val="TableParagraph"/>
              <w:spacing w:before="8"/>
              <w:rPr>
                <w:rFonts w:ascii="宋体"/>
                <w:b/>
                <w:sz w:val="21"/>
              </w:rPr>
            </w:pPr>
          </w:p>
          <w:p>
            <w:pPr>
              <w:pStyle w:val="TableParagraph"/>
              <w:spacing w:before="1"/>
              <w:ind w:left="106"/>
              <w:rPr>
                <w:sz w:val="24"/>
              </w:rPr>
            </w:pPr>
            <w:r>
              <w:rPr>
                <w:sz w:val="24"/>
              </w:rPr>
              <w:t>2023 年</w:t>
            </w:r>
          </w:p>
        </w:tc>
      </w:tr>
      <w:tr>
        <w:trPr>
          <w:trHeight w:val="4908" w:hRule="atLeast"/>
        </w:trPr>
        <w:tc>
          <w:tcPr>
            <w:tcW w:w="1120" w:type="dxa"/>
          </w:tcPr>
          <w:p>
            <w:pPr>
              <w:pStyle w:val="TableParagraph"/>
              <w:rPr>
                <w:rFonts w:ascii="宋体"/>
                <w:b/>
                <w:sz w:val="24"/>
              </w:rPr>
            </w:pPr>
          </w:p>
          <w:p>
            <w:pPr>
              <w:pStyle w:val="TableParagraph"/>
              <w:rPr>
                <w:rFonts w:ascii="宋体"/>
                <w:b/>
                <w:sz w:val="24"/>
              </w:rPr>
            </w:pPr>
          </w:p>
          <w:p>
            <w:pPr>
              <w:pStyle w:val="TableParagraph"/>
              <w:rPr>
                <w:rFonts w:ascii="宋体"/>
                <w:b/>
                <w:sz w:val="24"/>
              </w:rPr>
            </w:pPr>
          </w:p>
          <w:p>
            <w:pPr>
              <w:pStyle w:val="TableParagraph"/>
              <w:rPr>
                <w:rFonts w:ascii="宋体"/>
                <w:b/>
                <w:sz w:val="24"/>
              </w:rPr>
            </w:pPr>
          </w:p>
          <w:p>
            <w:pPr>
              <w:pStyle w:val="TableParagraph"/>
              <w:rPr>
                <w:rFonts w:ascii="宋体"/>
                <w:b/>
                <w:sz w:val="24"/>
              </w:rPr>
            </w:pPr>
          </w:p>
          <w:p>
            <w:pPr>
              <w:pStyle w:val="TableParagraph"/>
              <w:spacing w:before="11"/>
              <w:rPr>
                <w:rFonts w:ascii="宋体"/>
                <w:b/>
                <w:sz w:val="16"/>
              </w:rPr>
            </w:pPr>
          </w:p>
          <w:p>
            <w:pPr>
              <w:pStyle w:val="TableParagraph"/>
              <w:spacing w:line="364" w:lineRule="auto" w:before="1"/>
              <w:ind w:left="108" w:right="94"/>
              <w:jc w:val="both"/>
              <w:rPr>
                <w:sz w:val="24"/>
              </w:rPr>
            </w:pPr>
            <w:r>
              <w:rPr>
                <w:spacing w:val="-15"/>
                <w:sz w:val="24"/>
              </w:rPr>
              <w:t>枢 纽 经济 产 业</w:t>
            </w:r>
            <w:r>
              <w:rPr>
                <w:sz w:val="24"/>
              </w:rPr>
              <w:t>园</w:t>
            </w:r>
          </w:p>
        </w:tc>
        <w:tc>
          <w:tcPr>
            <w:tcW w:w="825" w:type="dxa"/>
          </w:tcPr>
          <w:p>
            <w:pPr>
              <w:pStyle w:val="TableParagraph"/>
              <w:rPr>
                <w:rFonts w:ascii="宋体"/>
                <w:b/>
                <w:sz w:val="24"/>
              </w:rPr>
            </w:pPr>
          </w:p>
          <w:p>
            <w:pPr>
              <w:pStyle w:val="TableParagraph"/>
              <w:rPr>
                <w:rFonts w:ascii="宋体"/>
                <w:b/>
                <w:sz w:val="24"/>
              </w:rPr>
            </w:pPr>
          </w:p>
          <w:p>
            <w:pPr>
              <w:pStyle w:val="TableParagraph"/>
              <w:rPr>
                <w:rFonts w:ascii="宋体"/>
                <w:b/>
                <w:sz w:val="24"/>
              </w:rPr>
            </w:pPr>
          </w:p>
          <w:p>
            <w:pPr>
              <w:pStyle w:val="TableParagraph"/>
              <w:rPr>
                <w:rFonts w:ascii="宋体"/>
                <w:b/>
                <w:sz w:val="24"/>
              </w:rPr>
            </w:pPr>
          </w:p>
          <w:p>
            <w:pPr>
              <w:pStyle w:val="TableParagraph"/>
              <w:rPr>
                <w:rFonts w:ascii="宋体"/>
                <w:b/>
                <w:sz w:val="24"/>
              </w:rPr>
            </w:pPr>
          </w:p>
          <w:p>
            <w:pPr>
              <w:pStyle w:val="TableParagraph"/>
              <w:spacing w:before="1"/>
              <w:rPr>
                <w:rFonts w:ascii="宋体"/>
                <w:b/>
                <w:sz w:val="35"/>
              </w:rPr>
            </w:pPr>
          </w:p>
          <w:p>
            <w:pPr>
              <w:pStyle w:val="TableParagraph"/>
              <w:ind w:left="107"/>
              <w:rPr>
                <w:sz w:val="24"/>
              </w:rPr>
            </w:pPr>
            <w:r>
              <w:rPr>
                <w:sz w:val="24"/>
              </w:rPr>
              <w:t>6000</w:t>
            </w:r>
          </w:p>
          <w:p>
            <w:pPr>
              <w:pStyle w:val="TableParagraph"/>
              <w:spacing w:before="160"/>
              <w:ind w:left="107"/>
              <w:rPr>
                <w:sz w:val="24"/>
              </w:rPr>
            </w:pPr>
            <w:r>
              <w:rPr>
                <w:sz w:val="24"/>
              </w:rPr>
              <w:t>亩</w:t>
            </w:r>
          </w:p>
        </w:tc>
        <w:tc>
          <w:tcPr>
            <w:tcW w:w="5190" w:type="dxa"/>
          </w:tcPr>
          <w:p>
            <w:pPr>
              <w:pStyle w:val="TableParagraph"/>
              <w:spacing w:line="364" w:lineRule="auto" w:before="120"/>
              <w:ind w:left="107" w:right="-29"/>
              <w:rPr>
                <w:sz w:val="24"/>
              </w:rPr>
            </w:pPr>
            <w:r>
              <w:rPr>
                <w:spacing w:val="-15"/>
                <w:sz w:val="24"/>
              </w:rPr>
              <w:t>以高铁、民航、高速公路等快速交通体系为依托， </w:t>
            </w:r>
            <w:r>
              <w:rPr>
                <w:spacing w:val="-16"/>
                <w:sz w:val="24"/>
              </w:rPr>
              <w:t>充分发挥国家物流枢纽人流、商流、信息流、资金流和技术流聚集优势，重点围绕绿色生态健康</w:t>
            </w:r>
            <w:r>
              <w:rPr>
                <w:spacing w:val="-11"/>
                <w:sz w:val="24"/>
              </w:rPr>
              <w:t>食品、药食同源健康产品、旅游休闲食品、特色</w:t>
            </w:r>
            <w:r>
              <w:rPr>
                <w:spacing w:val="-13"/>
                <w:sz w:val="24"/>
              </w:rPr>
              <w:t>壮瑶医药产品、消费电子产品、智慧健康产品等旅游商贸产业、高铁引致产业、民航引致产业， </w:t>
            </w:r>
            <w:r>
              <w:rPr>
                <w:spacing w:val="-14"/>
                <w:sz w:val="24"/>
              </w:rPr>
              <w:t>建设旅游型工厂、产品体验中心和示范窗口，引</w:t>
            </w:r>
            <w:r>
              <w:rPr>
                <w:spacing w:val="-15"/>
                <w:sz w:val="24"/>
              </w:rPr>
              <w:t>领带动桂林大健康产业、下一代信息网络产业和</w:t>
            </w:r>
            <w:r>
              <w:rPr>
                <w:spacing w:val="-14"/>
                <w:sz w:val="24"/>
              </w:rPr>
              <w:t>数字经济发展，培育形成具有枢纽经济特色的高端产业集群。</w:t>
            </w:r>
          </w:p>
        </w:tc>
        <w:tc>
          <w:tcPr>
            <w:tcW w:w="1104" w:type="dxa"/>
          </w:tcPr>
          <w:p>
            <w:pPr>
              <w:pStyle w:val="TableParagraph"/>
              <w:rPr>
                <w:rFonts w:ascii="宋体"/>
                <w:b/>
                <w:sz w:val="24"/>
              </w:rPr>
            </w:pPr>
          </w:p>
          <w:p>
            <w:pPr>
              <w:pStyle w:val="TableParagraph"/>
              <w:rPr>
                <w:rFonts w:ascii="宋体"/>
                <w:b/>
                <w:sz w:val="24"/>
              </w:rPr>
            </w:pPr>
          </w:p>
          <w:p>
            <w:pPr>
              <w:pStyle w:val="TableParagraph"/>
              <w:rPr>
                <w:rFonts w:ascii="宋体"/>
                <w:b/>
                <w:sz w:val="24"/>
              </w:rPr>
            </w:pPr>
          </w:p>
          <w:p>
            <w:pPr>
              <w:pStyle w:val="TableParagraph"/>
              <w:rPr>
                <w:rFonts w:ascii="宋体"/>
                <w:b/>
                <w:sz w:val="24"/>
              </w:rPr>
            </w:pPr>
          </w:p>
          <w:p>
            <w:pPr>
              <w:pStyle w:val="TableParagraph"/>
              <w:rPr>
                <w:rFonts w:ascii="宋体"/>
                <w:b/>
                <w:sz w:val="24"/>
              </w:rPr>
            </w:pPr>
          </w:p>
          <w:p>
            <w:pPr>
              <w:pStyle w:val="TableParagraph"/>
              <w:spacing w:before="5"/>
              <w:rPr>
                <w:rFonts w:ascii="宋体"/>
                <w:b/>
                <w:sz w:val="30"/>
              </w:rPr>
            </w:pPr>
          </w:p>
          <w:p>
            <w:pPr>
              <w:pStyle w:val="TableParagraph"/>
              <w:ind w:left="106"/>
              <w:rPr>
                <w:sz w:val="24"/>
              </w:rPr>
            </w:pPr>
            <w:r>
              <w:rPr>
                <w:sz w:val="24"/>
              </w:rPr>
              <w:t>2023-</w:t>
            </w:r>
          </w:p>
          <w:p>
            <w:pPr>
              <w:pStyle w:val="TableParagraph"/>
              <w:spacing w:before="11"/>
              <w:rPr>
                <w:rFonts w:ascii="宋体"/>
                <w:b/>
                <w:sz w:val="21"/>
              </w:rPr>
            </w:pPr>
          </w:p>
          <w:p>
            <w:pPr>
              <w:pStyle w:val="TableParagraph"/>
              <w:ind w:left="106"/>
              <w:rPr>
                <w:sz w:val="24"/>
              </w:rPr>
            </w:pPr>
            <w:r>
              <w:rPr>
                <w:sz w:val="24"/>
              </w:rPr>
              <w:t>2030 年</w:t>
            </w:r>
          </w:p>
        </w:tc>
      </w:tr>
      <w:tr>
        <w:trPr>
          <w:trHeight w:val="2452" w:hRule="atLeast"/>
        </w:trPr>
        <w:tc>
          <w:tcPr>
            <w:tcW w:w="1120" w:type="dxa"/>
          </w:tcPr>
          <w:p>
            <w:pPr>
              <w:pStyle w:val="TableParagraph"/>
              <w:rPr>
                <w:rFonts w:ascii="宋体"/>
                <w:b/>
                <w:sz w:val="24"/>
              </w:rPr>
            </w:pPr>
          </w:p>
          <w:p>
            <w:pPr>
              <w:pStyle w:val="TableParagraph"/>
              <w:spacing w:before="6"/>
              <w:rPr>
                <w:rFonts w:ascii="宋体"/>
                <w:b/>
                <w:sz w:val="35"/>
              </w:rPr>
            </w:pPr>
          </w:p>
          <w:p>
            <w:pPr>
              <w:pStyle w:val="TableParagraph"/>
              <w:spacing w:line="362" w:lineRule="auto" w:before="1"/>
              <w:ind w:left="108" w:right="28"/>
              <w:rPr>
                <w:sz w:val="24"/>
              </w:rPr>
            </w:pPr>
            <w:r>
              <w:rPr>
                <w:sz w:val="24"/>
              </w:rPr>
              <w:t>商 贸 物流小镇</w:t>
            </w:r>
          </w:p>
        </w:tc>
        <w:tc>
          <w:tcPr>
            <w:tcW w:w="825" w:type="dxa"/>
          </w:tcPr>
          <w:p>
            <w:pPr>
              <w:pStyle w:val="TableParagraph"/>
              <w:rPr>
                <w:rFonts w:ascii="宋体"/>
                <w:b/>
                <w:sz w:val="24"/>
              </w:rPr>
            </w:pPr>
          </w:p>
          <w:p>
            <w:pPr>
              <w:pStyle w:val="TableParagraph"/>
              <w:spacing w:before="6"/>
              <w:rPr>
                <w:rFonts w:ascii="宋体"/>
                <w:b/>
                <w:sz w:val="35"/>
              </w:rPr>
            </w:pPr>
          </w:p>
          <w:p>
            <w:pPr>
              <w:pStyle w:val="TableParagraph"/>
              <w:spacing w:before="1"/>
              <w:ind w:left="107"/>
              <w:rPr>
                <w:sz w:val="24"/>
              </w:rPr>
            </w:pPr>
            <w:r>
              <w:rPr>
                <w:sz w:val="24"/>
              </w:rPr>
              <w:t>3000</w:t>
            </w:r>
          </w:p>
          <w:p>
            <w:pPr>
              <w:pStyle w:val="TableParagraph"/>
              <w:spacing w:before="158"/>
              <w:ind w:left="107"/>
              <w:rPr>
                <w:sz w:val="24"/>
              </w:rPr>
            </w:pPr>
            <w:r>
              <w:rPr>
                <w:sz w:val="24"/>
              </w:rPr>
              <w:t>亩</w:t>
            </w:r>
          </w:p>
        </w:tc>
        <w:tc>
          <w:tcPr>
            <w:tcW w:w="5190" w:type="dxa"/>
          </w:tcPr>
          <w:p>
            <w:pPr>
              <w:pStyle w:val="TableParagraph"/>
              <w:spacing w:line="364" w:lineRule="auto" w:before="122"/>
              <w:ind w:left="107" w:right="97"/>
              <w:jc w:val="both"/>
              <w:rPr>
                <w:sz w:val="24"/>
              </w:rPr>
            </w:pPr>
            <w:r>
              <w:rPr>
                <w:spacing w:val="6"/>
                <w:sz w:val="24"/>
              </w:rPr>
              <w:t>依托桂林世界一流国际旅游胜地和国际消费中</w:t>
            </w:r>
            <w:r>
              <w:rPr>
                <w:spacing w:val="-4"/>
                <w:sz w:val="24"/>
              </w:rPr>
              <w:t>心建设机遇，引导国内外知名物流企业、电商企</w:t>
            </w:r>
            <w:r>
              <w:rPr>
                <w:spacing w:val="-10"/>
                <w:sz w:val="24"/>
              </w:rPr>
              <w:t>业、商贸企业、旅游企业等建设跨境电商消费体验中心、进出口商品直销集散中心和中国—东盟</w:t>
            </w:r>
          </w:p>
          <w:p>
            <w:pPr>
              <w:pStyle w:val="TableParagraph"/>
              <w:spacing w:line="305" w:lineRule="exact"/>
              <w:ind w:left="107"/>
              <w:rPr>
                <w:sz w:val="24"/>
              </w:rPr>
            </w:pPr>
            <w:r>
              <w:rPr>
                <w:spacing w:val="-6"/>
                <w:sz w:val="24"/>
              </w:rPr>
              <w:t>旅游商品交易基地，设立涵盖跨国采购中心、供</w:t>
            </w:r>
          </w:p>
        </w:tc>
        <w:tc>
          <w:tcPr>
            <w:tcW w:w="1104" w:type="dxa"/>
          </w:tcPr>
          <w:p>
            <w:pPr>
              <w:pStyle w:val="TableParagraph"/>
              <w:rPr>
                <w:rFonts w:ascii="宋体"/>
                <w:b/>
                <w:sz w:val="24"/>
              </w:rPr>
            </w:pPr>
          </w:p>
          <w:p>
            <w:pPr>
              <w:pStyle w:val="TableParagraph"/>
              <w:spacing w:before="10"/>
              <w:rPr>
                <w:rFonts w:ascii="宋体"/>
                <w:b/>
                <w:sz w:val="30"/>
              </w:rPr>
            </w:pPr>
          </w:p>
          <w:p>
            <w:pPr>
              <w:pStyle w:val="TableParagraph"/>
              <w:spacing w:before="1"/>
              <w:ind w:left="106"/>
              <w:rPr>
                <w:sz w:val="24"/>
              </w:rPr>
            </w:pPr>
            <w:r>
              <w:rPr>
                <w:sz w:val="24"/>
              </w:rPr>
              <w:t>2023-</w:t>
            </w:r>
          </w:p>
          <w:p>
            <w:pPr>
              <w:pStyle w:val="TableParagraph"/>
              <w:spacing w:before="8"/>
              <w:rPr>
                <w:rFonts w:ascii="宋体"/>
                <w:b/>
                <w:sz w:val="21"/>
              </w:rPr>
            </w:pPr>
          </w:p>
          <w:p>
            <w:pPr>
              <w:pStyle w:val="TableParagraph"/>
              <w:spacing w:before="1"/>
              <w:ind w:left="106"/>
              <w:rPr>
                <w:sz w:val="24"/>
              </w:rPr>
            </w:pPr>
            <w:r>
              <w:rPr>
                <w:sz w:val="24"/>
              </w:rPr>
              <w:t>2030 年</w:t>
            </w:r>
          </w:p>
        </w:tc>
      </w:tr>
    </w:tbl>
    <w:p>
      <w:pPr>
        <w:spacing w:after="0"/>
        <w:rPr>
          <w:sz w:val="24"/>
        </w:rPr>
        <w:sectPr>
          <w:pgSz w:w="11910" w:h="16840"/>
          <w:pgMar w:header="0" w:footer="902" w:top="1460" w:bottom="1100" w:left="1240" w:right="1220"/>
        </w:sectPr>
      </w:pPr>
    </w:p>
    <w:tbl>
      <w:tblPr>
        <w:tblW w:w="0" w:type="auto"/>
        <w:jc w:val="left"/>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20"/>
        <w:gridCol w:w="825"/>
        <w:gridCol w:w="5190"/>
        <w:gridCol w:w="1104"/>
      </w:tblGrid>
      <w:tr>
        <w:trPr>
          <w:trHeight w:val="3387" w:hRule="atLeast"/>
        </w:trPr>
        <w:tc>
          <w:tcPr>
            <w:tcW w:w="1120" w:type="dxa"/>
          </w:tcPr>
          <w:p>
            <w:pPr>
              <w:pStyle w:val="TableParagraph"/>
              <w:rPr>
                <w:rFonts w:ascii="Times New Roman"/>
                <w:sz w:val="26"/>
              </w:rPr>
            </w:pPr>
          </w:p>
        </w:tc>
        <w:tc>
          <w:tcPr>
            <w:tcW w:w="825" w:type="dxa"/>
          </w:tcPr>
          <w:p>
            <w:pPr>
              <w:pStyle w:val="TableParagraph"/>
              <w:rPr>
                <w:rFonts w:ascii="Times New Roman"/>
                <w:sz w:val="26"/>
              </w:rPr>
            </w:pPr>
          </w:p>
        </w:tc>
        <w:tc>
          <w:tcPr>
            <w:tcW w:w="5190" w:type="dxa"/>
          </w:tcPr>
          <w:p>
            <w:pPr>
              <w:pStyle w:val="TableParagraph"/>
              <w:spacing w:line="364" w:lineRule="auto" w:before="2"/>
              <w:ind w:left="107" w:right="30"/>
              <w:jc w:val="both"/>
              <w:rPr>
                <w:sz w:val="24"/>
              </w:rPr>
            </w:pPr>
            <w:r>
              <w:rPr>
                <w:spacing w:val="-1"/>
                <w:sz w:val="24"/>
              </w:rPr>
              <w:t>应链管理中心、业务管理中心、单证管理中心、</w:t>
            </w:r>
            <w:r>
              <w:rPr>
                <w:spacing w:val="-5"/>
                <w:sz w:val="24"/>
              </w:rPr>
              <w:t>结算中心等功能的区域总部基地，打造“一带一</w:t>
            </w:r>
            <w:r>
              <w:rPr>
                <w:spacing w:val="-9"/>
                <w:sz w:val="24"/>
              </w:rPr>
              <w:t>路”重要的区域性商贸物流组织中心，建设集商</w:t>
            </w:r>
            <w:r>
              <w:rPr>
                <w:spacing w:val="-10"/>
                <w:sz w:val="24"/>
              </w:rPr>
              <w:t>贸物流、制造业物流、中枢运营、体验消费、交</w:t>
            </w:r>
            <w:r>
              <w:rPr>
                <w:spacing w:val="-11"/>
                <w:sz w:val="24"/>
              </w:rPr>
              <w:t>易展示、商务会展、融资租赁、物流金融、教育</w:t>
            </w:r>
            <w:r>
              <w:rPr>
                <w:spacing w:val="-10"/>
                <w:sz w:val="24"/>
              </w:rPr>
              <w:t>科研、技术创新和商住餐饮等功能为一体的商贸物流小镇。</w:t>
            </w:r>
          </w:p>
        </w:tc>
        <w:tc>
          <w:tcPr>
            <w:tcW w:w="1104" w:type="dxa"/>
          </w:tcPr>
          <w:p>
            <w:pPr>
              <w:pStyle w:val="TableParagraph"/>
              <w:rPr>
                <w:rFonts w:ascii="Times New Roman"/>
                <w:sz w:val="26"/>
              </w:rPr>
            </w:pPr>
          </w:p>
        </w:tc>
      </w:tr>
      <w:tr>
        <w:trPr>
          <w:trHeight w:val="1293" w:hRule="atLeast"/>
        </w:trPr>
        <w:tc>
          <w:tcPr>
            <w:tcW w:w="1120" w:type="dxa"/>
          </w:tcPr>
          <w:p>
            <w:pPr>
              <w:pStyle w:val="TableParagraph"/>
              <w:spacing w:line="364" w:lineRule="auto" w:before="180"/>
              <w:ind w:left="108" w:right="28"/>
              <w:rPr>
                <w:sz w:val="24"/>
              </w:rPr>
            </w:pPr>
            <w:r>
              <w:rPr>
                <w:sz w:val="24"/>
              </w:rPr>
              <w:t>配 套 商业设施</w:t>
            </w:r>
          </w:p>
        </w:tc>
        <w:tc>
          <w:tcPr>
            <w:tcW w:w="825" w:type="dxa"/>
          </w:tcPr>
          <w:p>
            <w:pPr>
              <w:pStyle w:val="TableParagraph"/>
              <w:spacing w:before="180"/>
              <w:ind w:left="107"/>
              <w:rPr>
                <w:sz w:val="24"/>
              </w:rPr>
            </w:pPr>
            <w:r>
              <w:rPr>
                <w:sz w:val="24"/>
              </w:rPr>
              <w:t>1000</w:t>
            </w:r>
          </w:p>
          <w:p>
            <w:pPr>
              <w:pStyle w:val="TableParagraph"/>
              <w:spacing w:before="160"/>
              <w:ind w:left="107"/>
              <w:rPr>
                <w:sz w:val="24"/>
              </w:rPr>
            </w:pPr>
            <w:r>
              <w:rPr>
                <w:sz w:val="24"/>
              </w:rPr>
              <w:t>亩</w:t>
            </w:r>
          </w:p>
        </w:tc>
        <w:tc>
          <w:tcPr>
            <w:tcW w:w="5190" w:type="dxa"/>
          </w:tcPr>
          <w:p>
            <w:pPr>
              <w:pStyle w:val="TableParagraph"/>
              <w:spacing w:line="364" w:lineRule="auto" w:before="180"/>
              <w:ind w:left="107" w:right="97"/>
              <w:rPr>
                <w:sz w:val="24"/>
              </w:rPr>
            </w:pPr>
            <w:r>
              <w:rPr>
                <w:sz w:val="24"/>
              </w:rPr>
              <w:t>为桂林国家物流枢纽及周边地区建设配套商贸服务和商务服务设施</w:t>
            </w:r>
          </w:p>
        </w:tc>
        <w:tc>
          <w:tcPr>
            <w:tcW w:w="1104" w:type="dxa"/>
          </w:tcPr>
          <w:p>
            <w:pPr>
              <w:pStyle w:val="TableParagraph"/>
              <w:spacing w:before="122"/>
              <w:ind w:left="106"/>
              <w:rPr>
                <w:sz w:val="24"/>
              </w:rPr>
            </w:pPr>
            <w:r>
              <w:rPr>
                <w:sz w:val="24"/>
              </w:rPr>
              <w:t>2021-</w:t>
            </w:r>
          </w:p>
          <w:p>
            <w:pPr>
              <w:pStyle w:val="TableParagraph"/>
              <w:spacing w:before="9"/>
              <w:rPr>
                <w:rFonts w:ascii="宋体"/>
                <w:b/>
                <w:sz w:val="21"/>
              </w:rPr>
            </w:pPr>
          </w:p>
          <w:p>
            <w:pPr>
              <w:pStyle w:val="TableParagraph"/>
              <w:ind w:left="106"/>
              <w:rPr>
                <w:sz w:val="24"/>
              </w:rPr>
            </w:pPr>
            <w:r>
              <w:rPr>
                <w:sz w:val="24"/>
              </w:rPr>
              <w:t>2025 年</w:t>
            </w:r>
          </w:p>
        </w:tc>
      </w:tr>
    </w:tbl>
    <w:p>
      <w:pPr>
        <w:pStyle w:val="Heading1"/>
        <w:numPr>
          <w:ilvl w:val="0"/>
          <w:numId w:val="17"/>
        </w:numPr>
        <w:tabs>
          <w:tab w:pos="1523" w:val="left" w:leader="none"/>
        </w:tabs>
        <w:spacing w:line="240" w:lineRule="auto" w:before="122" w:after="0"/>
        <w:ind w:left="1522" w:right="0" w:hanging="323"/>
        <w:jc w:val="left"/>
        <w:rPr>
          <w:sz w:val="30"/>
        </w:rPr>
      </w:pPr>
      <w:bookmarkStart w:name="2.地方物流枢纽布局" w:id="78"/>
      <w:bookmarkEnd w:id="78"/>
      <w:r>
        <w:rPr>
          <w:b w:val="0"/>
        </w:rPr>
      </w:r>
      <w:bookmarkStart w:name="_bookmark30" w:id="79"/>
      <w:bookmarkEnd w:id="79"/>
      <w:r>
        <w:rPr>
          <w:b w:val="0"/>
        </w:rPr>
      </w:r>
      <w:bookmarkStart w:name="_bookmark30" w:id="80"/>
      <w:bookmarkEnd w:id="80"/>
      <w:r>
        <w:rPr/>
        <w:t>地方物流枢纽布局</w:t>
      </w:r>
    </w:p>
    <w:p>
      <w:pPr>
        <w:pStyle w:val="BodyText"/>
        <w:spacing w:before="11"/>
        <w:ind w:left="0"/>
        <w:rPr>
          <w:b/>
          <w:sz w:val="25"/>
        </w:rPr>
      </w:pPr>
    </w:p>
    <w:p>
      <w:pPr>
        <w:pStyle w:val="BodyText"/>
        <w:spacing w:line="364" w:lineRule="auto" w:before="1"/>
        <w:ind w:right="419" w:firstLine="640"/>
        <w:jc w:val="both"/>
      </w:pPr>
      <w:r>
        <w:rPr>
          <w:spacing w:val="13"/>
        </w:rPr>
        <w:t>强化国家物流枢纽与地方物流枢纽分工协作和有效衔</w:t>
      </w:r>
      <w:r>
        <w:rPr>
          <w:spacing w:val="-1"/>
        </w:rPr>
        <w:t>接，培育国家物流枢纽带动其他物流枢纽做大做强功能，打</w:t>
      </w:r>
      <w:r>
        <w:rPr>
          <w:spacing w:val="-3"/>
        </w:rPr>
        <w:t>造以国家物流枢纽为骨干，以其他物流枢纽为补充的现代枢纽体系。立足各县</w:t>
      </w:r>
      <w:r>
        <w:rPr/>
        <w:t>（</w:t>
      </w:r>
      <w:r>
        <w:rPr>
          <w:spacing w:val="-2"/>
        </w:rPr>
        <w:t>市、区</w:t>
      </w:r>
      <w:r>
        <w:rPr/>
        <w:t>）</w:t>
      </w:r>
      <w:r>
        <w:rPr>
          <w:spacing w:val="-2"/>
        </w:rPr>
        <w:t>产业基础、交通区位、物流基</w:t>
      </w:r>
      <w:r>
        <w:rPr>
          <w:spacing w:val="-4"/>
        </w:rPr>
        <w:t>础设施条件和资源禀赋，分别选择全州县、平乐县和临桂区</w:t>
      </w:r>
      <w:r>
        <w:rPr>
          <w:spacing w:val="4"/>
        </w:rPr>
        <w:t>建设地方物流枢纽，培育“1+N</w:t>
      </w:r>
      <w:r>
        <w:rPr>
          <w:spacing w:val="-4"/>
        </w:rPr>
        <w:t>”模式发展模式，形成 </w:t>
      </w:r>
      <w:r>
        <w:rPr/>
        <w:t>1</w:t>
      </w:r>
      <w:r>
        <w:rPr>
          <w:spacing w:val="-41"/>
        </w:rPr>
        <w:t> 个核心物流园区，1-2</w:t>
      </w:r>
      <w:r>
        <w:rPr>
          <w:spacing w:val="-10"/>
        </w:rPr>
        <w:t> 个补充辅助物流园区发展格局</w:t>
      </w:r>
      <w:r>
        <w:rPr/>
        <w:t>（</w:t>
      </w:r>
      <w:r>
        <w:rPr>
          <w:spacing w:val="-43"/>
        </w:rPr>
        <w:t>表 </w:t>
      </w:r>
      <w:r>
        <w:rPr>
          <w:spacing w:val="-3"/>
        </w:rPr>
        <w:t>4）</w:t>
      </w:r>
      <w:r>
        <w:rPr/>
        <w:t>。</w:t>
      </w:r>
    </w:p>
    <w:p>
      <w:pPr>
        <w:spacing w:before="117"/>
        <w:ind w:left="2499" w:right="0" w:firstLine="0"/>
        <w:jc w:val="both"/>
        <w:rPr>
          <w:b/>
          <w:sz w:val="28"/>
        </w:rPr>
      </w:pPr>
      <w:r>
        <w:rPr>
          <w:b/>
          <w:sz w:val="28"/>
        </w:rPr>
        <w:t>表 4 桂林地方物流枢纽空间布局表</w:t>
      </w:r>
    </w:p>
    <w:p>
      <w:pPr>
        <w:pStyle w:val="BodyText"/>
        <w:spacing w:before="8"/>
        <w:ind w:left="0"/>
        <w:rPr>
          <w:b/>
          <w:sz w:val="23"/>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1"/>
        <w:gridCol w:w="2235"/>
        <w:gridCol w:w="1350"/>
        <w:gridCol w:w="3855"/>
      </w:tblGrid>
      <w:tr>
        <w:trPr>
          <w:trHeight w:val="982" w:hRule="atLeast"/>
        </w:trPr>
        <w:tc>
          <w:tcPr>
            <w:tcW w:w="961" w:type="dxa"/>
          </w:tcPr>
          <w:p>
            <w:pPr>
              <w:pStyle w:val="TableParagraph"/>
              <w:spacing w:line="432" w:lineRule="exact" w:before="14"/>
              <w:ind w:left="239" w:right="229"/>
              <w:rPr>
                <w:b/>
                <w:sz w:val="24"/>
              </w:rPr>
            </w:pPr>
            <w:r>
              <w:rPr>
                <w:b/>
                <w:sz w:val="24"/>
              </w:rPr>
              <w:t>枢纽名称</w:t>
            </w:r>
          </w:p>
        </w:tc>
        <w:tc>
          <w:tcPr>
            <w:tcW w:w="2235" w:type="dxa"/>
          </w:tcPr>
          <w:p>
            <w:pPr>
              <w:pStyle w:val="TableParagraph"/>
              <w:spacing w:line="432" w:lineRule="exact" w:before="14"/>
              <w:ind w:left="877" w:right="865"/>
              <w:jc w:val="center"/>
              <w:rPr>
                <w:b/>
                <w:sz w:val="24"/>
              </w:rPr>
            </w:pPr>
            <w:r>
              <w:rPr>
                <w:b/>
                <w:sz w:val="24"/>
              </w:rPr>
              <w:t>建设模式</w:t>
            </w:r>
          </w:p>
        </w:tc>
        <w:tc>
          <w:tcPr>
            <w:tcW w:w="1350" w:type="dxa"/>
          </w:tcPr>
          <w:p>
            <w:pPr>
              <w:pStyle w:val="TableParagraph"/>
              <w:spacing w:line="242" w:lineRule="auto" w:before="180"/>
              <w:ind w:left="314" w:right="180" w:hanging="120"/>
              <w:rPr>
                <w:b/>
                <w:sz w:val="24"/>
              </w:rPr>
            </w:pPr>
            <w:r>
              <w:rPr>
                <w:b/>
                <w:sz w:val="24"/>
              </w:rPr>
              <w:t>核心物流园区位</w:t>
            </w:r>
          </w:p>
        </w:tc>
        <w:tc>
          <w:tcPr>
            <w:tcW w:w="3855" w:type="dxa"/>
          </w:tcPr>
          <w:p>
            <w:pPr>
              <w:pStyle w:val="TableParagraph"/>
              <w:spacing w:line="432" w:lineRule="exact" w:before="14"/>
              <w:ind w:left="1686" w:right="1676"/>
              <w:jc w:val="center"/>
              <w:rPr>
                <w:b/>
                <w:sz w:val="24"/>
              </w:rPr>
            </w:pPr>
            <w:r>
              <w:rPr>
                <w:b/>
                <w:sz w:val="24"/>
              </w:rPr>
              <w:t>功能定位</w:t>
            </w:r>
          </w:p>
        </w:tc>
      </w:tr>
      <w:tr>
        <w:trPr>
          <w:trHeight w:val="478" w:hRule="atLeast"/>
        </w:trPr>
        <w:tc>
          <w:tcPr>
            <w:tcW w:w="961" w:type="dxa"/>
            <w:tcBorders>
              <w:bottom w:val="nil"/>
            </w:tcBorders>
          </w:tcPr>
          <w:p>
            <w:pPr>
              <w:pStyle w:val="TableParagraph"/>
              <w:rPr>
                <w:rFonts w:ascii="Times New Roman"/>
                <w:sz w:val="26"/>
              </w:rPr>
            </w:pPr>
          </w:p>
        </w:tc>
        <w:tc>
          <w:tcPr>
            <w:tcW w:w="2235" w:type="dxa"/>
            <w:tcBorders>
              <w:bottom w:val="nil"/>
            </w:tcBorders>
          </w:tcPr>
          <w:p>
            <w:pPr>
              <w:pStyle w:val="TableParagraph"/>
              <w:spacing w:before="121"/>
              <w:ind w:right="95"/>
              <w:jc w:val="right"/>
              <w:rPr>
                <w:sz w:val="24"/>
              </w:rPr>
            </w:pPr>
            <w:r>
              <w:rPr>
                <w:sz w:val="24"/>
              </w:rPr>
              <w:t>采用“1+3”建设模</w:t>
            </w:r>
          </w:p>
        </w:tc>
        <w:tc>
          <w:tcPr>
            <w:tcW w:w="1350" w:type="dxa"/>
            <w:tcBorders>
              <w:bottom w:val="nil"/>
            </w:tcBorders>
          </w:tcPr>
          <w:p>
            <w:pPr>
              <w:pStyle w:val="TableParagraph"/>
              <w:rPr>
                <w:rFonts w:ascii="Times New Roman"/>
                <w:sz w:val="26"/>
              </w:rPr>
            </w:pPr>
          </w:p>
        </w:tc>
        <w:tc>
          <w:tcPr>
            <w:tcW w:w="3855" w:type="dxa"/>
            <w:tcBorders>
              <w:bottom w:val="nil"/>
            </w:tcBorders>
          </w:tcPr>
          <w:p>
            <w:pPr>
              <w:pStyle w:val="TableParagraph"/>
              <w:spacing w:before="121"/>
              <w:ind w:left="107" w:right="-29"/>
              <w:rPr>
                <w:sz w:val="24"/>
              </w:rPr>
            </w:pPr>
            <w:r>
              <w:rPr>
                <w:spacing w:val="-10"/>
                <w:sz w:val="24"/>
              </w:rPr>
              <w:t>以农产品冷链物流、粮油集散分拨、</w:t>
            </w:r>
          </w:p>
        </w:tc>
      </w:tr>
      <w:tr>
        <w:trPr>
          <w:trHeight w:val="465" w:hRule="atLeast"/>
        </w:trPr>
        <w:tc>
          <w:tcPr>
            <w:tcW w:w="961" w:type="dxa"/>
            <w:tcBorders>
              <w:top w:val="nil"/>
              <w:bottom w:val="nil"/>
            </w:tcBorders>
          </w:tcPr>
          <w:p>
            <w:pPr>
              <w:pStyle w:val="TableParagraph"/>
              <w:spacing w:before="49"/>
              <w:ind w:right="97"/>
              <w:jc w:val="right"/>
              <w:rPr>
                <w:sz w:val="24"/>
              </w:rPr>
            </w:pPr>
            <w:r>
              <w:rPr>
                <w:sz w:val="24"/>
              </w:rPr>
              <w:t>北部物</w:t>
            </w:r>
          </w:p>
        </w:tc>
        <w:tc>
          <w:tcPr>
            <w:tcW w:w="2235" w:type="dxa"/>
            <w:tcBorders>
              <w:top w:val="nil"/>
              <w:bottom w:val="nil"/>
            </w:tcBorders>
          </w:tcPr>
          <w:p>
            <w:pPr>
              <w:pStyle w:val="TableParagraph"/>
              <w:spacing w:before="109"/>
              <w:ind w:right="97"/>
              <w:jc w:val="right"/>
              <w:rPr>
                <w:sz w:val="24"/>
              </w:rPr>
            </w:pPr>
            <w:r>
              <w:rPr>
                <w:sz w:val="24"/>
              </w:rPr>
              <w:t>式，以桂北综合物</w:t>
            </w:r>
          </w:p>
        </w:tc>
        <w:tc>
          <w:tcPr>
            <w:tcW w:w="1350" w:type="dxa"/>
            <w:tcBorders>
              <w:top w:val="nil"/>
              <w:bottom w:val="nil"/>
            </w:tcBorders>
          </w:tcPr>
          <w:p>
            <w:pPr>
              <w:pStyle w:val="TableParagraph"/>
              <w:spacing w:before="49"/>
              <w:ind w:left="108"/>
              <w:rPr>
                <w:sz w:val="24"/>
              </w:rPr>
            </w:pPr>
            <w:r>
              <w:rPr>
                <w:sz w:val="24"/>
              </w:rPr>
              <w:t>全州县全</w:t>
            </w:r>
          </w:p>
        </w:tc>
        <w:tc>
          <w:tcPr>
            <w:tcW w:w="3855" w:type="dxa"/>
            <w:tcBorders>
              <w:top w:val="nil"/>
              <w:bottom w:val="nil"/>
            </w:tcBorders>
          </w:tcPr>
          <w:p>
            <w:pPr>
              <w:pStyle w:val="TableParagraph"/>
              <w:spacing w:before="109"/>
              <w:ind w:left="107"/>
              <w:rPr>
                <w:sz w:val="24"/>
              </w:rPr>
            </w:pPr>
            <w:r>
              <w:rPr>
                <w:sz w:val="24"/>
              </w:rPr>
              <w:t>名特优农产品批零交易、饲料批零</w:t>
            </w:r>
          </w:p>
        </w:tc>
      </w:tr>
      <w:tr>
        <w:trPr>
          <w:trHeight w:val="498" w:hRule="atLeast"/>
        </w:trPr>
        <w:tc>
          <w:tcPr>
            <w:tcW w:w="961" w:type="dxa"/>
            <w:tcBorders>
              <w:top w:val="nil"/>
              <w:bottom w:val="nil"/>
            </w:tcBorders>
          </w:tcPr>
          <w:p>
            <w:pPr>
              <w:pStyle w:val="TableParagraph"/>
              <w:spacing w:before="49"/>
              <w:ind w:right="121"/>
              <w:jc w:val="right"/>
              <w:rPr>
                <w:sz w:val="24"/>
              </w:rPr>
            </w:pPr>
            <w:r>
              <w:rPr>
                <w:sz w:val="24"/>
              </w:rPr>
              <w:t>流枢纽</w:t>
            </w:r>
          </w:p>
        </w:tc>
        <w:tc>
          <w:tcPr>
            <w:tcW w:w="2235" w:type="dxa"/>
            <w:tcBorders>
              <w:top w:val="nil"/>
              <w:bottom w:val="nil"/>
            </w:tcBorders>
          </w:tcPr>
          <w:p>
            <w:pPr>
              <w:pStyle w:val="TableParagraph"/>
              <w:spacing w:before="111"/>
              <w:ind w:right="97"/>
              <w:jc w:val="right"/>
              <w:rPr>
                <w:sz w:val="24"/>
              </w:rPr>
            </w:pPr>
            <w:r>
              <w:rPr>
                <w:sz w:val="24"/>
              </w:rPr>
              <w:t>流产业园为基础，</w:t>
            </w:r>
          </w:p>
        </w:tc>
        <w:tc>
          <w:tcPr>
            <w:tcW w:w="1350" w:type="dxa"/>
            <w:tcBorders>
              <w:top w:val="nil"/>
              <w:bottom w:val="nil"/>
            </w:tcBorders>
          </w:tcPr>
          <w:p>
            <w:pPr>
              <w:pStyle w:val="TableParagraph"/>
              <w:spacing w:before="49"/>
              <w:ind w:left="108"/>
              <w:rPr>
                <w:sz w:val="24"/>
              </w:rPr>
            </w:pPr>
            <w:r>
              <w:rPr>
                <w:sz w:val="24"/>
              </w:rPr>
              <w:t>州镇</w:t>
            </w:r>
          </w:p>
        </w:tc>
        <w:tc>
          <w:tcPr>
            <w:tcW w:w="3855" w:type="dxa"/>
            <w:tcBorders>
              <w:top w:val="nil"/>
              <w:bottom w:val="nil"/>
            </w:tcBorders>
          </w:tcPr>
          <w:p>
            <w:pPr>
              <w:pStyle w:val="TableParagraph"/>
              <w:spacing w:before="111"/>
              <w:ind w:left="107"/>
              <w:rPr>
                <w:sz w:val="24"/>
              </w:rPr>
            </w:pPr>
            <w:r>
              <w:rPr>
                <w:sz w:val="24"/>
              </w:rPr>
              <w:t>交易、农资及大型农机交易、建材</w:t>
            </w:r>
          </w:p>
        </w:tc>
      </w:tr>
      <w:tr>
        <w:trPr>
          <w:trHeight w:val="544" w:hRule="atLeast"/>
        </w:trPr>
        <w:tc>
          <w:tcPr>
            <w:tcW w:w="961" w:type="dxa"/>
            <w:tcBorders>
              <w:top w:val="nil"/>
            </w:tcBorders>
          </w:tcPr>
          <w:p>
            <w:pPr>
              <w:pStyle w:val="TableParagraph"/>
              <w:rPr>
                <w:rFonts w:ascii="Times New Roman"/>
                <w:sz w:val="26"/>
              </w:rPr>
            </w:pPr>
          </w:p>
        </w:tc>
        <w:tc>
          <w:tcPr>
            <w:tcW w:w="2235" w:type="dxa"/>
            <w:tcBorders>
              <w:top w:val="nil"/>
            </w:tcBorders>
          </w:tcPr>
          <w:p>
            <w:pPr>
              <w:pStyle w:val="TableParagraph"/>
              <w:spacing w:before="79"/>
              <w:ind w:right="97"/>
              <w:jc w:val="right"/>
              <w:rPr>
                <w:sz w:val="24"/>
              </w:rPr>
            </w:pPr>
            <w:r>
              <w:rPr>
                <w:sz w:val="24"/>
              </w:rPr>
              <w:t>以全州桂北粮油集</w:t>
            </w:r>
          </w:p>
        </w:tc>
        <w:tc>
          <w:tcPr>
            <w:tcW w:w="1350" w:type="dxa"/>
            <w:tcBorders>
              <w:top w:val="nil"/>
            </w:tcBorders>
          </w:tcPr>
          <w:p>
            <w:pPr>
              <w:pStyle w:val="TableParagraph"/>
              <w:rPr>
                <w:rFonts w:ascii="Times New Roman"/>
                <w:sz w:val="26"/>
              </w:rPr>
            </w:pPr>
          </w:p>
        </w:tc>
        <w:tc>
          <w:tcPr>
            <w:tcW w:w="3855" w:type="dxa"/>
            <w:tcBorders>
              <w:top w:val="nil"/>
            </w:tcBorders>
          </w:tcPr>
          <w:p>
            <w:pPr>
              <w:pStyle w:val="TableParagraph"/>
              <w:spacing w:before="79"/>
              <w:ind w:left="107"/>
              <w:rPr>
                <w:sz w:val="24"/>
              </w:rPr>
            </w:pPr>
            <w:r>
              <w:rPr>
                <w:sz w:val="24"/>
              </w:rPr>
              <w:t>批零交易、仓储、包装、烘干和城</w:t>
            </w:r>
          </w:p>
        </w:tc>
      </w:tr>
    </w:tbl>
    <w:p>
      <w:pPr>
        <w:spacing w:after="0"/>
        <w:rPr>
          <w:sz w:val="24"/>
        </w:rPr>
        <w:sectPr>
          <w:pgSz w:w="11910" w:h="16840"/>
          <w:pgMar w:header="0" w:footer="902" w:top="1460" w:bottom="1100" w:left="1240" w:right="1220"/>
        </w:sect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1"/>
        <w:gridCol w:w="2235"/>
        <w:gridCol w:w="1350"/>
        <w:gridCol w:w="3855"/>
      </w:tblGrid>
      <w:tr>
        <w:trPr>
          <w:trHeight w:val="1520" w:hRule="atLeast"/>
        </w:trPr>
        <w:tc>
          <w:tcPr>
            <w:tcW w:w="961" w:type="dxa"/>
          </w:tcPr>
          <w:p>
            <w:pPr>
              <w:pStyle w:val="TableParagraph"/>
              <w:rPr>
                <w:rFonts w:ascii="Times New Roman"/>
                <w:sz w:val="24"/>
              </w:rPr>
            </w:pPr>
          </w:p>
        </w:tc>
        <w:tc>
          <w:tcPr>
            <w:tcW w:w="2235" w:type="dxa"/>
          </w:tcPr>
          <w:p>
            <w:pPr>
              <w:pStyle w:val="TableParagraph"/>
              <w:spacing w:line="364" w:lineRule="auto" w:before="2"/>
              <w:ind w:left="106" w:right="97"/>
              <w:jc w:val="both"/>
              <w:rPr>
                <w:sz w:val="24"/>
              </w:rPr>
            </w:pPr>
            <w:r>
              <w:rPr>
                <w:sz w:val="24"/>
              </w:rPr>
              <w:t>散中心、亿都国际商贸城、国际农贸城为补充。</w:t>
            </w:r>
          </w:p>
        </w:tc>
        <w:tc>
          <w:tcPr>
            <w:tcW w:w="1350" w:type="dxa"/>
          </w:tcPr>
          <w:p>
            <w:pPr>
              <w:pStyle w:val="TableParagraph"/>
              <w:rPr>
                <w:rFonts w:ascii="Times New Roman"/>
                <w:sz w:val="24"/>
              </w:rPr>
            </w:pPr>
          </w:p>
        </w:tc>
        <w:tc>
          <w:tcPr>
            <w:tcW w:w="3855" w:type="dxa"/>
          </w:tcPr>
          <w:p>
            <w:pPr>
              <w:pStyle w:val="TableParagraph"/>
              <w:spacing w:line="362" w:lineRule="auto" w:before="2"/>
              <w:ind w:left="107" w:right="-29"/>
              <w:rPr>
                <w:sz w:val="24"/>
              </w:rPr>
            </w:pPr>
            <w:r>
              <w:rPr>
                <w:spacing w:val="-11"/>
                <w:sz w:val="24"/>
              </w:rPr>
              <w:t>乡配送为主，立足全州，辐射资源、</w:t>
            </w:r>
            <w:r>
              <w:rPr>
                <w:sz w:val="24"/>
              </w:rPr>
              <w:t>灌阳、兴安和桂湘交界地区。</w:t>
            </w:r>
          </w:p>
        </w:tc>
      </w:tr>
      <w:tr>
        <w:trPr>
          <w:trHeight w:val="3508" w:hRule="atLeast"/>
        </w:trPr>
        <w:tc>
          <w:tcPr>
            <w:tcW w:w="961" w:type="dxa"/>
          </w:tcPr>
          <w:p>
            <w:pPr>
              <w:pStyle w:val="TableParagraph"/>
              <w:rPr>
                <w:b/>
                <w:sz w:val="24"/>
              </w:rPr>
            </w:pPr>
          </w:p>
          <w:p>
            <w:pPr>
              <w:pStyle w:val="TableParagraph"/>
              <w:rPr>
                <w:b/>
                <w:sz w:val="24"/>
              </w:rPr>
            </w:pPr>
          </w:p>
          <w:p>
            <w:pPr>
              <w:pStyle w:val="TableParagraph"/>
              <w:rPr>
                <w:b/>
                <w:sz w:val="24"/>
              </w:rPr>
            </w:pPr>
          </w:p>
          <w:p>
            <w:pPr>
              <w:pStyle w:val="TableParagraph"/>
              <w:spacing w:before="7"/>
              <w:rPr>
                <w:b/>
                <w:sz w:val="28"/>
              </w:rPr>
            </w:pPr>
          </w:p>
          <w:p>
            <w:pPr>
              <w:pStyle w:val="TableParagraph"/>
              <w:spacing w:line="362" w:lineRule="auto"/>
              <w:ind w:left="107" w:right="97"/>
              <w:rPr>
                <w:sz w:val="24"/>
              </w:rPr>
            </w:pPr>
            <w:r>
              <w:rPr>
                <w:sz w:val="24"/>
              </w:rPr>
              <w:t>中部物流枢纽</w:t>
            </w:r>
          </w:p>
        </w:tc>
        <w:tc>
          <w:tcPr>
            <w:tcW w:w="2235" w:type="dxa"/>
          </w:tcPr>
          <w:p>
            <w:pPr>
              <w:pStyle w:val="TableParagraph"/>
              <w:spacing w:line="364" w:lineRule="auto" w:before="120"/>
              <w:ind w:left="106" w:right="95"/>
              <w:jc w:val="both"/>
              <w:rPr>
                <w:sz w:val="24"/>
              </w:rPr>
            </w:pPr>
            <w:r>
              <w:rPr>
                <w:spacing w:val="-5"/>
                <w:sz w:val="24"/>
              </w:rPr>
              <w:t>采用</w:t>
            </w:r>
            <w:r>
              <w:rPr>
                <w:sz w:val="24"/>
              </w:rPr>
              <w:t>“1+2</w:t>
            </w:r>
            <w:r>
              <w:rPr>
                <w:spacing w:val="-4"/>
                <w:sz w:val="24"/>
              </w:rPr>
              <w:t>”建设培</w:t>
            </w:r>
            <w:r>
              <w:rPr>
                <w:spacing w:val="9"/>
                <w:sz w:val="24"/>
              </w:rPr>
              <w:t>育模式，以桂林通达综合物流园为基础，以桂林中辰电商物流交易中心和桂林申通物流园为</w:t>
            </w:r>
            <w:r>
              <w:rPr>
                <w:sz w:val="24"/>
              </w:rPr>
              <w:t>补充。</w:t>
            </w:r>
          </w:p>
        </w:tc>
        <w:tc>
          <w:tcPr>
            <w:tcW w:w="1350" w:type="dxa"/>
          </w:tcPr>
          <w:p>
            <w:pPr>
              <w:pStyle w:val="TableParagraph"/>
              <w:rPr>
                <w:b/>
                <w:sz w:val="24"/>
              </w:rPr>
            </w:pPr>
          </w:p>
          <w:p>
            <w:pPr>
              <w:pStyle w:val="TableParagraph"/>
              <w:rPr>
                <w:b/>
                <w:sz w:val="24"/>
              </w:rPr>
            </w:pPr>
          </w:p>
          <w:p>
            <w:pPr>
              <w:pStyle w:val="TableParagraph"/>
              <w:spacing w:line="364" w:lineRule="auto" w:before="206"/>
              <w:ind w:left="108" w:right="29"/>
              <w:jc w:val="both"/>
              <w:rPr>
                <w:sz w:val="24"/>
              </w:rPr>
            </w:pPr>
            <w:r>
              <w:rPr>
                <w:sz w:val="24"/>
              </w:rPr>
              <w:t>临桂区西二环、榕山北路、岭塘东路之间。</w:t>
            </w:r>
          </w:p>
        </w:tc>
        <w:tc>
          <w:tcPr>
            <w:tcW w:w="3855" w:type="dxa"/>
          </w:tcPr>
          <w:p>
            <w:pPr>
              <w:pStyle w:val="TableParagraph"/>
              <w:rPr>
                <w:b/>
                <w:sz w:val="24"/>
              </w:rPr>
            </w:pPr>
          </w:p>
          <w:p>
            <w:pPr>
              <w:pStyle w:val="TableParagraph"/>
              <w:spacing w:before="11"/>
              <w:rPr>
                <w:b/>
                <w:sz w:val="21"/>
              </w:rPr>
            </w:pPr>
          </w:p>
          <w:p>
            <w:pPr>
              <w:pStyle w:val="TableParagraph"/>
              <w:spacing w:line="364" w:lineRule="auto"/>
              <w:ind w:left="107" w:right="97"/>
              <w:jc w:val="both"/>
              <w:rPr>
                <w:sz w:val="24"/>
              </w:rPr>
            </w:pPr>
            <w:r>
              <w:rPr>
                <w:sz w:val="24"/>
              </w:rPr>
              <w:t>以电商快递分拨、城市配送、产业物流等为重点，包括电子产品、药品、橡胶制品、农产品、日用品等货物物流，辐射临桂、永福、龙胜等区县和桂林市区。</w:t>
            </w:r>
          </w:p>
        </w:tc>
      </w:tr>
      <w:tr>
        <w:trPr>
          <w:trHeight w:val="3974" w:hRule="atLeast"/>
        </w:trPr>
        <w:tc>
          <w:tcPr>
            <w:tcW w:w="961" w:type="dxa"/>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10"/>
              <w:rPr>
                <w:b/>
                <w:sz w:val="22"/>
              </w:rPr>
            </w:pPr>
          </w:p>
          <w:p>
            <w:pPr>
              <w:pStyle w:val="TableParagraph"/>
              <w:spacing w:line="362" w:lineRule="auto"/>
              <w:ind w:left="107" w:right="97"/>
              <w:rPr>
                <w:sz w:val="24"/>
              </w:rPr>
            </w:pPr>
            <w:r>
              <w:rPr>
                <w:sz w:val="24"/>
              </w:rPr>
              <w:t>南部物流枢纽</w:t>
            </w:r>
          </w:p>
        </w:tc>
        <w:tc>
          <w:tcPr>
            <w:tcW w:w="2235" w:type="dxa"/>
          </w:tcPr>
          <w:p>
            <w:pPr>
              <w:pStyle w:val="TableParagraph"/>
              <w:rPr>
                <w:b/>
                <w:sz w:val="24"/>
              </w:rPr>
            </w:pPr>
          </w:p>
          <w:p>
            <w:pPr>
              <w:pStyle w:val="TableParagraph"/>
              <w:spacing w:before="9"/>
              <w:rPr>
                <w:b/>
                <w:sz w:val="21"/>
              </w:rPr>
            </w:pPr>
          </w:p>
          <w:p>
            <w:pPr>
              <w:pStyle w:val="TableParagraph"/>
              <w:spacing w:line="364" w:lineRule="auto"/>
              <w:ind w:left="106" w:right="95"/>
              <w:jc w:val="both"/>
              <w:rPr>
                <w:sz w:val="24"/>
              </w:rPr>
            </w:pPr>
            <w:r>
              <w:rPr>
                <w:spacing w:val="-5"/>
                <w:sz w:val="24"/>
              </w:rPr>
              <w:t>采用</w:t>
            </w:r>
            <w:r>
              <w:rPr>
                <w:sz w:val="24"/>
              </w:rPr>
              <w:t>“1+1</w:t>
            </w:r>
            <w:r>
              <w:rPr>
                <w:spacing w:val="-4"/>
                <w:sz w:val="24"/>
              </w:rPr>
              <w:t>”建设培</w:t>
            </w:r>
            <w:r>
              <w:rPr>
                <w:spacing w:val="9"/>
                <w:sz w:val="24"/>
              </w:rPr>
              <w:t>育模式，以平乐珠子洲物流园区为基础，以平乐电商物流总部经济园为补</w:t>
            </w:r>
            <w:r>
              <w:rPr>
                <w:sz w:val="24"/>
              </w:rPr>
              <w:t>充。</w:t>
            </w:r>
          </w:p>
        </w:tc>
        <w:tc>
          <w:tcPr>
            <w:tcW w:w="1350" w:type="dxa"/>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10"/>
              <w:rPr>
                <w:b/>
                <w:sz w:val="22"/>
              </w:rPr>
            </w:pPr>
          </w:p>
          <w:p>
            <w:pPr>
              <w:pStyle w:val="TableParagraph"/>
              <w:spacing w:line="362" w:lineRule="auto"/>
              <w:ind w:left="108" w:right="96"/>
              <w:rPr>
                <w:sz w:val="24"/>
              </w:rPr>
            </w:pPr>
            <w:r>
              <w:rPr>
                <w:sz w:val="24"/>
              </w:rPr>
              <w:t>平乐县平乐镇</w:t>
            </w:r>
          </w:p>
        </w:tc>
        <w:tc>
          <w:tcPr>
            <w:tcW w:w="3855" w:type="dxa"/>
          </w:tcPr>
          <w:p>
            <w:pPr>
              <w:pStyle w:val="TableParagraph"/>
              <w:spacing w:line="364" w:lineRule="auto" w:before="120"/>
              <w:ind w:left="107" w:right="-29"/>
              <w:rPr>
                <w:sz w:val="24"/>
              </w:rPr>
            </w:pPr>
            <w:r>
              <w:rPr>
                <w:sz w:val="24"/>
              </w:rPr>
              <w:t>兼顾生产性工业物流和生活性消费</w:t>
            </w:r>
            <w:r>
              <w:rPr>
                <w:spacing w:val="-11"/>
                <w:sz w:val="24"/>
              </w:rPr>
              <w:t>品物流。生产性物流以钢材、衣架、石材、水泥、农产品等货物的仓储、</w:t>
            </w:r>
            <w:r>
              <w:rPr>
                <w:sz w:val="24"/>
              </w:rPr>
              <w:t>配载、装卸等为主，生活性物流以服务农产品物流、电商快递、城乡配送、产品配载、包装、仓储等为主，立足平乐，衔接梧州，辐射荔浦、恭城、阳朔。</w:t>
            </w:r>
          </w:p>
        </w:tc>
      </w:tr>
    </w:tbl>
    <w:p>
      <w:pPr>
        <w:pStyle w:val="Heading1"/>
        <w:numPr>
          <w:ilvl w:val="0"/>
          <w:numId w:val="17"/>
        </w:numPr>
        <w:tabs>
          <w:tab w:pos="1523" w:val="left" w:leader="none"/>
        </w:tabs>
        <w:spacing w:line="240" w:lineRule="auto" w:before="120" w:after="0"/>
        <w:ind w:left="1522" w:right="0" w:hanging="323"/>
        <w:jc w:val="left"/>
        <w:rPr>
          <w:sz w:val="30"/>
        </w:rPr>
      </w:pPr>
      <w:bookmarkStart w:name="3.现代物流集聚中心布局" w:id="81"/>
      <w:bookmarkEnd w:id="81"/>
      <w:r>
        <w:rPr>
          <w:b w:val="0"/>
        </w:rPr>
      </w:r>
      <w:bookmarkStart w:name="_bookmark31" w:id="82"/>
      <w:bookmarkEnd w:id="82"/>
      <w:r>
        <w:rPr>
          <w:b w:val="0"/>
        </w:rPr>
      </w:r>
      <w:bookmarkStart w:name="_bookmark31" w:id="83"/>
      <w:bookmarkEnd w:id="83"/>
      <w:r>
        <w:rPr/>
        <w:t>现代物流集聚中心布局</w:t>
      </w:r>
    </w:p>
    <w:p>
      <w:pPr>
        <w:pStyle w:val="BodyText"/>
        <w:spacing w:before="1"/>
        <w:ind w:left="0"/>
        <w:rPr>
          <w:b/>
          <w:sz w:val="26"/>
        </w:rPr>
      </w:pPr>
    </w:p>
    <w:p>
      <w:pPr>
        <w:pStyle w:val="BodyText"/>
        <w:spacing w:line="364" w:lineRule="auto"/>
        <w:ind w:right="577" w:firstLine="640"/>
        <w:jc w:val="both"/>
      </w:pPr>
      <w:r>
        <w:rPr>
          <w:spacing w:val="-2"/>
        </w:rPr>
        <w:t>在象山区、桂林高新技术产业开发区</w:t>
      </w:r>
      <w:r>
        <w:rPr/>
        <w:t>（</w:t>
      </w:r>
      <w:r>
        <w:rPr>
          <w:spacing w:val="-1"/>
        </w:rPr>
        <w:t>含七星园、灵川</w:t>
      </w:r>
      <w:r>
        <w:rPr>
          <w:spacing w:val="-2"/>
          <w:w w:val="95"/>
        </w:rPr>
        <w:t>园、雁山园</w:t>
      </w:r>
      <w:r>
        <w:rPr>
          <w:spacing w:val="-3"/>
          <w:w w:val="95"/>
        </w:rPr>
        <w:t>）、桂林经济技术开发区、灵川县和荔浦市建设  </w:t>
      </w:r>
      <w:r>
        <w:rPr>
          <w:spacing w:val="-3"/>
        </w:rPr>
        <w:t>5</w:t>
      </w:r>
      <w:r>
        <w:rPr>
          <w:spacing w:val="-10"/>
        </w:rPr>
        <w:t> 个各具特色的现代物流集聚中心</w:t>
      </w:r>
      <w:r>
        <w:rPr/>
        <w:t>（</w:t>
      </w:r>
      <w:r>
        <w:rPr>
          <w:spacing w:val="-40"/>
        </w:rPr>
        <w:t>表 </w:t>
      </w:r>
      <w:r>
        <w:rPr/>
        <w:t>5）。</w:t>
      </w:r>
    </w:p>
    <w:p>
      <w:pPr>
        <w:spacing w:before="117"/>
        <w:ind w:left="2535" w:right="0" w:firstLine="0"/>
        <w:jc w:val="both"/>
        <w:rPr>
          <w:b/>
          <w:sz w:val="28"/>
        </w:rPr>
      </w:pPr>
      <w:r>
        <w:rPr>
          <w:b/>
          <w:spacing w:val="-37"/>
          <w:sz w:val="28"/>
        </w:rPr>
        <w:t>表 </w:t>
      </w:r>
      <w:r>
        <w:rPr>
          <w:b/>
          <w:sz w:val="28"/>
        </w:rPr>
        <w:t>5</w:t>
      </w:r>
      <w:r>
        <w:rPr>
          <w:b/>
          <w:spacing w:val="139"/>
          <w:sz w:val="28"/>
        </w:rPr>
        <w:t> </w:t>
      </w:r>
      <w:r>
        <w:rPr>
          <w:b/>
          <w:sz w:val="28"/>
        </w:rPr>
        <w:t>5</w:t>
      </w:r>
      <w:r>
        <w:rPr>
          <w:b/>
          <w:spacing w:val="-9"/>
          <w:sz w:val="28"/>
        </w:rPr>
        <w:t> 个现代物流集聚中心布局表</w:t>
      </w:r>
    </w:p>
    <w:p>
      <w:pPr>
        <w:pStyle w:val="BodyText"/>
        <w:spacing w:before="9"/>
        <w:ind w:left="0"/>
        <w:rPr>
          <w:b/>
          <w:sz w:val="23"/>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51"/>
        <w:gridCol w:w="6871"/>
      </w:tblGrid>
      <w:tr>
        <w:trPr>
          <w:trHeight w:val="707" w:hRule="atLeast"/>
        </w:trPr>
        <w:tc>
          <w:tcPr>
            <w:tcW w:w="1651" w:type="dxa"/>
          </w:tcPr>
          <w:p>
            <w:pPr>
              <w:pStyle w:val="TableParagraph"/>
              <w:spacing w:before="121"/>
              <w:ind w:left="85" w:right="76"/>
              <w:jc w:val="center"/>
              <w:rPr>
                <w:b/>
                <w:sz w:val="24"/>
              </w:rPr>
            </w:pPr>
            <w:r>
              <w:rPr>
                <w:b/>
                <w:sz w:val="24"/>
              </w:rPr>
              <w:t>名称</w:t>
            </w:r>
          </w:p>
        </w:tc>
        <w:tc>
          <w:tcPr>
            <w:tcW w:w="6871" w:type="dxa"/>
          </w:tcPr>
          <w:p>
            <w:pPr>
              <w:pStyle w:val="TableParagraph"/>
              <w:spacing w:before="121"/>
              <w:ind w:left="2693" w:right="2681"/>
              <w:jc w:val="center"/>
              <w:rPr>
                <w:b/>
                <w:sz w:val="24"/>
              </w:rPr>
            </w:pPr>
            <w:r>
              <w:rPr>
                <w:b/>
                <w:sz w:val="24"/>
              </w:rPr>
              <w:t>主要功能定位</w:t>
            </w:r>
          </w:p>
        </w:tc>
      </w:tr>
      <w:tr>
        <w:trPr>
          <w:trHeight w:val="585" w:hRule="atLeast"/>
        </w:trPr>
        <w:tc>
          <w:tcPr>
            <w:tcW w:w="1651" w:type="dxa"/>
          </w:tcPr>
          <w:p>
            <w:pPr>
              <w:pStyle w:val="TableParagraph"/>
              <w:spacing w:before="121"/>
              <w:ind w:left="85" w:right="76"/>
              <w:jc w:val="center"/>
              <w:rPr>
                <w:sz w:val="24"/>
              </w:rPr>
            </w:pPr>
            <w:r>
              <w:rPr>
                <w:sz w:val="24"/>
              </w:rPr>
              <w:t>象山 区物 流</w:t>
            </w:r>
          </w:p>
        </w:tc>
        <w:tc>
          <w:tcPr>
            <w:tcW w:w="6871" w:type="dxa"/>
          </w:tcPr>
          <w:p>
            <w:pPr>
              <w:pStyle w:val="TableParagraph"/>
              <w:spacing w:before="121"/>
              <w:ind w:left="587" w:right="-29"/>
              <w:rPr>
                <w:sz w:val="24"/>
              </w:rPr>
            </w:pPr>
            <w:r>
              <w:rPr>
                <w:spacing w:val="-11"/>
                <w:sz w:val="24"/>
              </w:rPr>
              <w:t>建设模式创新的商贸物流中心。着力打破传统模式，集仓储、</w:t>
            </w:r>
          </w:p>
        </w:tc>
      </w:tr>
    </w:tbl>
    <w:p>
      <w:pPr>
        <w:spacing w:after="0"/>
        <w:rPr>
          <w:sz w:val="24"/>
        </w:rPr>
        <w:sectPr>
          <w:pgSz w:w="11910" w:h="16840"/>
          <w:pgMar w:header="0" w:footer="902" w:top="1460" w:bottom="1180" w:left="1240" w:right="1220"/>
        </w:sect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51"/>
        <w:gridCol w:w="6871"/>
      </w:tblGrid>
      <w:tr>
        <w:trPr>
          <w:trHeight w:val="1987" w:hRule="atLeast"/>
        </w:trPr>
        <w:tc>
          <w:tcPr>
            <w:tcW w:w="1651" w:type="dxa"/>
          </w:tcPr>
          <w:p>
            <w:pPr>
              <w:pStyle w:val="TableParagraph"/>
              <w:spacing w:before="2"/>
              <w:ind w:left="107"/>
              <w:rPr>
                <w:sz w:val="24"/>
              </w:rPr>
            </w:pPr>
            <w:r>
              <w:rPr>
                <w:sz w:val="24"/>
              </w:rPr>
              <w:t>集聚中心</w:t>
            </w:r>
          </w:p>
        </w:tc>
        <w:tc>
          <w:tcPr>
            <w:tcW w:w="6871" w:type="dxa"/>
          </w:tcPr>
          <w:p>
            <w:pPr>
              <w:pStyle w:val="TableParagraph"/>
              <w:spacing w:line="364" w:lineRule="auto" w:before="2"/>
              <w:ind w:left="107" w:right="95"/>
              <w:jc w:val="both"/>
              <w:rPr>
                <w:sz w:val="24"/>
              </w:rPr>
            </w:pPr>
            <w:r>
              <w:rPr>
                <w:sz w:val="24"/>
              </w:rPr>
              <w:t>运输、配送、物流金融、互联网+、人才培养等多功能于一体， </w:t>
            </w:r>
            <w:r>
              <w:rPr>
                <w:spacing w:val="-6"/>
                <w:sz w:val="24"/>
              </w:rPr>
              <w:t>建设集聚服务钢贸产业集群、农资产业集群、特色旅游商品产业</w:t>
            </w:r>
            <w:r>
              <w:rPr>
                <w:spacing w:val="-8"/>
                <w:sz w:val="24"/>
              </w:rPr>
              <w:t>集群</w:t>
            </w:r>
            <w:r>
              <w:rPr>
                <w:sz w:val="24"/>
              </w:rPr>
              <w:t>（</w:t>
            </w:r>
            <w:r>
              <w:rPr>
                <w:spacing w:val="-5"/>
                <w:sz w:val="24"/>
              </w:rPr>
              <w:t>根雕、观赏石、旅游工艺品等</w:t>
            </w:r>
            <w:r>
              <w:rPr>
                <w:spacing w:val="-15"/>
                <w:sz w:val="24"/>
              </w:rPr>
              <w:t>）</w:t>
            </w:r>
            <w:r>
              <w:rPr>
                <w:spacing w:val="-4"/>
                <w:sz w:val="24"/>
              </w:rPr>
              <w:t>的商贸物流集聚区，探索</w:t>
            </w:r>
            <w:r>
              <w:rPr>
                <w:sz w:val="24"/>
              </w:rPr>
              <w:t>老城区商贸物流联动发展的创新模式。</w:t>
            </w:r>
          </w:p>
        </w:tc>
      </w:tr>
      <w:tr>
        <w:trPr>
          <w:trHeight w:val="3975" w:hRule="atLeast"/>
        </w:trPr>
        <w:tc>
          <w:tcPr>
            <w:tcW w:w="1651" w:type="dxa"/>
          </w:tcPr>
          <w:p>
            <w:pPr>
              <w:pStyle w:val="TableParagraph"/>
              <w:rPr>
                <w:b/>
                <w:sz w:val="24"/>
              </w:rPr>
            </w:pPr>
          </w:p>
          <w:p>
            <w:pPr>
              <w:pStyle w:val="TableParagraph"/>
              <w:rPr>
                <w:b/>
                <w:sz w:val="24"/>
              </w:rPr>
            </w:pPr>
          </w:p>
          <w:p>
            <w:pPr>
              <w:pStyle w:val="TableParagraph"/>
              <w:rPr>
                <w:b/>
                <w:sz w:val="24"/>
              </w:rPr>
            </w:pPr>
          </w:p>
          <w:p>
            <w:pPr>
              <w:pStyle w:val="TableParagraph"/>
              <w:spacing w:before="6"/>
              <w:rPr>
                <w:b/>
                <w:sz w:val="28"/>
              </w:rPr>
            </w:pPr>
          </w:p>
          <w:p>
            <w:pPr>
              <w:pStyle w:val="TableParagraph"/>
              <w:spacing w:line="364" w:lineRule="auto"/>
              <w:ind w:left="107" w:right="96"/>
              <w:jc w:val="both"/>
              <w:rPr>
                <w:sz w:val="24"/>
              </w:rPr>
            </w:pPr>
            <w:r>
              <w:rPr>
                <w:spacing w:val="-5"/>
                <w:sz w:val="24"/>
              </w:rPr>
              <w:t>桂林 高新 区物流 集聚 中</w:t>
            </w:r>
            <w:r>
              <w:rPr>
                <w:sz w:val="24"/>
              </w:rPr>
              <w:t>心</w:t>
            </w:r>
          </w:p>
        </w:tc>
        <w:tc>
          <w:tcPr>
            <w:tcW w:w="6871" w:type="dxa"/>
          </w:tcPr>
          <w:p>
            <w:pPr>
              <w:pStyle w:val="TableParagraph"/>
              <w:spacing w:line="364" w:lineRule="auto" w:before="121"/>
              <w:ind w:left="107" w:right="-29" w:firstLine="480"/>
              <w:rPr>
                <w:sz w:val="24"/>
              </w:rPr>
            </w:pPr>
            <w:r>
              <w:rPr>
                <w:spacing w:val="-4"/>
                <w:sz w:val="24"/>
              </w:rPr>
              <w:t>建设桂粤湘黔四省</w:t>
            </w:r>
            <w:r>
              <w:rPr>
                <w:spacing w:val="-3"/>
                <w:sz w:val="24"/>
              </w:rPr>
              <w:t>（</w:t>
            </w:r>
            <w:r>
              <w:rPr>
                <w:sz w:val="24"/>
              </w:rPr>
              <w:t>区</w:t>
            </w:r>
            <w:r>
              <w:rPr>
                <w:spacing w:val="-32"/>
                <w:sz w:val="24"/>
              </w:rPr>
              <w:t>）</w:t>
            </w:r>
            <w:r>
              <w:rPr>
                <w:sz w:val="24"/>
              </w:rPr>
              <w:t>区域性农产品商贸物流中心和第四</w:t>
            </w:r>
            <w:r>
              <w:rPr>
                <w:spacing w:val="-7"/>
                <w:sz w:val="24"/>
              </w:rPr>
              <w:t>方物流创新中心。以五里店果蔬批发市场、东站冷链物流园和大圩镇“南菜北运”试点项目为基础，发展“果蔬+”全链条一站</w:t>
            </w:r>
            <w:r>
              <w:rPr>
                <w:spacing w:val="-9"/>
                <w:sz w:val="24"/>
              </w:rPr>
              <w:t>式物流体系，打造桂粤湘黔四省</w:t>
            </w:r>
            <w:r>
              <w:rPr>
                <w:sz w:val="24"/>
              </w:rPr>
              <w:t>（区</w:t>
            </w:r>
            <w:r>
              <w:rPr>
                <w:spacing w:val="-22"/>
                <w:sz w:val="24"/>
              </w:rPr>
              <w:t>）</w:t>
            </w:r>
            <w:r>
              <w:rPr>
                <w:sz w:val="24"/>
              </w:rPr>
              <w:t>区域性农产品商贸物流中</w:t>
            </w:r>
            <w:r>
              <w:rPr>
                <w:spacing w:val="-8"/>
                <w:sz w:val="24"/>
              </w:rPr>
              <w:t>心；依托高新区科教人才优势，支持发展物流信息平台第四方服</w:t>
            </w:r>
            <w:r>
              <w:rPr>
                <w:spacing w:val="-9"/>
                <w:sz w:val="24"/>
              </w:rPr>
              <w:t>务，为工业园区中小企业和全市物流需求较大的工业行业提供解</w:t>
            </w:r>
            <w:r>
              <w:rPr>
                <w:spacing w:val="-16"/>
                <w:sz w:val="24"/>
              </w:rPr>
              <w:t>决方案；主动服务商贸服务业和制造业电子商务，大力促进邮政、快递与产业融合发展。</w:t>
            </w:r>
          </w:p>
        </w:tc>
      </w:tr>
      <w:tr>
        <w:trPr>
          <w:trHeight w:val="2574" w:hRule="atLeast"/>
        </w:trPr>
        <w:tc>
          <w:tcPr>
            <w:tcW w:w="1651" w:type="dxa"/>
          </w:tcPr>
          <w:p>
            <w:pPr>
              <w:pStyle w:val="TableParagraph"/>
              <w:rPr>
                <w:b/>
                <w:sz w:val="24"/>
              </w:rPr>
            </w:pPr>
          </w:p>
          <w:p>
            <w:pPr>
              <w:pStyle w:val="TableParagraph"/>
              <w:spacing w:before="11"/>
              <w:rPr>
                <w:b/>
                <w:sz w:val="21"/>
              </w:rPr>
            </w:pPr>
          </w:p>
          <w:p>
            <w:pPr>
              <w:pStyle w:val="TableParagraph"/>
              <w:spacing w:line="362" w:lineRule="auto"/>
              <w:ind w:left="107" w:right="96"/>
              <w:jc w:val="both"/>
              <w:rPr>
                <w:sz w:val="24"/>
              </w:rPr>
            </w:pPr>
            <w:r>
              <w:rPr>
                <w:spacing w:val="-5"/>
                <w:sz w:val="24"/>
              </w:rPr>
              <w:t>桂林 经开 区物流 集聚 中</w:t>
            </w:r>
            <w:r>
              <w:rPr>
                <w:sz w:val="24"/>
              </w:rPr>
              <w:t>心</w:t>
            </w:r>
          </w:p>
        </w:tc>
        <w:tc>
          <w:tcPr>
            <w:tcW w:w="6871" w:type="dxa"/>
          </w:tcPr>
          <w:p>
            <w:pPr>
              <w:pStyle w:val="TableParagraph"/>
              <w:spacing w:line="364" w:lineRule="auto" w:before="120"/>
              <w:ind w:left="107" w:right="-29" w:firstLine="480"/>
              <w:jc w:val="both"/>
              <w:rPr>
                <w:sz w:val="24"/>
              </w:rPr>
            </w:pPr>
            <w:r>
              <w:rPr>
                <w:sz w:val="24"/>
              </w:rPr>
              <w:t>以苏桥无水港、HUB仓、大溪河物流园、桂林空港物流园等</w:t>
            </w:r>
            <w:r>
              <w:rPr>
                <w:spacing w:val="-1"/>
                <w:sz w:val="24"/>
              </w:rPr>
              <w:t>一批经济技术开发区物流重大项目建设为抓手，依托</w:t>
            </w:r>
            <w:r>
              <w:rPr>
                <w:sz w:val="24"/>
              </w:rPr>
              <w:t>G72</w:t>
            </w:r>
            <w:r>
              <w:rPr>
                <w:spacing w:val="-16"/>
                <w:sz w:val="24"/>
              </w:rPr>
              <w:t> 桂柳高</w:t>
            </w:r>
            <w:r>
              <w:rPr>
                <w:spacing w:val="-15"/>
                <w:sz w:val="24"/>
              </w:rPr>
              <w:t>速公路苏桥出入口、大溪河铁路货运站以及桂林两江国际机场等</w:t>
            </w:r>
            <w:r>
              <w:rPr>
                <w:spacing w:val="-12"/>
                <w:sz w:val="24"/>
              </w:rPr>
              <w:t>关键节点，通过城市快速路连接，实现公路、航空、铁路联运高</w:t>
            </w:r>
            <w:r>
              <w:rPr>
                <w:spacing w:val="-16"/>
                <w:sz w:val="24"/>
              </w:rPr>
              <w:t>度结合，畅通关键物流通道，建设互联互通的现代物流集聚中心。</w:t>
            </w:r>
          </w:p>
        </w:tc>
      </w:tr>
      <w:tr>
        <w:trPr>
          <w:trHeight w:val="3975" w:hRule="atLeast"/>
        </w:trPr>
        <w:tc>
          <w:tcPr>
            <w:tcW w:w="1651" w:type="dxa"/>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8"/>
              <w:rPr>
                <w:b/>
                <w:sz w:val="22"/>
              </w:rPr>
            </w:pPr>
          </w:p>
          <w:p>
            <w:pPr>
              <w:pStyle w:val="TableParagraph"/>
              <w:spacing w:line="364" w:lineRule="auto"/>
              <w:ind w:left="107" w:right="55"/>
              <w:rPr>
                <w:sz w:val="24"/>
              </w:rPr>
            </w:pPr>
            <w:r>
              <w:rPr>
                <w:sz w:val="24"/>
              </w:rPr>
              <w:t>灵川 县物 流集聚中心</w:t>
            </w:r>
          </w:p>
        </w:tc>
        <w:tc>
          <w:tcPr>
            <w:tcW w:w="6871" w:type="dxa"/>
          </w:tcPr>
          <w:p>
            <w:pPr>
              <w:pStyle w:val="TableParagraph"/>
              <w:spacing w:line="364" w:lineRule="auto" w:before="120"/>
              <w:ind w:left="107" w:right="31" w:firstLine="480"/>
              <w:jc w:val="both"/>
              <w:rPr>
                <w:sz w:val="24"/>
              </w:rPr>
            </w:pPr>
            <w:r>
              <w:rPr>
                <w:spacing w:val="-5"/>
                <w:sz w:val="24"/>
              </w:rPr>
              <w:t>升级发展桂林城北商贸物流中心。依托灵川县优越的区位交</w:t>
            </w:r>
            <w:r>
              <w:rPr>
                <w:spacing w:val="-9"/>
                <w:sz w:val="24"/>
              </w:rPr>
              <w:t>通优势和良好的商贸物流基础，以升级发展为目标，建设桂林城</w:t>
            </w:r>
            <w:r>
              <w:rPr>
                <w:spacing w:val="-12"/>
                <w:sz w:val="24"/>
              </w:rPr>
              <w:t>北商贸物流中心。一是高起点高标准调整商贸物流网点节点布局</w:t>
            </w:r>
            <w:r>
              <w:rPr>
                <w:spacing w:val="-10"/>
                <w:sz w:val="24"/>
              </w:rPr>
              <w:t>规划，强化资源整合，进一步优化发展环境；二是着力培育、引</w:t>
            </w:r>
            <w:r>
              <w:rPr>
                <w:spacing w:val="-11"/>
                <w:sz w:val="24"/>
              </w:rPr>
              <w:t>进商贸物流龙头企业，布局建设一批重大项目，提高发展水平； </w:t>
            </w:r>
            <w:r>
              <w:rPr>
                <w:spacing w:val="-5"/>
                <w:sz w:val="24"/>
              </w:rPr>
              <w:t>三是重点支持专线物流、货物中转集配、仓储、增值加工，加强</w:t>
            </w:r>
            <w:r>
              <w:rPr>
                <w:spacing w:val="-9"/>
                <w:sz w:val="24"/>
              </w:rPr>
              <w:t>汽车、果蔬、铁合金、饲料、粮油等重点货物干线运输，强化商业配套。</w:t>
            </w:r>
          </w:p>
        </w:tc>
      </w:tr>
      <w:tr>
        <w:trPr>
          <w:trHeight w:val="1181" w:hRule="atLeast"/>
        </w:trPr>
        <w:tc>
          <w:tcPr>
            <w:tcW w:w="1651" w:type="dxa"/>
          </w:tcPr>
          <w:p>
            <w:pPr>
              <w:pStyle w:val="TableParagraph"/>
              <w:spacing w:line="362" w:lineRule="auto" w:before="122"/>
              <w:ind w:left="107" w:right="55"/>
              <w:rPr>
                <w:sz w:val="24"/>
              </w:rPr>
            </w:pPr>
            <w:r>
              <w:rPr>
                <w:sz w:val="24"/>
              </w:rPr>
              <w:t>荔浦 市物 流集聚中心</w:t>
            </w:r>
          </w:p>
        </w:tc>
        <w:tc>
          <w:tcPr>
            <w:tcW w:w="6871" w:type="dxa"/>
          </w:tcPr>
          <w:p>
            <w:pPr>
              <w:pStyle w:val="TableParagraph"/>
              <w:spacing w:line="362" w:lineRule="auto" w:before="179"/>
              <w:ind w:left="107" w:right="23" w:firstLine="480"/>
              <w:rPr>
                <w:sz w:val="24"/>
              </w:rPr>
            </w:pPr>
            <w:r>
              <w:rPr>
                <w:sz w:val="24"/>
              </w:rPr>
              <w:t>围绕打造“桂林南部重点城市”目标，以衣架产品物流、电商物流和果品物流等行业物流为重点，创新物流组织方式，积极</w:t>
            </w:r>
          </w:p>
        </w:tc>
      </w:tr>
    </w:tbl>
    <w:p>
      <w:pPr>
        <w:spacing w:after="0" w:line="362" w:lineRule="auto"/>
        <w:rPr>
          <w:sz w:val="24"/>
        </w:rPr>
        <w:sectPr>
          <w:pgSz w:w="11910" w:h="16840"/>
          <w:pgMar w:header="0" w:footer="902" w:top="1460" w:bottom="1100" w:left="1240" w:right="1220"/>
        </w:sect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51"/>
        <w:gridCol w:w="6871"/>
      </w:tblGrid>
      <w:tr>
        <w:trPr>
          <w:trHeight w:val="1053" w:hRule="atLeast"/>
        </w:trPr>
        <w:tc>
          <w:tcPr>
            <w:tcW w:w="1651" w:type="dxa"/>
          </w:tcPr>
          <w:p>
            <w:pPr>
              <w:pStyle w:val="TableParagraph"/>
              <w:rPr>
                <w:rFonts w:ascii="Times New Roman"/>
                <w:sz w:val="26"/>
              </w:rPr>
            </w:pPr>
          </w:p>
        </w:tc>
        <w:tc>
          <w:tcPr>
            <w:tcW w:w="6871" w:type="dxa"/>
          </w:tcPr>
          <w:p>
            <w:pPr>
              <w:pStyle w:val="TableParagraph"/>
              <w:spacing w:line="362" w:lineRule="auto" w:before="2"/>
              <w:ind w:left="107" w:right="24"/>
              <w:rPr>
                <w:sz w:val="24"/>
              </w:rPr>
            </w:pPr>
            <w:r>
              <w:rPr>
                <w:sz w:val="24"/>
              </w:rPr>
              <w:t>发展供应链物流和共同配送，建设产业物流组织创新中心，促进产业集群发展。</w:t>
            </w:r>
          </w:p>
        </w:tc>
      </w:tr>
    </w:tbl>
    <w:p>
      <w:pPr>
        <w:pStyle w:val="Heading1"/>
        <w:numPr>
          <w:ilvl w:val="0"/>
          <w:numId w:val="17"/>
        </w:numPr>
        <w:tabs>
          <w:tab w:pos="1523" w:val="left" w:leader="none"/>
        </w:tabs>
        <w:spacing w:line="240" w:lineRule="auto" w:before="122" w:after="0"/>
        <w:ind w:left="1522" w:right="0" w:hanging="323"/>
        <w:jc w:val="left"/>
        <w:rPr>
          <w:sz w:val="30"/>
        </w:rPr>
      </w:pPr>
      <w:bookmarkStart w:name="4.县域物流基地布局" w:id="84"/>
      <w:bookmarkEnd w:id="84"/>
      <w:r>
        <w:rPr>
          <w:b w:val="0"/>
        </w:rPr>
      </w:r>
      <w:bookmarkStart w:name="_bookmark32" w:id="85"/>
      <w:bookmarkEnd w:id="85"/>
      <w:r>
        <w:rPr>
          <w:b w:val="0"/>
        </w:rPr>
      </w:r>
      <w:bookmarkStart w:name="_bookmark32" w:id="86"/>
      <w:bookmarkEnd w:id="86"/>
      <w:r>
        <w:rPr>
          <w:w w:val="95"/>
        </w:rPr>
        <w:t>县域物流基地布局</w:t>
      </w:r>
    </w:p>
    <w:p>
      <w:pPr>
        <w:pStyle w:val="BodyText"/>
        <w:spacing w:before="11"/>
        <w:ind w:left="0"/>
        <w:rPr>
          <w:b/>
          <w:sz w:val="25"/>
        </w:rPr>
      </w:pPr>
    </w:p>
    <w:p>
      <w:pPr>
        <w:pStyle w:val="BodyText"/>
        <w:spacing w:line="364" w:lineRule="auto"/>
        <w:ind w:right="419" w:firstLine="640"/>
      </w:pPr>
      <w:r>
        <w:rPr/>
        <w:t>在各县域加快构建以各县城为中心的现代物流核心圈， </w:t>
      </w:r>
      <w:r>
        <w:rPr>
          <w:spacing w:val="-4"/>
        </w:rPr>
        <w:t>推动商流、物流、信息流、资金流联动发展，通过产业与物</w:t>
      </w:r>
      <w:r>
        <w:rPr>
          <w:spacing w:val="-6"/>
        </w:rPr>
        <w:t>流融合发展助力乡村振兴。根据各县域交通区位、产业基础</w:t>
      </w:r>
      <w:r>
        <w:rPr>
          <w:spacing w:val="-16"/>
          <w:w w:val="95"/>
        </w:rPr>
        <w:t>和资源禀赋，在秀峰区、叠彩区、阳朔县、兴安县、永福县、 </w:t>
      </w:r>
      <w:r>
        <w:rPr>
          <w:spacing w:val="-8"/>
        </w:rPr>
        <w:t>灌阳县、龙胜各族自治县、资源县、恭城瑶族自治县布局建</w:t>
      </w:r>
      <w:r>
        <w:rPr>
          <w:spacing w:val="-44"/>
        </w:rPr>
        <w:t>设 </w:t>
      </w:r>
      <w:r>
        <w:rPr/>
        <w:t>9</w:t>
      </w:r>
      <w:r>
        <w:rPr>
          <w:spacing w:val="-16"/>
        </w:rPr>
        <w:t> 个县域物流基地，详见下表 </w:t>
      </w:r>
      <w:r>
        <w:rPr/>
        <w:t>6。</w:t>
      </w:r>
    </w:p>
    <w:p>
      <w:pPr>
        <w:tabs>
          <w:tab w:pos="3588" w:val="left" w:leader="none"/>
        </w:tabs>
        <w:spacing w:before="117"/>
        <w:ind w:left="2816" w:right="0" w:firstLine="0"/>
        <w:jc w:val="left"/>
        <w:rPr>
          <w:b/>
          <w:sz w:val="28"/>
        </w:rPr>
      </w:pPr>
      <w:r>
        <w:rPr>
          <w:b/>
          <w:sz w:val="28"/>
        </w:rPr>
        <w:t>表</w:t>
      </w:r>
      <w:r>
        <w:rPr>
          <w:b/>
          <w:spacing w:val="-73"/>
          <w:sz w:val="28"/>
        </w:rPr>
        <w:t> </w:t>
      </w:r>
      <w:r>
        <w:rPr>
          <w:b/>
          <w:sz w:val="28"/>
        </w:rPr>
        <w:t>6</w:t>
        <w:tab/>
        <w:t>9</w:t>
      </w:r>
      <w:r>
        <w:rPr>
          <w:b/>
          <w:spacing w:val="-71"/>
          <w:sz w:val="28"/>
        </w:rPr>
        <w:t> </w:t>
      </w:r>
      <w:r>
        <w:rPr>
          <w:b/>
          <w:sz w:val="28"/>
        </w:rPr>
        <w:t>个县域物流基地布局表</w:t>
      </w:r>
    </w:p>
    <w:p>
      <w:pPr>
        <w:pStyle w:val="BodyText"/>
        <w:spacing w:before="8"/>
        <w:ind w:left="0"/>
        <w:rPr>
          <w:b/>
          <w:sz w:val="23"/>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81"/>
        <w:gridCol w:w="7441"/>
      </w:tblGrid>
      <w:tr>
        <w:trPr>
          <w:trHeight w:val="707" w:hRule="atLeast"/>
        </w:trPr>
        <w:tc>
          <w:tcPr>
            <w:tcW w:w="1081" w:type="dxa"/>
          </w:tcPr>
          <w:p>
            <w:pPr>
              <w:pStyle w:val="TableParagraph"/>
              <w:spacing w:before="122"/>
              <w:ind w:left="89" w:right="81"/>
              <w:jc w:val="center"/>
              <w:rPr>
                <w:b/>
                <w:sz w:val="24"/>
              </w:rPr>
            </w:pPr>
            <w:r>
              <w:rPr>
                <w:b/>
                <w:sz w:val="24"/>
              </w:rPr>
              <w:t>县区</w:t>
            </w:r>
          </w:p>
        </w:tc>
        <w:tc>
          <w:tcPr>
            <w:tcW w:w="7441" w:type="dxa"/>
          </w:tcPr>
          <w:p>
            <w:pPr>
              <w:pStyle w:val="TableParagraph"/>
              <w:spacing w:before="122"/>
              <w:ind w:left="2978" w:right="2967"/>
              <w:jc w:val="center"/>
              <w:rPr>
                <w:b/>
                <w:sz w:val="24"/>
              </w:rPr>
            </w:pPr>
            <w:r>
              <w:rPr>
                <w:b/>
                <w:sz w:val="24"/>
              </w:rPr>
              <w:t>主要功能定位</w:t>
            </w:r>
          </w:p>
        </w:tc>
      </w:tr>
      <w:tr>
        <w:trPr>
          <w:trHeight w:val="1640" w:hRule="atLeast"/>
        </w:trPr>
        <w:tc>
          <w:tcPr>
            <w:tcW w:w="1081" w:type="dxa"/>
          </w:tcPr>
          <w:p>
            <w:pPr>
              <w:pStyle w:val="TableParagraph"/>
              <w:rPr>
                <w:b/>
                <w:sz w:val="24"/>
              </w:rPr>
            </w:pPr>
          </w:p>
          <w:p>
            <w:pPr>
              <w:pStyle w:val="TableParagraph"/>
              <w:spacing w:before="9"/>
              <w:rPr>
                <w:b/>
                <w:sz w:val="21"/>
              </w:rPr>
            </w:pPr>
          </w:p>
          <w:p>
            <w:pPr>
              <w:pStyle w:val="TableParagraph"/>
              <w:ind w:left="89" w:right="222"/>
              <w:jc w:val="center"/>
              <w:rPr>
                <w:sz w:val="24"/>
              </w:rPr>
            </w:pPr>
            <w:r>
              <w:rPr>
                <w:sz w:val="24"/>
              </w:rPr>
              <w:t>秀峰区</w:t>
            </w:r>
          </w:p>
        </w:tc>
        <w:tc>
          <w:tcPr>
            <w:tcW w:w="7441" w:type="dxa"/>
          </w:tcPr>
          <w:p>
            <w:pPr>
              <w:pStyle w:val="TableParagraph"/>
              <w:spacing w:line="364" w:lineRule="auto" w:before="120"/>
              <w:ind w:left="106" w:right="95" w:firstLine="480"/>
              <w:jc w:val="both"/>
              <w:rPr>
                <w:sz w:val="24"/>
              </w:rPr>
            </w:pPr>
            <w:r>
              <w:rPr>
                <w:spacing w:val="-1"/>
                <w:sz w:val="24"/>
              </w:rPr>
              <w:t>围绕打造以东西巷为核心的老城商业中心和以万象城为核心的琴</w:t>
            </w:r>
            <w:r>
              <w:rPr>
                <w:spacing w:val="-10"/>
                <w:sz w:val="24"/>
              </w:rPr>
              <w:t>潭商业中心，积极发展城市共同配送、互联网+物流等业态，促进商贸</w:t>
            </w:r>
            <w:r>
              <w:rPr>
                <w:sz w:val="24"/>
              </w:rPr>
              <w:t>物流融合发展。</w:t>
            </w:r>
          </w:p>
        </w:tc>
      </w:tr>
      <w:tr>
        <w:trPr>
          <w:trHeight w:val="2107" w:hRule="atLeast"/>
        </w:trPr>
        <w:tc>
          <w:tcPr>
            <w:tcW w:w="1081" w:type="dxa"/>
          </w:tcPr>
          <w:p>
            <w:pPr>
              <w:pStyle w:val="TableParagraph"/>
              <w:rPr>
                <w:b/>
                <w:sz w:val="24"/>
              </w:rPr>
            </w:pPr>
          </w:p>
          <w:p>
            <w:pPr>
              <w:pStyle w:val="TableParagraph"/>
              <w:rPr>
                <w:b/>
                <w:sz w:val="24"/>
              </w:rPr>
            </w:pPr>
          </w:p>
          <w:p>
            <w:pPr>
              <w:pStyle w:val="TableParagraph"/>
              <w:spacing w:before="207"/>
              <w:ind w:left="89" w:right="222"/>
              <w:jc w:val="center"/>
              <w:rPr>
                <w:sz w:val="24"/>
              </w:rPr>
            </w:pPr>
            <w:r>
              <w:rPr>
                <w:sz w:val="24"/>
              </w:rPr>
              <w:t>叠彩区</w:t>
            </w:r>
          </w:p>
        </w:tc>
        <w:tc>
          <w:tcPr>
            <w:tcW w:w="7441" w:type="dxa"/>
          </w:tcPr>
          <w:p>
            <w:pPr>
              <w:pStyle w:val="TableParagraph"/>
              <w:spacing w:line="364" w:lineRule="auto" w:before="121"/>
              <w:ind w:left="106" w:right="-29" w:firstLine="480"/>
              <w:jc w:val="both"/>
              <w:rPr>
                <w:sz w:val="24"/>
              </w:rPr>
            </w:pPr>
            <w:r>
              <w:rPr>
                <w:spacing w:val="-13"/>
                <w:sz w:val="24"/>
              </w:rPr>
              <w:t>依托“南北相连、东西贯通、内外循环”立体交通网络和 </w:t>
            </w:r>
            <w:r>
              <w:rPr>
                <w:sz w:val="24"/>
              </w:rPr>
              <w:t>12</w:t>
            </w:r>
            <w:r>
              <w:rPr>
                <w:spacing w:val="-20"/>
                <w:sz w:val="24"/>
              </w:rPr>
              <w:t> 个专业批发市场优势，大力发展城乡配送、专线物流、零担物流和公铁联运物流，鼓励物流与商贸服务业融合发展，支持物流企业整合资源， </w:t>
            </w:r>
            <w:r>
              <w:rPr>
                <w:spacing w:val="-17"/>
                <w:sz w:val="24"/>
              </w:rPr>
              <w:t>创新发展流通加工、共同配送、物流金融、信息服务等新业态新模式。</w:t>
            </w:r>
          </w:p>
        </w:tc>
      </w:tr>
      <w:tr>
        <w:trPr>
          <w:trHeight w:val="2572" w:hRule="atLeast"/>
        </w:trPr>
        <w:tc>
          <w:tcPr>
            <w:tcW w:w="1081" w:type="dxa"/>
          </w:tcPr>
          <w:p>
            <w:pPr>
              <w:pStyle w:val="TableParagraph"/>
              <w:rPr>
                <w:b/>
                <w:sz w:val="24"/>
              </w:rPr>
            </w:pPr>
          </w:p>
          <w:p>
            <w:pPr>
              <w:pStyle w:val="TableParagraph"/>
              <w:rPr>
                <w:b/>
                <w:sz w:val="24"/>
              </w:rPr>
            </w:pPr>
          </w:p>
          <w:p>
            <w:pPr>
              <w:pStyle w:val="TableParagraph"/>
              <w:spacing w:before="3"/>
              <w:rPr>
                <w:b/>
                <w:sz w:val="34"/>
              </w:rPr>
            </w:pPr>
          </w:p>
          <w:p>
            <w:pPr>
              <w:pStyle w:val="TableParagraph"/>
              <w:ind w:left="89" w:right="222"/>
              <w:jc w:val="center"/>
              <w:rPr>
                <w:sz w:val="24"/>
              </w:rPr>
            </w:pPr>
            <w:r>
              <w:rPr>
                <w:sz w:val="24"/>
              </w:rPr>
              <w:t>阳朔县</w:t>
            </w:r>
          </w:p>
        </w:tc>
        <w:tc>
          <w:tcPr>
            <w:tcW w:w="7441" w:type="dxa"/>
          </w:tcPr>
          <w:p>
            <w:pPr>
              <w:pStyle w:val="TableParagraph"/>
              <w:spacing w:line="364" w:lineRule="auto" w:before="120"/>
              <w:ind w:left="106" w:right="98" w:firstLine="480"/>
              <w:jc w:val="both"/>
              <w:rPr>
                <w:sz w:val="24"/>
              </w:rPr>
            </w:pPr>
            <w:r>
              <w:rPr>
                <w:sz w:val="24"/>
              </w:rPr>
              <w:t>依托旅游和特色生态高效农业两大产业优势，推进旅游与电商快递物流深度融合；加强冷链物流体系建设，逐步实现县级冷链物流中心、乡镇大型农产品生产种植基地冷链全覆盖；转变观念，将物流纳入工业集中区整体规划，整合资源，支持建设综合物流园区；打造以城乡配送、电商快递物流为重点的县级物流基地。</w:t>
            </w:r>
          </w:p>
        </w:tc>
      </w:tr>
    </w:tbl>
    <w:p>
      <w:pPr>
        <w:spacing w:after="0" w:line="364" w:lineRule="auto"/>
        <w:jc w:val="both"/>
        <w:rPr>
          <w:sz w:val="24"/>
        </w:rPr>
        <w:sectPr>
          <w:pgSz w:w="11910" w:h="16840"/>
          <w:pgMar w:header="0" w:footer="902" w:top="1460" w:bottom="1100" w:left="1240" w:right="1220"/>
        </w:sect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81"/>
        <w:gridCol w:w="7441"/>
      </w:tblGrid>
      <w:tr>
        <w:trPr>
          <w:trHeight w:val="2573" w:hRule="atLeast"/>
        </w:trPr>
        <w:tc>
          <w:tcPr>
            <w:tcW w:w="1081" w:type="dxa"/>
          </w:tcPr>
          <w:p>
            <w:pPr>
              <w:pStyle w:val="TableParagraph"/>
              <w:rPr>
                <w:b/>
                <w:sz w:val="24"/>
              </w:rPr>
            </w:pPr>
          </w:p>
          <w:p>
            <w:pPr>
              <w:pStyle w:val="TableParagraph"/>
              <w:rPr>
                <w:b/>
                <w:sz w:val="24"/>
              </w:rPr>
            </w:pPr>
          </w:p>
          <w:p>
            <w:pPr>
              <w:pStyle w:val="TableParagraph"/>
              <w:spacing w:before="5"/>
              <w:rPr>
                <w:b/>
                <w:sz w:val="34"/>
              </w:rPr>
            </w:pPr>
          </w:p>
          <w:p>
            <w:pPr>
              <w:pStyle w:val="TableParagraph"/>
              <w:ind w:left="107"/>
              <w:rPr>
                <w:sz w:val="24"/>
              </w:rPr>
            </w:pPr>
            <w:r>
              <w:rPr>
                <w:sz w:val="24"/>
              </w:rPr>
              <w:t>兴安县</w:t>
            </w:r>
          </w:p>
        </w:tc>
        <w:tc>
          <w:tcPr>
            <w:tcW w:w="7441" w:type="dxa"/>
          </w:tcPr>
          <w:p>
            <w:pPr>
              <w:pStyle w:val="TableParagraph"/>
              <w:spacing w:line="364" w:lineRule="auto" w:before="122"/>
              <w:ind w:left="106" w:right="95" w:firstLine="480"/>
              <w:jc w:val="both"/>
              <w:rPr>
                <w:sz w:val="24"/>
              </w:rPr>
            </w:pPr>
            <w:r>
              <w:rPr>
                <w:sz w:val="24"/>
              </w:rPr>
              <w:t>依托兴安自治区A</w:t>
            </w:r>
            <w:r>
              <w:rPr>
                <w:spacing w:val="-11"/>
                <w:sz w:val="24"/>
              </w:rPr>
              <w:t>类工业集中区、桂林旅游次中心和卫星城、现代</w:t>
            </w:r>
            <w:r>
              <w:rPr>
                <w:sz w:val="24"/>
              </w:rPr>
              <w:t>特色农业核心示范区，发展工业品物流、农产品物流和旅游消费型物流、大宗建材（水泥等）物流；加强物流总体规划，整合物流资源， 完善政策配套，优化发展环境，布局建设农产品冷链物流、商贸物流和综合物流园区等项目，打造县级物流基地。</w:t>
            </w:r>
          </w:p>
        </w:tc>
      </w:tr>
      <w:tr>
        <w:trPr>
          <w:trHeight w:val="2575" w:hRule="atLeast"/>
        </w:trPr>
        <w:tc>
          <w:tcPr>
            <w:tcW w:w="1081" w:type="dxa"/>
          </w:tcPr>
          <w:p>
            <w:pPr>
              <w:pStyle w:val="TableParagraph"/>
              <w:rPr>
                <w:b/>
                <w:sz w:val="24"/>
              </w:rPr>
            </w:pPr>
          </w:p>
          <w:p>
            <w:pPr>
              <w:pStyle w:val="TableParagraph"/>
              <w:rPr>
                <w:b/>
                <w:sz w:val="24"/>
              </w:rPr>
            </w:pPr>
          </w:p>
          <w:p>
            <w:pPr>
              <w:pStyle w:val="TableParagraph"/>
              <w:spacing w:before="3"/>
              <w:rPr>
                <w:b/>
                <w:sz w:val="34"/>
              </w:rPr>
            </w:pPr>
          </w:p>
          <w:p>
            <w:pPr>
              <w:pStyle w:val="TableParagraph"/>
              <w:ind w:left="107"/>
              <w:rPr>
                <w:sz w:val="24"/>
              </w:rPr>
            </w:pPr>
            <w:r>
              <w:rPr>
                <w:sz w:val="24"/>
              </w:rPr>
              <w:t>永福县</w:t>
            </w:r>
          </w:p>
        </w:tc>
        <w:tc>
          <w:tcPr>
            <w:tcW w:w="7441" w:type="dxa"/>
          </w:tcPr>
          <w:p>
            <w:pPr>
              <w:pStyle w:val="TableParagraph"/>
              <w:spacing w:line="364" w:lineRule="auto" w:before="123"/>
              <w:ind w:left="106" w:right="-29" w:firstLine="480"/>
              <w:rPr>
                <w:sz w:val="24"/>
              </w:rPr>
            </w:pPr>
            <w:r>
              <w:rPr>
                <w:sz w:val="24"/>
              </w:rPr>
              <w:t>围绕罗汉果、沙糖桔、富硒米等特色优势农产品，依托电子商务</w:t>
            </w:r>
            <w:r>
              <w:rPr>
                <w:spacing w:val="-8"/>
                <w:sz w:val="24"/>
              </w:rPr>
              <w:t>进农村政策支持，加强物流总体规划，整合物流资源，完善政策配套， 优化发展环境，完善末端网点布局，积极发展物流信息服务、城乡配送和电商快递物流，建设集货物仓储、加工、集配、运输和信息服务的城乡三级物流网络，打造县级物流基地。</w:t>
            </w:r>
          </w:p>
        </w:tc>
      </w:tr>
      <w:tr>
        <w:trPr>
          <w:trHeight w:val="2106" w:hRule="atLeast"/>
        </w:trPr>
        <w:tc>
          <w:tcPr>
            <w:tcW w:w="1081" w:type="dxa"/>
          </w:tcPr>
          <w:p>
            <w:pPr>
              <w:pStyle w:val="TableParagraph"/>
              <w:rPr>
                <w:b/>
                <w:sz w:val="24"/>
              </w:rPr>
            </w:pPr>
          </w:p>
          <w:p>
            <w:pPr>
              <w:pStyle w:val="TableParagraph"/>
              <w:rPr>
                <w:b/>
                <w:sz w:val="24"/>
              </w:rPr>
            </w:pPr>
          </w:p>
          <w:p>
            <w:pPr>
              <w:pStyle w:val="TableParagraph"/>
              <w:spacing w:before="206"/>
              <w:ind w:left="107"/>
              <w:rPr>
                <w:sz w:val="24"/>
              </w:rPr>
            </w:pPr>
            <w:r>
              <w:rPr>
                <w:sz w:val="24"/>
              </w:rPr>
              <w:t>灌阳县</w:t>
            </w:r>
          </w:p>
        </w:tc>
        <w:tc>
          <w:tcPr>
            <w:tcW w:w="7441" w:type="dxa"/>
          </w:tcPr>
          <w:p>
            <w:pPr>
              <w:pStyle w:val="TableParagraph"/>
              <w:spacing w:line="364" w:lineRule="auto" w:before="120"/>
              <w:ind w:left="106" w:right="-29" w:firstLine="480"/>
              <w:rPr>
                <w:sz w:val="24"/>
              </w:rPr>
            </w:pPr>
            <w:r>
              <w:rPr>
                <w:spacing w:val="-6"/>
                <w:sz w:val="24"/>
              </w:rPr>
              <w:t>围绕县域工业园区和特色优势农业产业基地，加强物流总体规划， </w:t>
            </w:r>
            <w:r>
              <w:rPr>
                <w:sz w:val="24"/>
              </w:rPr>
              <w:t>整合物流资源，完善政策配套，优化发展环境，支持建设综合物流园区和区域电商快递分拨中心、仓配中心，完善末端网点布局，积极发展物流信息服务、城乡配送和电商快递物流，打造县级物流基地。</w:t>
            </w:r>
          </w:p>
        </w:tc>
      </w:tr>
      <w:tr>
        <w:trPr>
          <w:trHeight w:val="2575" w:hRule="atLeast"/>
        </w:trPr>
        <w:tc>
          <w:tcPr>
            <w:tcW w:w="1081" w:type="dxa"/>
          </w:tcPr>
          <w:p>
            <w:pPr>
              <w:pStyle w:val="TableParagraph"/>
              <w:rPr>
                <w:b/>
                <w:sz w:val="24"/>
              </w:rPr>
            </w:pPr>
          </w:p>
          <w:p>
            <w:pPr>
              <w:pStyle w:val="TableParagraph"/>
              <w:spacing w:before="11"/>
              <w:rPr>
                <w:b/>
                <w:sz w:val="21"/>
              </w:rPr>
            </w:pPr>
          </w:p>
          <w:p>
            <w:pPr>
              <w:pStyle w:val="TableParagraph"/>
              <w:spacing w:line="364" w:lineRule="auto"/>
              <w:ind w:left="107" w:right="97"/>
              <w:jc w:val="both"/>
              <w:rPr>
                <w:sz w:val="24"/>
              </w:rPr>
            </w:pPr>
            <w:r>
              <w:rPr>
                <w:spacing w:val="-23"/>
                <w:sz w:val="24"/>
              </w:rPr>
              <w:t>龙 胜 各族 自 治</w:t>
            </w:r>
            <w:r>
              <w:rPr>
                <w:sz w:val="24"/>
              </w:rPr>
              <w:t>县</w:t>
            </w:r>
          </w:p>
        </w:tc>
        <w:tc>
          <w:tcPr>
            <w:tcW w:w="7441" w:type="dxa"/>
          </w:tcPr>
          <w:p>
            <w:pPr>
              <w:pStyle w:val="TableParagraph"/>
              <w:spacing w:line="364" w:lineRule="auto" w:before="122"/>
              <w:ind w:left="106" w:right="-29" w:firstLine="480"/>
              <w:rPr>
                <w:sz w:val="24"/>
              </w:rPr>
            </w:pPr>
            <w:r>
              <w:rPr>
                <w:spacing w:val="-11"/>
                <w:sz w:val="24"/>
              </w:rPr>
              <w:t>依托大宗矿产品物流、优势特色农产品物流和旅游电商物流优势， </w:t>
            </w:r>
            <w:r>
              <w:rPr>
                <w:sz w:val="24"/>
              </w:rPr>
              <w:t>加强物流总体规划，整合物流资源，完善政策配套，优化发展环境， 布局建设农产品综合批发市场和综合物流园区等项目，完善末端网点布局，积极发展物流信息服务、城乡配送和旅游电商物流，打造县级物流基地。</w:t>
            </w:r>
          </w:p>
        </w:tc>
      </w:tr>
      <w:tr>
        <w:trPr>
          <w:trHeight w:val="2107" w:hRule="atLeast"/>
        </w:trPr>
        <w:tc>
          <w:tcPr>
            <w:tcW w:w="1081" w:type="dxa"/>
          </w:tcPr>
          <w:p>
            <w:pPr>
              <w:pStyle w:val="TableParagraph"/>
              <w:rPr>
                <w:b/>
                <w:sz w:val="24"/>
              </w:rPr>
            </w:pPr>
          </w:p>
          <w:p>
            <w:pPr>
              <w:pStyle w:val="TableParagraph"/>
              <w:rPr>
                <w:b/>
                <w:sz w:val="24"/>
              </w:rPr>
            </w:pPr>
          </w:p>
          <w:p>
            <w:pPr>
              <w:pStyle w:val="TableParagraph"/>
              <w:spacing w:before="205"/>
              <w:ind w:left="107"/>
              <w:rPr>
                <w:sz w:val="24"/>
              </w:rPr>
            </w:pPr>
            <w:r>
              <w:rPr>
                <w:sz w:val="24"/>
              </w:rPr>
              <w:t>资源县</w:t>
            </w:r>
          </w:p>
        </w:tc>
        <w:tc>
          <w:tcPr>
            <w:tcW w:w="7441" w:type="dxa"/>
          </w:tcPr>
          <w:p>
            <w:pPr>
              <w:pStyle w:val="TableParagraph"/>
              <w:spacing w:line="364" w:lineRule="auto" w:before="120"/>
              <w:ind w:left="106" w:right="98" w:firstLine="480"/>
              <w:jc w:val="both"/>
              <w:rPr>
                <w:sz w:val="24"/>
              </w:rPr>
            </w:pPr>
            <w:r>
              <w:rPr>
                <w:sz w:val="24"/>
              </w:rPr>
              <w:t>整合农产品加工、竹产品加工、矿产品深加工等工业物流，加强物流总体规划，整合物流资源，完善政策配套，优化发展环境，规划建设综合物流园区，辐射城乡商贸物流、特色优势农产品物流和旅游电商物流，完善末端网点布局，加快建设资源县级物流中心。</w:t>
            </w:r>
          </w:p>
        </w:tc>
      </w:tr>
      <w:tr>
        <w:trPr>
          <w:trHeight w:val="1649" w:hRule="atLeast"/>
        </w:trPr>
        <w:tc>
          <w:tcPr>
            <w:tcW w:w="1081" w:type="dxa"/>
          </w:tcPr>
          <w:p>
            <w:pPr>
              <w:pStyle w:val="TableParagraph"/>
              <w:spacing w:line="364" w:lineRule="auto" w:before="122"/>
              <w:ind w:left="107" w:right="97"/>
              <w:jc w:val="both"/>
              <w:rPr>
                <w:sz w:val="24"/>
              </w:rPr>
            </w:pPr>
            <w:r>
              <w:rPr>
                <w:spacing w:val="-23"/>
                <w:sz w:val="24"/>
              </w:rPr>
              <w:t>恭 城 瑶族 自 治</w:t>
            </w:r>
            <w:r>
              <w:rPr>
                <w:sz w:val="24"/>
              </w:rPr>
              <w:t>县</w:t>
            </w:r>
          </w:p>
        </w:tc>
        <w:tc>
          <w:tcPr>
            <w:tcW w:w="7441" w:type="dxa"/>
          </w:tcPr>
          <w:p>
            <w:pPr>
              <w:pStyle w:val="TableParagraph"/>
              <w:spacing w:line="362" w:lineRule="auto" w:before="182"/>
              <w:ind w:left="106" w:right="-29" w:firstLine="480"/>
              <w:jc w:val="both"/>
              <w:rPr>
                <w:sz w:val="24"/>
              </w:rPr>
            </w:pPr>
            <w:r>
              <w:rPr>
                <w:sz w:val="24"/>
              </w:rPr>
              <w:t>围绕恭城竹鼠、恭城月柿、恭城油茶、生态瓜果等特色优势农产品，依托电子商务进农村政策支持，加强物流总体规划，完善政策配</w:t>
            </w:r>
            <w:r>
              <w:rPr>
                <w:spacing w:val="-11"/>
                <w:sz w:val="24"/>
              </w:rPr>
              <w:t>套，优化发展环境，支持邮政等企业整合物流资源建设综合物流园区，</w:t>
            </w:r>
          </w:p>
        </w:tc>
      </w:tr>
    </w:tbl>
    <w:p>
      <w:pPr>
        <w:spacing w:after="0" w:line="362" w:lineRule="auto"/>
        <w:jc w:val="both"/>
        <w:rPr>
          <w:sz w:val="24"/>
        </w:rPr>
        <w:sectPr>
          <w:pgSz w:w="11910" w:h="16840"/>
          <w:pgMar w:header="0" w:footer="902" w:top="1460" w:bottom="1100" w:left="1240" w:right="1220"/>
        </w:sect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81"/>
        <w:gridCol w:w="7441"/>
      </w:tblGrid>
      <w:tr>
        <w:trPr>
          <w:trHeight w:val="1053" w:hRule="atLeast"/>
        </w:trPr>
        <w:tc>
          <w:tcPr>
            <w:tcW w:w="1081" w:type="dxa"/>
          </w:tcPr>
          <w:p>
            <w:pPr>
              <w:pStyle w:val="TableParagraph"/>
              <w:rPr>
                <w:rFonts w:ascii="Times New Roman"/>
                <w:sz w:val="30"/>
              </w:rPr>
            </w:pPr>
          </w:p>
        </w:tc>
        <w:tc>
          <w:tcPr>
            <w:tcW w:w="7441" w:type="dxa"/>
          </w:tcPr>
          <w:p>
            <w:pPr>
              <w:pStyle w:val="TableParagraph"/>
              <w:spacing w:line="362" w:lineRule="auto" w:before="2"/>
              <w:ind w:left="106" w:right="98"/>
              <w:rPr>
                <w:sz w:val="24"/>
              </w:rPr>
            </w:pPr>
            <w:r>
              <w:rPr>
                <w:sz w:val="24"/>
              </w:rPr>
              <w:t>完善末端网点布局，积极发展物流信息服务、城乡配送和电商快递物流，打造面向粤港澳、联通桂北、覆盖城乡的县级物流基地。</w:t>
            </w:r>
          </w:p>
        </w:tc>
      </w:tr>
    </w:tbl>
    <w:p>
      <w:pPr>
        <w:pStyle w:val="Heading1"/>
        <w:spacing w:before="122"/>
      </w:pPr>
      <w:bookmarkStart w:name="（二）物流通道布局" w:id="87"/>
      <w:bookmarkEnd w:id="87"/>
      <w:r>
        <w:rPr>
          <w:b w:val="0"/>
        </w:rPr>
      </w:r>
      <w:bookmarkStart w:name="_bookmark33" w:id="88"/>
      <w:bookmarkEnd w:id="88"/>
      <w:r>
        <w:rPr>
          <w:b w:val="0"/>
        </w:rPr>
      </w:r>
      <w:r>
        <w:rPr/>
        <w:t>（二）物流通道布局</w:t>
      </w:r>
    </w:p>
    <w:p>
      <w:pPr>
        <w:pStyle w:val="BodyText"/>
        <w:spacing w:before="11"/>
        <w:ind w:left="0"/>
        <w:rPr>
          <w:b/>
          <w:sz w:val="25"/>
        </w:rPr>
      </w:pPr>
    </w:p>
    <w:p>
      <w:pPr>
        <w:pStyle w:val="BodyText"/>
        <w:spacing w:line="364" w:lineRule="auto"/>
        <w:ind w:right="575" w:firstLine="640"/>
        <w:jc w:val="both"/>
      </w:pPr>
      <w:r>
        <w:rPr>
          <w:spacing w:val="-3"/>
        </w:rPr>
        <w:t>根据桂林商贸物流走向，在桂林与南宁、柳州、北部湾港口群、重庆、成都、长沙、武汉等国家物流枢纽间协同开</w:t>
      </w:r>
      <w:r>
        <w:rPr>
          <w:spacing w:val="-5"/>
        </w:rPr>
        <w:t>展规模化物流业务，建设高质量的干线物流通道网络。积极</w:t>
      </w:r>
      <w:r>
        <w:rPr>
          <w:spacing w:val="-7"/>
        </w:rPr>
        <w:t>参加陆海新通道枢纽间的铁路干线运输，优化运输组织，构</w:t>
      </w:r>
      <w:r>
        <w:rPr>
          <w:spacing w:val="-8"/>
        </w:rPr>
        <w:t>建便捷高效的铁路货运网络。完善进出物流枢纽的配套道路</w:t>
      </w:r>
      <w:r>
        <w:rPr>
          <w:spacing w:val="-6"/>
          <w:w w:val="95"/>
        </w:rPr>
        <w:t>设施建设，提高联运疏解效率。加强桂林市物流节点与北部 </w:t>
      </w:r>
      <w:r>
        <w:rPr>
          <w:spacing w:val="-5"/>
        </w:rPr>
        <w:t>湾港口群、广州港、深圳港和重庆、成都等枢纽合作，畅通</w:t>
      </w:r>
      <w:r>
        <w:rPr>
          <w:spacing w:val="-6"/>
        </w:rPr>
        <w:t>进出关通道，力争成为枢纽城市国际物流业务延伸的重要支</w:t>
      </w:r>
      <w:r>
        <w:rPr>
          <w:spacing w:val="-4"/>
        </w:rPr>
        <w:t>点。加强与中外运、中远海运、中外代、传化公路港等大型</w:t>
      </w:r>
      <w:r>
        <w:rPr>
          <w:spacing w:val="-6"/>
        </w:rPr>
        <w:t>物流企业的合作，争取他们在桂林落户或设立分支机构，建</w:t>
      </w:r>
      <w:r>
        <w:rPr>
          <w:spacing w:val="-7"/>
        </w:rPr>
        <w:t>设国际物流仓储设施，开展基于东融海向通道的国际物流业</w:t>
      </w:r>
      <w:r>
        <w:rPr/>
        <w:t>务。以公、铁为主导，推动“公、铁、空、水”</w:t>
      </w:r>
      <w:r>
        <w:rPr>
          <w:spacing w:val="2"/>
        </w:rPr>
        <w:t>4</w:t>
      </w:r>
      <w:r>
        <w:rPr>
          <w:spacing w:val="-15"/>
        </w:rPr>
        <w:t> 种运输方</w:t>
      </w:r>
      <w:r>
        <w:rPr>
          <w:spacing w:val="-9"/>
        </w:rPr>
        <w:t>式协调发展，综合交通网络“无缝衔接”，实现多式联运能力与水平快速提升。</w:t>
      </w:r>
    </w:p>
    <w:p>
      <w:pPr>
        <w:pStyle w:val="BodyText"/>
        <w:spacing w:before="110"/>
        <w:ind w:left="1200"/>
        <w:jc w:val="both"/>
      </w:pPr>
      <w:r>
        <w:rPr/>
        <w:t>桂林市物流骨干通道布局详见下表 7 和下图 5。</w:t>
      </w:r>
    </w:p>
    <w:p>
      <w:pPr>
        <w:pStyle w:val="BodyText"/>
        <w:ind w:left="0"/>
        <w:rPr>
          <w:sz w:val="26"/>
        </w:rPr>
      </w:pPr>
    </w:p>
    <w:p>
      <w:pPr>
        <w:tabs>
          <w:tab w:pos="3732" w:val="left" w:leader="none"/>
        </w:tabs>
        <w:spacing w:before="0"/>
        <w:ind w:left="2960" w:right="0" w:firstLine="0"/>
        <w:jc w:val="left"/>
        <w:rPr>
          <w:b/>
          <w:sz w:val="28"/>
        </w:rPr>
      </w:pPr>
      <w:r>
        <w:rPr>
          <w:b/>
          <w:sz w:val="28"/>
        </w:rPr>
        <w:t>表</w:t>
      </w:r>
      <w:r>
        <w:rPr>
          <w:b/>
          <w:spacing w:val="-71"/>
          <w:sz w:val="28"/>
        </w:rPr>
        <w:t> </w:t>
      </w:r>
      <w:r>
        <w:rPr>
          <w:b/>
          <w:sz w:val="28"/>
        </w:rPr>
        <w:t>7</w:t>
        <w:tab/>
        <w:t>桂林市骨干物流通道布局表</w:t>
      </w:r>
    </w:p>
    <w:p>
      <w:pPr>
        <w:pStyle w:val="BodyText"/>
        <w:spacing w:before="8"/>
        <w:ind w:left="0"/>
        <w:rPr>
          <w:b/>
          <w:sz w:val="23"/>
        </w:rPr>
      </w:pPr>
    </w:p>
    <w:tbl>
      <w:tblPr>
        <w:tblW w:w="0" w:type="auto"/>
        <w:jc w:val="left"/>
        <w:tblInd w:w="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57"/>
        <w:gridCol w:w="7121"/>
      </w:tblGrid>
      <w:tr>
        <w:trPr>
          <w:trHeight w:val="552" w:hRule="atLeast"/>
        </w:trPr>
        <w:tc>
          <w:tcPr>
            <w:tcW w:w="1257" w:type="dxa"/>
          </w:tcPr>
          <w:p>
            <w:pPr>
              <w:pStyle w:val="TableParagraph"/>
              <w:spacing w:before="121"/>
              <w:ind w:left="148"/>
              <w:rPr>
                <w:b/>
                <w:sz w:val="24"/>
              </w:rPr>
            </w:pPr>
            <w:r>
              <w:rPr>
                <w:b/>
                <w:sz w:val="24"/>
              </w:rPr>
              <w:t>通道方向</w:t>
            </w:r>
          </w:p>
        </w:tc>
        <w:tc>
          <w:tcPr>
            <w:tcW w:w="7121" w:type="dxa"/>
          </w:tcPr>
          <w:p>
            <w:pPr>
              <w:pStyle w:val="TableParagraph"/>
              <w:spacing w:before="121"/>
              <w:ind w:left="3058" w:right="3048"/>
              <w:jc w:val="center"/>
              <w:rPr>
                <w:b/>
                <w:sz w:val="24"/>
              </w:rPr>
            </w:pPr>
            <w:r>
              <w:rPr>
                <w:b/>
                <w:sz w:val="24"/>
              </w:rPr>
              <w:t>通道路径</w:t>
            </w:r>
          </w:p>
        </w:tc>
      </w:tr>
      <w:tr>
        <w:trPr>
          <w:trHeight w:val="930" w:hRule="atLeast"/>
        </w:trPr>
        <w:tc>
          <w:tcPr>
            <w:tcW w:w="1257" w:type="dxa"/>
          </w:tcPr>
          <w:p>
            <w:pPr>
              <w:pStyle w:val="TableParagraph"/>
              <w:spacing w:before="3"/>
              <w:rPr>
                <w:b/>
                <w:sz w:val="18"/>
              </w:rPr>
            </w:pPr>
          </w:p>
          <w:p>
            <w:pPr>
              <w:pStyle w:val="TableParagraph"/>
              <w:ind w:left="107"/>
              <w:rPr>
                <w:sz w:val="24"/>
              </w:rPr>
            </w:pPr>
            <w:r>
              <w:rPr>
                <w:sz w:val="24"/>
              </w:rPr>
              <w:t>南向通道</w:t>
            </w:r>
          </w:p>
        </w:tc>
        <w:tc>
          <w:tcPr>
            <w:tcW w:w="7121" w:type="dxa"/>
          </w:tcPr>
          <w:p>
            <w:pPr>
              <w:pStyle w:val="TableParagraph"/>
              <w:spacing w:before="1"/>
              <w:ind w:left="108" w:right="-29"/>
              <w:rPr>
                <w:sz w:val="24"/>
              </w:rPr>
            </w:pPr>
            <w:r>
              <w:rPr>
                <w:b/>
                <w:spacing w:val="-22"/>
                <w:sz w:val="24"/>
              </w:rPr>
              <w:t>通道 </w:t>
            </w:r>
            <w:r>
              <w:rPr>
                <w:b/>
                <w:spacing w:val="-15"/>
                <w:sz w:val="24"/>
              </w:rPr>
              <w:t>1：</w:t>
            </w:r>
            <w:r>
              <w:rPr>
                <w:spacing w:val="-8"/>
                <w:sz w:val="24"/>
              </w:rPr>
              <w:t>通过公路运输或公铁联运，至柳州、南宁、北部湾港口群；</w:t>
            </w:r>
          </w:p>
          <w:p>
            <w:pPr>
              <w:pStyle w:val="TableParagraph"/>
              <w:spacing w:before="158"/>
              <w:ind w:left="108"/>
              <w:rPr>
                <w:sz w:val="24"/>
              </w:rPr>
            </w:pPr>
            <w:r>
              <w:rPr>
                <w:sz w:val="24"/>
              </w:rPr>
              <w:t>或经湛江至海口。</w:t>
            </w:r>
          </w:p>
        </w:tc>
      </w:tr>
    </w:tbl>
    <w:p>
      <w:pPr>
        <w:spacing w:after="0"/>
        <w:rPr>
          <w:sz w:val="24"/>
        </w:rPr>
        <w:sectPr>
          <w:pgSz w:w="11910" w:h="16840"/>
          <w:pgMar w:header="0" w:footer="902" w:top="1460" w:bottom="1100" w:left="1240" w:right="1220"/>
        </w:sectPr>
      </w:pPr>
    </w:p>
    <w:tbl>
      <w:tblPr>
        <w:tblW w:w="0" w:type="auto"/>
        <w:jc w:val="left"/>
        <w:tblInd w:w="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57"/>
        <w:gridCol w:w="7121"/>
      </w:tblGrid>
      <w:tr>
        <w:trPr>
          <w:trHeight w:val="1400" w:hRule="atLeast"/>
        </w:trPr>
        <w:tc>
          <w:tcPr>
            <w:tcW w:w="1257" w:type="dxa"/>
          </w:tcPr>
          <w:p>
            <w:pPr>
              <w:pStyle w:val="TableParagraph"/>
              <w:rPr>
                <w:rFonts w:ascii="Times New Roman"/>
                <w:sz w:val="24"/>
              </w:rPr>
            </w:pPr>
          </w:p>
        </w:tc>
        <w:tc>
          <w:tcPr>
            <w:tcW w:w="7121" w:type="dxa"/>
          </w:tcPr>
          <w:p>
            <w:pPr>
              <w:pStyle w:val="TableParagraph"/>
              <w:spacing w:line="362" w:lineRule="auto" w:before="2"/>
              <w:ind w:left="108" w:right="28"/>
              <w:rPr>
                <w:sz w:val="24"/>
              </w:rPr>
            </w:pPr>
            <w:r>
              <w:rPr>
                <w:b/>
                <w:sz w:val="24"/>
              </w:rPr>
              <w:t>通道 2：</w:t>
            </w:r>
            <w:r>
              <w:rPr>
                <w:sz w:val="24"/>
              </w:rPr>
              <w:t>通过公水（洛清江）联运或水铁联运，经北部湾港口至越南、新加坡。</w:t>
            </w:r>
          </w:p>
          <w:p>
            <w:pPr>
              <w:pStyle w:val="TableParagraph"/>
              <w:spacing w:before="5"/>
              <w:ind w:left="108"/>
              <w:rPr>
                <w:sz w:val="24"/>
              </w:rPr>
            </w:pPr>
            <w:r>
              <w:rPr>
                <w:b/>
                <w:sz w:val="24"/>
              </w:rPr>
              <w:t>通道 3：</w:t>
            </w:r>
            <w:r>
              <w:rPr>
                <w:sz w:val="24"/>
              </w:rPr>
              <w:t>经规划的铁路口岸，通过铁路运输，直达越南。</w:t>
            </w:r>
          </w:p>
        </w:tc>
      </w:tr>
      <w:tr>
        <w:trPr>
          <w:trHeight w:val="4202" w:hRule="atLeast"/>
        </w:trPr>
        <w:tc>
          <w:tcPr>
            <w:tcW w:w="1257" w:type="dxa"/>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9"/>
              <w:rPr>
                <w:b/>
                <w:sz w:val="25"/>
              </w:rPr>
            </w:pPr>
          </w:p>
          <w:p>
            <w:pPr>
              <w:pStyle w:val="TableParagraph"/>
              <w:ind w:left="107"/>
              <w:rPr>
                <w:sz w:val="24"/>
              </w:rPr>
            </w:pPr>
            <w:r>
              <w:rPr>
                <w:sz w:val="24"/>
              </w:rPr>
              <w:t>北联通道</w:t>
            </w:r>
          </w:p>
        </w:tc>
        <w:tc>
          <w:tcPr>
            <w:tcW w:w="7121" w:type="dxa"/>
          </w:tcPr>
          <w:p>
            <w:pPr>
              <w:pStyle w:val="TableParagraph"/>
              <w:spacing w:line="364" w:lineRule="auto"/>
              <w:ind w:left="108" w:right="98"/>
              <w:jc w:val="both"/>
              <w:rPr>
                <w:sz w:val="24"/>
              </w:rPr>
            </w:pPr>
            <w:r>
              <w:rPr>
                <w:b/>
                <w:spacing w:val="-21"/>
                <w:sz w:val="24"/>
              </w:rPr>
              <w:t>通道 </w:t>
            </w:r>
            <w:r>
              <w:rPr>
                <w:b/>
                <w:sz w:val="24"/>
              </w:rPr>
              <w:t>4：</w:t>
            </w:r>
            <w:r>
              <w:rPr>
                <w:spacing w:val="-1"/>
                <w:sz w:val="24"/>
              </w:rPr>
              <w:t>通过公路运输，经国道或高速路网，经永州、长沙到达湖</w:t>
            </w:r>
            <w:r>
              <w:rPr>
                <w:sz w:val="24"/>
              </w:rPr>
              <w:t>南、湖北、河南、山东、新疆等地。</w:t>
            </w:r>
          </w:p>
          <w:p>
            <w:pPr>
              <w:pStyle w:val="TableParagraph"/>
              <w:spacing w:line="364" w:lineRule="auto"/>
              <w:ind w:left="108" w:right="98"/>
              <w:jc w:val="both"/>
              <w:rPr>
                <w:sz w:val="24"/>
              </w:rPr>
            </w:pPr>
            <w:r>
              <w:rPr>
                <w:b/>
                <w:spacing w:val="-21"/>
                <w:sz w:val="24"/>
              </w:rPr>
              <w:t>通道 </w:t>
            </w:r>
            <w:r>
              <w:rPr>
                <w:b/>
                <w:sz w:val="24"/>
              </w:rPr>
              <w:t>5：</w:t>
            </w:r>
            <w:r>
              <w:rPr>
                <w:spacing w:val="-1"/>
                <w:sz w:val="24"/>
              </w:rPr>
              <w:t>通过公路运输，经国道或高速路网，经郴州、赣州到达江</w:t>
            </w:r>
            <w:r>
              <w:rPr>
                <w:sz w:val="24"/>
              </w:rPr>
              <w:t>西、浙江、江苏、上海等地。</w:t>
            </w:r>
          </w:p>
          <w:p>
            <w:pPr>
              <w:pStyle w:val="TableParagraph"/>
              <w:spacing w:line="364" w:lineRule="auto"/>
              <w:ind w:left="108" w:right="95"/>
              <w:jc w:val="both"/>
              <w:rPr>
                <w:sz w:val="24"/>
              </w:rPr>
            </w:pPr>
            <w:r>
              <w:rPr>
                <w:b/>
                <w:spacing w:val="-21"/>
                <w:sz w:val="24"/>
              </w:rPr>
              <w:t>通道 </w:t>
            </w:r>
            <w:r>
              <w:rPr>
                <w:b/>
                <w:sz w:val="24"/>
              </w:rPr>
              <w:t>6：</w:t>
            </w:r>
            <w:r>
              <w:rPr>
                <w:spacing w:val="-1"/>
                <w:sz w:val="24"/>
              </w:rPr>
              <w:t>大宗物资、适箱物资、大件物资，通过铁路运输或公铁联</w:t>
            </w:r>
            <w:r>
              <w:rPr>
                <w:spacing w:val="-8"/>
                <w:sz w:val="24"/>
              </w:rPr>
              <w:t>运，经衡阳往北到达湖南、湖北、河南、山东等地；或经衡阳往东</w:t>
            </w:r>
            <w:r>
              <w:rPr>
                <w:sz w:val="24"/>
              </w:rPr>
              <w:t>到达江西、浙江、上海等地。</w:t>
            </w:r>
          </w:p>
          <w:p>
            <w:pPr>
              <w:pStyle w:val="TableParagraph"/>
              <w:spacing w:line="307" w:lineRule="exact"/>
              <w:ind w:left="108"/>
              <w:jc w:val="both"/>
              <w:rPr>
                <w:sz w:val="24"/>
              </w:rPr>
            </w:pPr>
            <w:r>
              <w:rPr>
                <w:b/>
                <w:sz w:val="24"/>
              </w:rPr>
              <w:t>通道 7：</w:t>
            </w:r>
            <w:r>
              <w:rPr>
                <w:sz w:val="24"/>
              </w:rPr>
              <w:t>通过高速铁路，经衡阳往北到达北京、郑州、武汉等地；</w:t>
            </w:r>
          </w:p>
          <w:p>
            <w:pPr>
              <w:pStyle w:val="TableParagraph"/>
              <w:spacing w:before="158"/>
              <w:ind w:left="108"/>
              <w:rPr>
                <w:sz w:val="24"/>
              </w:rPr>
            </w:pPr>
            <w:r>
              <w:rPr>
                <w:sz w:val="24"/>
              </w:rPr>
              <w:t>或经衡阳往东到达杭州、上海等地。</w:t>
            </w:r>
          </w:p>
        </w:tc>
      </w:tr>
      <w:tr>
        <w:trPr>
          <w:trHeight w:val="4200" w:hRule="atLeast"/>
        </w:trPr>
        <w:tc>
          <w:tcPr>
            <w:tcW w:w="1257" w:type="dxa"/>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9"/>
              <w:rPr>
                <w:b/>
                <w:sz w:val="25"/>
              </w:rPr>
            </w:pPr>
          </w:p>
          <w:p>
            <w:pPr>
              <w:pStyle w:val="TableParagraph"/>
              <w:ind w:left="107"/>
              <w:rPr>
                <w:sz w:val="24"/>
              </w:rPr>
            </w:pPr>
            <w:r>
              <w:rPr>
                <w:sz w:val="24"/>
              </w:rPr>
              <w:t>东融通道</w:t>
            </w:r>
          </w:p>
        </w:tc>
        <w:tc>
          <w:tcPr>
            <w:tcW w:w="7121" w:type="dxa"/>
          </w:tcPr>
          <w:p>
            <w:pPr>
              <w:pStyle w:val="TableParagraph"/>
              <w:spacing w:line="364" w:lineRule="auto"/>
              <w:ind w:left="108" w:right="98"/>
              <w:jc w:val="both"/>
              <w:rPr>
                <w:sz w:val="24"/>
              </w:rPr>
            </w:pPr>
            <w:r>
              <w:rPr>
                <w:b/>
                <w:spacing w:val="-21"/>
                <w:sz w:val="24"/>
              </w:rPr>
              <w:t>通道 </w:t>
            </w:r>
            <w:r>
              <w:rPr>
                <w:b/>
                <w:sz w:val="24"/>
              </w:rPr>
              <w:t>8：</w:t>
            </w:r>
            <w:r>
              <w:rPr>
                <w:spacing w:val="-1"/>
                <w:sz w:val="24"/>
              </w:rPr>
              <w:t>通过公路运输，至梧州、广州、深圳、香港，或再经海运</w:t>
            </w:r>
            <w:r>
              <w:rPr>
                <w:sz w:val="24"/>
              </w:rPr>
              <w:t>至东南亚、欧美日韩澳等地。</w:t>
            </w:r>
          </w:p>
          <w:p>
            <w:pPr>
              <w:pStyle w:val="TableParagraph"/>
              <w:spacing w:line="364" w:lineRule="auto"/>
              <w:ind w:left="108" w:right="98"/>
              <w:jc w:val="both"/>
              <w:rPr>
                <w:sz w:val="24"/>
              </w:rPr>
            </w:pPr>
            <w:r>
              <w:rPr>
                <w:b/>
                <w:spacing w:val="-21"/>
                <w:sz w:val="24"/>
              </w:rPr>
              <w:t>通道 </w:t>
            </w:r>
            <w:r>
              <w:rPr>
                <w:b/>
                <w:sz w:val="24"/>
              </w:rPr>
              <w:t>9：</w:t>
            </w:r>
            <w:r>
              <w:rPr>
                <w:spacing w:val="-1"/>
                <w:sz w:val="24"/>
              </w:rPr>
              <w:t>通过公水联运，经柳州至广州、深圳、香港，或再经海运</w:t>
            </w:r>
            <w:r>
              <w:rPr>
                <w:sz w:val="24"/>
              </w:rPr>
              <w:t>至东南亚、欧美日韩澳等地。</w:t>
            </w:r>
          </w:p>
          <w:p>
            <w:pPr>
              <w:pStyle w:val="TableParagraph"/>
              <w:spacing w:line="364" w:lineRule="auto"/>
              <w:ind w:left="108" w:right="95"/>
              <w:jc w:val="both"/>
              <w:rPr>
                <w:sz w:val="24"/>
              </w:rPr>
            </w:pPr>
            <w:r>
              <w:rPr>
                <w:b/>
                <w:spacing w:val="-22"/>
                <w:sz w:val="24"/>
              </w:rPr>
              <w:t>通道 </w:t>
            </w:r>
            <w:r>
              <w:rPr>
                <w:b/>
                <w:spacing w:val="-5"/>
                <w:sz w:val="24"/>
              </w:rPr>
              <w:t>10：</w:t>
            </w:r>
            <w:r>
              <w:rPr>
                <w:spacing w:val="-7"/>
                <w:sz w:val="24"/>
              </w:rPr>
              <w:t>大宗、适箱及大件物资，经公水</w:t>
            </w:r>
            <w:r>
              <w:rPr>
                <w:sz w:val="24"/>
              </w:rPr>
              <w:t>（</w:t>
            </w:r>
            <w:r>
              <w:rPr>
                <w:spacing w:val="-4"/>
                <w:sz w:val="24"/>
              </w:rPr>
              <w:t>桂江、西江</w:t>
            </w:r>
            <w:r>
              <w:rPr>
                <w:spacing w:val="-17"/>
                <w:sz w:val="24"/>
              </w:rPr>
              <w:t>）</w:t>
            </w:r>
            <w:r>
              <w:rPr>
                <w:spacing w:val="-9"/>
                <w:sz w:val="24"/>
              </w:rPr>
              <w:t>联运，经</w:t>
            </w:r>
            <w:r>
              <w:rPr>
                <w:spacing w:val="-7"/>
                <w:sz w:val="24"/>
              </w:rPr>
              <w:t>平乐县或梧州市，至广州、深圳、香港，或再经海运至东南亚、欧</w:t>
            </w:r>
            <w:r>
              <w:rPr>
                <w:sz w:val="24"/>
              </w:rPr>
              <w:t>美日韩澳等地。</w:t>
            </w:r>
          </w:p>
          <w:p>
            <w:pPr>
              <w:pStyle w:val="TableParagraph"/>
              <w:spacing w:line="307" w:lineRule="exact"/>
              <w:ind w:left="108"/>
              <w:jc w:val="both"/>
              <w:rPr>
                <w:sz w:val="24"/>
              </w:rPr>
            </w:pPr>
            <w:r>
              <w:rPr>
                <w:b/>
                <w:spacing w:val="-20"/>
                <w:sz w:val="24"/>
              </w:rPr>
              <w:t>通道 11：</w:t>
            </w:r>
            <w:r>
              <w:rPr>
                <w:spacing w:val="-17"/>
                <w:sz w:val="24"/>
              </w:rPr>
              <w:t>通过贵广高铁，直达广州、深圳，或者经规划的铁路口岸，</w:t>
            </w:r>
          </w:p>
          <w:p>
            <w:pPr>
              <w:pStyle w:val="TableParagraph"/>
              <w:spacing w:before="158"/>
              <w:ind w:left="108"/>
              <w:rPr>
                <w:sz w:val="24"/>
              </w:rPr>
            </w:pPr>
            <w:r>
              <w:rPr>
                <w:sz w:val="24"/>
              </w:rPr>
              <w:t>直达香港。</w:t>
            </w:r>
          </w:p>
        </w:tc>
      </w:tr>
      <w:tr>
        <w:trPr>
          <w:trHeight w:val="2335" w:hRule="atLeast"/>
        </w:trPr>
        <w:tc>
          <w:tcPr>
            <w:tcW w:w="1257" w:type="dxa"/>
          </w:tcPr>
          <w:p>
            <w:pPr>
              <w:pStyle w:val="TableParagraph"/>
              <w:rPr>
                <w:b/>
                <w:sz w:val="24"/>
              </w:rPr>
            </w:pPr>
          </w:p>
          <w:p>
            <w:pPr>
              <w:pStyle w:val="TableParagraph"/>
              <w:rPr>
                <w:b/>
                <w:sz w:val="24"/>
              </w:rPr>
            </w:pPr>
          </w:p>
          <w:p>
            <w:pPr>
              <w:pStyle w:val="TableParagraph"/>
              <w:spacing w:before="12"/>
              <w:rPr>
                <w:b/>
                <w:sz w:val="24"/>
              </w:rPr>
            </w:pPr>
          </w:p>
          <w:p>
            <w:pPr>
              <w:pStyle w:val="TableParagraph"/>
              <w:ind w:left="107"/>
              <w:rPr>
                <w:sz w:val="24"/>
              </w:rPr>
            </w:pPr>
            <w:r>
              <w:rPr>
                <w:sz w:val="24"/>
              </w:rPr>
              <w:t>西合通道</w:t>
            </w:r>
          </w:p>
        </w:tc>
        <w:tc>
          <w:tcPr>
            <w:tcW w:w="7121" w:type="dxa"/>
          </w:tcPr>
          <w:p>
            <w:pPr>
              <w:pStyle w:val="TableParagraph"/>
              <w:spacing w:line="364" w:lineRule="auto" w:before="1"/>
              <w:ind w:left="108" w:right="-29"/>
              <w:rPr>
                <w:sz w:val="24"/>
              </w:rPr>
            </w:pPr>
            <w:r>
              <w:rPr>
                <w:b/>
                <w:spacing w:val="-21"/>
                <w:sz w:val="24"/>
              </w:rPr>
              <w:t>通道 </w:t>
            </w:r>
            <w:r>
              <w:rPr>
                <w:b/>
                <w:spacing w:val="-20"/>
                <w:sz w:val="24"/>
              </w:rPr>
              <w:t>12：</w:t>
            </w:r>
            <w:r>
              <w:rPr>
                <w:spacing w:val="-11"/>
                <w:sz w:val="24"/>
              </w:rPr>
              <w:t>通过高速公路网或国道公路运输，经都匀、贵阳，至贵州、</w:t>
            </w:r>
            <w:r>
              <w:rPr>
                <w:sz w:val="24"/>
              </w:rPr>
              <w:t>云南等地。</w:t>
            </w:r>
          </w:p>
          <w:p>
            <w:pPr>
              <w:pStyle w:val="TableParagraph"/>
              <w:spacing w:line="306" w:lineRule="exact"/>
              <w:ind w:left="108"/>
              <w:rPr>
                <w:sz w:val="24"/>
              </w:rPr>
            </w:pPr>
            <w:r>
              <w:rPr>
                <w:b/>
                <w:sz w:val="24"/>
              </w:rPr>
              <w:t>通道 13：</w:t>
            </w:r>
            <w:r>
              <w:rPr>
                <w:sz w:val="24"/>
              </w:rPr>
              <w:t>通过公铁联运或铁路运输，经怀化至重庆、四川等地。</w:t>
            </w:r>
          </w:p>
          <w:p>
            <w:pPr>
              <w:pStyle w:val="TableParagraph"/>
              <w:spacing w:line="460" w:lineRule="atLeast" w:before="8"/>
              <w:ind w:left="108" w:right="93"/>
              <w:rPr>
                <w:sz w:val="24"/>
              </w:rPr>
            </w:pPr>
            <w:r>
              <w:rPr>
                <w:b/>
                <w:spacing w:val="-20"/>
                <w:sz w:val="24"/>
              </w:rPr>
              <w:t>通道 </w:t>
            </w:r>
            <w:r>
              <w:rPr>
                <w:b/>
                <w:spacing w:val="-8"/>
                <w:sz w:val="24"/>
              </w:rPr>
              <w:t>14：</w:t>
            </w:r>
            <w:r>
              <w:rPr>
                <w:spacing w:val="-9"/>
                <w:sz w:val="24"/>
              </w:rPr>
              <w:t>经规划的铁路口岸，通过铁路运输，至重庆、成都，并无</w:t>
            </w:r>
            <w:r>
              <w:rPr>
                <w:sz w:val="24"/>
              </w:rPr>
              <w:t>缝联接中欧班列。</w:t>
            </w:r>
          </w:p>
        </w:tc>
      </w:tr>
      <w:tr>
        <w:trPr>
          <w:trHeight w:val="1400" w:hRule="atLeast"/>
        </w:trPr>
        <w:tc>
          <w:tcPr>
            <w:tcW w:w="1257" w:type="dxa"/>
          </w:tcPr>
          <w:p>
            <w:pPr>
              <w:pStyle w:val="TableParagraph"/>
              <w:rPr>
                <w:b/>
                <w:sz w:val="24"/>
              </w:rPr>
            </w:pPr>
          </w:p>
          <w:p>
            <w:pPr>
              <w:pStyle w:val="TableParagraph"/>
              <w:spacing w:before="159"/>
              <w:ind w:left="107"/>
              <w:rPr>
                <w:sz w:val="24"/>
              </w:rPr>
            </w:pPr>
            <w:r>
              <w:rPr>
                <w:sz w:val="24"/>
              </w:rPr>
              <w:t>航空通道</w:t>
            </w:r>
          </w:p>
        </w:tc>
        <w:tc>
          <w:tcPr>
            <w:tcW w:w="7121" w:type="dxa"/>
          </w:tcPr>
          <w:p>
            <w:pPr>
              <w:pStyle w:val="TableParagraph"/>
              <w:spacing w:line="362" w:lineRule="auto"/>
              <w:ind w:left="108" w:right="91"/>
              <w:rPr>
                <w:sz w:val="24"/>
              </w:rPr>
            </w:pPr>
            <w:r>
              <w:rPr>
                <w:b/>
                <w:spacing w:val="-20"/>
                <w:sz w:val="24"/>
              </w:rPr>
              <w:t>通道 15</w:t>
            </w:r>
            <w:r>
              <w:rPr>
                <w:spacing w:val="-9"/>
                <w:sz w:val="24"/>
              </w:rPr>
              <w:t>：发挥桂林国际及地区航线航班多舱位空余等优势，积极组</w:t>
            </w:r>
            <w:r>
              <w:rPr>
                <w:spacing w:val="-8"/>
                <w:sz w:val="24"/>
              </w:rPr>
              <w:t>织适航货源，将桂林至香港、首尔、雅加达、新加坡、吉隆坡、济</w:t>
            </w:r>
          </w:p>
          <w:p>
            <w:pPr>
              <w:pStyle w:val="TableParagraph"/>
              <w:spacing w:before="5"/>
              <w:ind w:left="108"/>
              <w:rPr>
                <w:sz w:val="24"/>
              </w:rPr>
            </w:pPr>
            <w:r>
              <w:rPr>
                <w:sz w:val="24"/>
              </w:rPr>
              <w:t>州、芽庄、釜山、大邱等航线打造成为区域性空中物流大通道。</w:t>
            </w:r>
          </w:p>
        </w:tc>
      </w:tr>
    </w:tbl>
    <w:p>
      <w:pPr>
        <w:spacing w:after="0"/>
        <w:rPr>
          <w:sz w:val="24"/>
        </w:rPr>
        <w:sectPr>
          <w:pgSz w:w="11910" w:h="16840"/>
          <w:pgMar w:header="0" w:footer="902" w:top="1460" w:bottom="1100" w:left="1240" w:right="1220"/>
        </w:sectPr>
      </w:pPr>
    </w:p>
    <w:p>
      <w:pPr>
        <w:pStyle w:val="BodyText"/>
        <w:rPr>
          <w:sz w:val="20"/>
        </w:rPr>
      </w:pPr>
      <w:r>
        <w:rPr>
          <w:sz w:val="20"/>
        </w:rPr>
        <w:drawing>
          <wp:inline distT="0" distB="0" distL="0" distR="0">
            <wp:extent cx="5323924" cy="6357651"/>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14" cstate="print"/>
                    <a:stretch>
                      <a:fillRect/>
                    </a:stretch>
                  </pic:blipFill>
                  <pic:spPr>
                    <a:xfrm>
                      <a:off x="0" y="0"/>
                      <a:ext cx="5323924" cy="6357651"/>
                    </a:xfrm>
                    <a:prstGeom prst="rect">
                      <a:avLst/>
                    </a:prstGeom>
                  </pic:spPr>
                </pic:pic>
              </a:graphicData>
            </a:graphic>
          </wp:inline>
        </w:drawing>
      </w:r>
      <w:r>
        <w:rPr>
          <w:sz w:val="20"/>
        </w:rPr>
      </w:r>
    </w:p>
    <w:p>
      <w:pPr>
        <w:pStyle w:val="BodyText"/>
        <w:spacing w:before="7"/>
        <w:ind w:left="0"/>
        <w:rPr>
          <w:b/>
          <w:sz w:val="21"/>
        </w:rPr>
      </w:pPr>
    </w:p>
    <w:p>
      <w:pPr>
        <w:spacing w:before="62"/>
        <w:ind w:left="559" w:right="17" w:firstLine="0"/>
        <w:jc w:val="center"/>
        <w:rPr>
          <w:b/>
          <w:sz w:val="28"/>
        </w:rPr>
      </w:pPr>
      <w:r>
        <w:rPr>
          <w:b/>
          <w:sz w:val="28"/>
        </w:rPr>
        <w:t>图 5 桂林市物流骨干通道布局示意图</w:t>
      </w:r>
    </w:p>
    <w:p>
      <w:pPr>
        <w:pStyle w:val="BodyText"/>
        <w:spacing w:before="12"/>
        <w:ind w:left="0"/>
        <w:rPr>
          <w:b/>
          <w:sz w:val="23"/>
        </w:rPr>
      </w:pPr>
    </w:p>
    <w:p>
      <w:pPr>
        <w:pStyle w:val="Heading1"/>
        <w:spacing w:before="0"/>
      </w:pPr>
      <w:bookmarkStart w:name="（三）城乡三级物流网络布局" w:id="89"/>
      <w:bookmarkEnd w:id="89"/>
      <w:r>
        <w:rPr>
          <w:b w:val="0"/>
        </w:rPr>
      </w:r>
      <w:bookmarkStart w:name="_bookmark34" w:id="90"/>
      <w:bookmarkEnd w:id="90"/>
      <w:r>
        <w:rPr>
          <w:b w:val="0"/>
        </w:rPr>
      </w:r>
      <w:r>
        <w:rPr/>
        <w:t>（三）城乡三级物流网络布局</w:t>
      </w:r>
    </w:p>
    <w:p>
      <w:pPr>
        <w:pStyle w:val="BodyText"/>
        <w:spacing w:before="11"/>
        <w:ind w:left="0"/>
        <w:rPr>
          <w:b/>
          <w:sz w:val="25"/>
        </w:rPr>
      </w:pPr>
    </w:p>
    <w:p>
      <w:pPr>
        <w:pStyle w:val="BodyText"/>
        <w:spacing w:line="364" w:lineRule="auto"/>
        <w:ind w:right="580" w:firstLine="640"/>
        <w:jc w:val="both"/>
      </w:pPr>
      <w:r>
        <w:rPr>
          <w:spacing w:val="-3"/>
        </w:rPr>
        <w:t>以物流园区、货运站、电商快递分拨或仓配站点等为基</w:t>
      </w:r>
      <w:r>
        <w:rPr>
          <w:spacing w:val="-4"/>
          <w:w w:val="95"/>
        </w:rPr>
        <w:t>础，整合资源，布局建设县域物流核心圈；以商贸物流中心 </w:t>
      </w:r>
      <w:r>
        <w:rPr>
          <w:spacing w:val="-5"/>
        </w:rPr>
        <w:t>镇、工业集中区或农业产业化基地为依托，在每个县域择优</w:t>
      </w:r>
    </w:p>
    <w:p>
      <w:pPr>
        <w:spacing w:after="0" w:line="364" w:lineRule="auto"/>
        <w:jc w:val="both"/>
        <w:sectPr>
          <w:pgSz w:w="11910" w:h="16840"/>
          <w:pgMar w:header="0" w:footer="902" w:top="1460" w:bottom="1100" w:left="1240" w:right="1220"/>
        </w:sectPr>
      </w:pPr>
    </w:p>
    <w:p>
      <w:pPr>
        <w:pStyle w:val="BodyText"/>
        <w:spacing w:line="364" w:lineRule="auto" w:before="43"/>
        <w:ind w:right="565"/>
        <w:jc w:val="both"/>
      </w:pPr>
      <w:r>
        <w:rPr>
          <w:spacing w:val="-29"/>
        </w:rPr>
        <w:t>建设 </w:t>
      </w:r>
      <w:r>
        <w:rPr/>
        <w:t>1-3</w:t>
      </w:r>
      <w:r>
        <w:rPr>
          <w:spacing w:val="-11"/>
        </w:rPr>
        <w:t> 个县域物流配送中心；以乡镇集贸市场和建制村生产生活用品营销点为基础，建设末端服务节点，构建“物流</w:t>
      </w:r>
      <w:r>
        <w:rPr>
          <w:spacing w:val="-11"/>
          <w:w w:val="95"/>
        </w:rPr>
        <w:t>园区(中心)-配送中心-终端节点”县域三级物流服务体系。</w:t>
      </w:r>
    </w:p>
    <w:p>
      <w:pPr>
        <w:pStyle w:val="BodyText"/>
        <w:spacing w:line="364" w:lineRule="auto" w:before="115"/>
        <w:ind w:right="577" w:firstLine="640"/>
        <w:jc w:val="both"/>
      </w:pPr>
      <w:r>
        <w:rPr>
          <w:spacing w:val="-2"/>
          <w:w w:val="95"/>
        </w:rPr>
        <w:t>以城乡公交一体化、快递下乡资源为主体，邮政资源为 </w:t>
      </w:r>
      <w:r>
        <w:rPr>
          <w:spacing w:val="-5"/>
        </w:rPr>
        <w:t>辅助，供销社资源为补充，物流信息化服务为媒介，通过政府引导、政策支持、资源整合等强化多网融合，构建县域城乡物流服务体系。</w:t>
      </w:r>
    </w:p>
    <w:p>
      <w:pPr>
        <w:pStyle w:val="BodyText"/>
        <w:spacing w:before="118"/>
        <w:ind w:left="1200"/>
        <w:rPr>
          <w:rFonts w:ascii="黑体" w:eastAsia="黑体" w:hint="eastAsia"/>
        </w:rPr>
      </w:pPr>
      <w:bookmarkStart w:name="四、主要任务" w:id="91"/>
      <w:bookmarkEnd w:id="91"/>
      <w:r>
        <w:rPr/>
      </w:r>
      <w:bookmarkStart w:name="_bookmark35" w:id="92"/>
      <w:bookmarkEnd w:id="92"/>
      <w:r>
        <w:rPr/>
      </w:r>
      <w:r>
        <w:rPr>
          <w:rFonts w:ascii="黑体" w:eastAsia="黑体" w:hint="eastAsia"/>
          <w:w w:val="95"/>
        </w:rPr>
        <w:t>四、主要任务</w:t>
      </w:r>
    </w:p>
    <w:p>
      <w:pPr>
        <w:pStyle w:val="BodyText"/>
        <w:spacing w:before="1"/>
        <w:ind w:left="0"/>
        <w:rPr>
          <w:rFonts w:ascii="黑体"/>
          <w:sz w:val="26"/>
        </w:rPr>
      </w:pPr>
    </w:p>
    <w:p>
      <w:pPr>
        <w:pStyle w:val="Heading1"/>
        <w:spacing w:line="434" w:lineRule="auto" w:before="0"/>
        <w:ind w:right="3748"/>
      </w:pPr>
      <w:bookmarkStart w:name="（一）建设和培育国家物流枢纽" w:id="93"/>
      <w:bookmarkEnd w:id="93"/>
      <w:r>
        <w:rPr>
          <w:b w:val="0"/>
        </w:rPr>
      </w:r>
      <w:bookmarkStart w:name="_bookmark36" w:id="94"/>
      <w:bookmarkEnd w:id="94"/>
      <w:r>
        <w:rPr>
          <w:b w:val="0"/>
        </w:rPr>
      </w:r>
      <w:r>
        <w:rPr/>
        <w:t>（一）建设和培育国家物流枢纽</w:t>
      </w:r>
      <w:bookmarkStart w:name="1.培育协同高效的运营主体" w:id="95"/>
      <w:bookmarkEnd w:id="95"/>
      <w:r>
        <w:rPr/>
      </w:r>
      <w:bookmarkStart w:name="_bookmark37" w:id="96"/>
      <w:bookmarkEnd w:id="96"/>
      <w:r>
        <w:rPr/>
      </w:r>
      <w:r>
        <w:rPr/>
        <w:t>1.培育协同高效的运营主体</w:t>
      </w:r>
    </w:p>
    <w:p>
      <w:pPr>
        <w:pStyle w:val="BodyText"/>
        <w:spacing w:line="364" w:lineRule="auto"/>
        <w:ind w:right="419" w:firstLine="640"/>
      </w:pPr>
      <w:r>
        <w:rPr>
          <w:spacing w:val="-1"/>
        </w:rPr>
        <w:t>支持桂林市交通投资控股集团有限公司、广西宁铁物资</w:t>
      </w:r>
      <w:r>
        <w:rPr>
          <w:spacing w:val="-3"/>
        </w:rPr>
        <w:t>工业有限公司、广西北港集团桂林北港物流园建设开发有限</w:t>
      </w:r>
      <w:r>
        <w:rPr>
          <w:spacing w:val="-5"/>
        </w:rPr>
        <w:t>公司、桂林万禾农产品有限公司、广西桂物储运集团桂林有限公司等企业通过战略联盟、资本合作、设施联通、功能联合、平台对接、资源共享等市场化方式打造优势互补、业务协同、利益一致的合作共同体，共同推进桂林国家物流枢纽</w:t>
      </w:r>
      <w:r>
        <w:rPr>
          <w:spacing w:val="-6"/>
        </w:rPr>
        <w:t>设施建设和统筹运营管理，推动物流设施集约整合，增强枢纽平台支撑能力，加快多式联运发展，打造高效专业的物流</w:t>
      </w:r>
      <w:r>
        <w:rPr>
          <w:spacing w:val="-16"/>
          <w:w w:val="95"/>
        </w:rPr>
        <w:t>服务网络，加强新技术、新装备创新应用，发展物流新业态、 </w:t>
      </w:r>
      <w:r>
        <w:rPr>
          <w:spacing w:val="-16"/>
        </w:rPr>
        <w:t>新模式，打造特色鲜明的枢纽经济。</w:t>
      </w:r>
    </w:p>
    <w:p>
      <w:pPr>
        <w:spacing w:after="0" w:line="364" w:lineRule="auto"/>
        <w:sectPr>
          <w:pgSz w:w="11910" w:h="16840"/>
          <w:pgMar w:header="0" w:footer="902" w:top="1420" w:bottom="1180" w:left="1240" w:right="1220"/>
        </w:sectPr>
      </w:pPr>
    </w:p>
    <w:p>
      <w:pPr>
        <w:pStyle w:val="Heading1"/>
        <w:numPr>
          <w:ilvl w:val="0"/>
          <w:numId w:val="20"/>
        </w:numPr>
        <w:tabs>
          <w:tab w:pos="1523" w:val="left" w:leader="none"/>
        </w:tabs>
        <w:spacing w:line="240" w:lineRule="auto" w:before="43" w:after="0"/>
        <w:ind w:left="1522" w:right="0" w:hanging="323"/>
        <w:jc w:val="left"/>
        <w:rPr>
          <w:sz w:val="30"/>
        </w:rPr>
      </w:pPr>
      <w:bookmarkStart w:name="2.推动物流设施集约整合 " w:id="97"/>
      <w:bookmarkEnd w:id="97"/>
      <w:r>
        <w:rPr>
          <w:b w:val="0"/>
        </w:rPr>
      </w:r>
      <w:bookmarkStart w:name="_bookmark38" w:id="98"/>
      <w:bookmarkEnd w:id="98"/>
      <w:r>
        <w:rPr>
          <w:b w:val="0"/>
        </w:rPr>
      </w:r>
      <w:bookmarkStart w:name="_bookmark38" w:id="99"/>
      <w:bookmarkEnd w:id="99"/>
      <w:r>
        <w:rPr/>
        <w:t>推动物流设施集约整合</w:t>
      </w:r>
    </w:p>
    <w:p>
      <w:pPr>
        <w:pStyle w:val="BodyText"/>
        <w:spacing w:before="11"/>
        <w:ind w:left="0"/>
        <w:rPr>
          <w:b/>
          <w:sz w:val="25"/>
        </w:rPr>
      </w:pPr>
    </w:p>
    <w:p>
      <w:pPr>
        <w:pStyle w:val="BodyText"/>
        <w:spacing w:line="364" w:lineRule="auto"/>
        <w:ind w:right="577" w:firstLine="640"/>
        <w:jc w:val="both"/>
      </w:pPr>
      <w:r>
        <w:rPr>
          <w:spacing w:val="-2"/>
          <w:w w:val="95"/>
        </w:rPr>
        <w:t>支持国家物流枢纽集中承接第三方物流、电子商务、邮 </w:t>
      </w:r>
      <w:r>
        <w:rPr>
          <w:spacing w:val="-4"/>
          <w:w w:val="95"/>
        </w:rPr>
        <w:t>政、快递等物流服务的区域分拨和仓储功能，减少物流设施 </w:t>
      </w:r>
      <w:r>
        <w:rPr>
          <w:spacing w:val="-6"/>
        </w:rPr>
        <w:t>无效低效供给，促进土地等资源集约利用，提升设施综合利用效率。</w:t>
      </w:r>
    </w:p>
    <w:p>
      <w:pPr>
        <w:pStyle w:val="Heading1"/>
        <w:numPr>
          <w:ilvl w:val="0"/>
          <w:numId w:val="20"/>
        </w:numPr>
        <w:tabs>
          <w:tab w:pos="1443" w:val="left" w:leader="none"/>
        </w:tabs>
        <w:spacing w:line="240" w:lineRule="auto" w:before="116" w:after="0"/>
        <w:ind w:left="1442" w:right="0" w:hanging="243"/>
        <w:jc w:val="left"/>
        <w:rPr>
          <w:rFonts w:ascii="Times New Roman" w:eastAsia="Times New Roman"/>
          <w:sz w:val="30"/>
        </w:rPr>
      </w:pPr>
      <w:bookmarkStart w:name="3.加快建设推动物流资源交易平台" w:id="100"/>
      <w:bookmarkEnd w:id="100"/>
      <w:r>
        <w:rPr>
          <w:b w:val="0"/>
        </w:rPr>
      </w:r>
      <w:bookmarkStart w:name="_bookmark39" w:id="101"/>
      <w:bookmarkEnd w:id="101"/>
      <w:r>
        <w:rPr>
          <w:b w:val="0"/>
        </w:rPr>
      </w:r>
      <w:bookmarkStart w:name="_bookmark39" w:id="102"/>
      <w:bookmarkEnd w:id="102"/>
      <w:r>
        <w:rPr/>
        <w:t>加快建设推动物流资源交易平台</w:t>
      </w:r>
    </w:p>
    <w:p>
      <w:pPr>
        <w:pStyle w:val="BodyText"/>
        <w:spacing w:before="1"/>
        <w:ind w:left="0"/>
        <w:rPr>
          <w:b/>
          <w:sz w:val="26"/>
        </w:rPr>
      </w:pPr>
    </w:p>
    <w:p>
      <w:pPr>
        <w:pStyle w:val="BodyText"/>
        <w:spacing w:line="364" w:lineRule="auto"/>
        <w:ind w:right="580" w:firstLine="640"/>
        <w:jc w:val="both"/>
      </w:pPr>
      <w:r>
        <w:rPr>
          <w:spacing w:val="-3"/>
        </w:rPr>
        <w:t>建设物流资源要素交易平台，开展挂车等运输工具、集</w:t>
      </w:r>
      <w:r>
        <w:rPr>
          <w:spacing w:val="-5"/>
        </w:rPr>
        <w:t>装箱、托盘等标准化器具及叉车、正面吊等装卸搬运设备的</w:t>
      </w:r>
      <w:r>
        <w:rPr>
          <w:spacing w:val="-3"/>
        </w:rPr>
        <w:t>租赁交易，在制度设计和交易服务等方面加强探索创新，允许交易平台开展水运、航空货运、陆运等运力资源和仓储资</w:t>
      </w:r>
      <w:r>
        <w:rPr/>
        <w:t>源交易，提高物流资源市场化配置效率和循环共用水平。</w:t>
      </w:r>
    </w:p>
    <w:p>
      <w:pPr>
        <w:pStyle w:val="Heading1"/>
        <w:numPr>
          <w:ilvl w:val="0"/>
          <w:numId w:val="20"/>
        </w:numPr>
        <w:tabs>
          <w:tab w:pos="1523" w:val="left" w:leader="none"/>
        </w:tabs>
        <w:spacing w:line="240" w:lineRule="auto" w:before="114" w:after="0"/>
        <w:ind w:left="1522" w:right="0" w:hanging="323"/>
        <w:jc w:val="left"/>
        <w:rPr>
          <w:sz w:val="30"/>
        </w:rPr>
      </w:pPr>
      <w:bookmarkStart w:name="4.促进国家物流枢纽军民融合发展" w:id="103"/>
      <w:bookmarkEnd w:id="103"/>
      <w:r>
        <w:rPr>
          <w:b w:val="0"/>
        </w:rPr>
      </w:r>
      <w:bookmarkStart w:name="_bookmark40" w:id="104"/>
      <w:bookmarkEnd w:id="104"/>
      <w:r>
        <w:rPr>
          <w:b w:val="0"/>
        </w:rPr>
      </w:r>
      <w:bookmarkStart w:name="_bookmark40" w:id="105"/>
      <w:bookmarkEnd w:id="105"/>
      <w:r>
        <w:rPr/>
        <w:t>促进国家物流枢纽军民融合发展</w:t>
      </w:r>
    </w:p>
    <w:p>
      <w:pPr>
        <w:pStyle w:val="BodyText"/>
        <w:spacing w:before="1"/>
        <w:ind w:left="0"/>
        <w:rPr>
          <w:b/>
          <w:sz w:val="26"/>
        </w:rPr>
      </w:pPr>
    </w:p>
    <w:p>
      <w:pPr>
        <w:pStyle w:val="BodyText"/>
        <w:spacing w:line="364" w:lineRule="auto"/>
        <w:ind w:right="565" w:firstLine="640"/>
        <w:jc w:val="both"/>
      </w:pPr>
      <w:r>
        <w:rPr/>
        <w:t>按照军民融合发展战略和国防建设有关要求，主动服务军队后勤保障社会化。根据军事物流活动保密性、时效性、优先性等要求，畅通军队使用地方运力、仓储设施、交通网络等物流资源的工作渠道，打通军地物流信息系统数据安全交换通道，建立枢纽服务军事物流需求的运行机制，服务军事物流需要。</w:t>
      </w:r>
    </w:p>
    <w:p>
      <w:pPr>
        <w:pStyle w:val="Heading1"/>
        <w:spacing w:line="434" w:lineRule="auto"/>
        <w:ind w:right="2783"/>
      </w:pPr>
      <w:bookmarkStart w:name="（二）加快交通物流重大基础设施建设" w:id="106"/>
      <w:bookmarkEnd w:id="106"/>
      <w:r>
        <w:rPr>
          <w:b w:val="0"/>
        </w:rPr>
      </w:r>
      <w:bookmarkStart w:name="_bookmark41" w:id="107"/>
      <w:bookmarkEnd w:id="107"/>
      <w:r>
        <w:rPr>
          <w:b w:val="0"/>
        </w:rPr>
      </w:r>
      <w:r>
        <w:rPr/>
        <w:t>（二）加快交通物流重大基础设施建设</w:t>
      </w:r>
      <w:bookmarkStart w:name="1.加快物流园区建设与综合提升" w:id="108"/>
      <w:bookmarkEnd w:id="108"/>
      <w:r>
        <w:rPr/>
      </w:r>
      <w:bookmarkStart w:name="_bookmark42" w:id="109"/>
      <w:bookmarkEnd w:id="109"/>
      <w:r>
        <w:rPr/>
      </w:r>
      <w:r>
        <w:rPr/>
        <w:t>1.加快物流园区建设与综合提升</w:t>
      </w:r>
    </w:p>
    <w:p>
      <w:pPr>
        <w:pStyle w:val="BodyText"/>
        <w:spacing w:before="2"/>
        <w:ind w:left="1200"/>
      </w:pPr>
      <w:r>
        <w:rPr/>
        <w:t>重点在交通枢纽、商贸集聚区、大型专业市场、大型消</w:t>
      </w:r>
    </w:p>
    <w:p>
      <w:pPr>
        <w:spacing w:after="0"/>
        <w:sectPr>
          <w:pgSz w:w="11910" w:h="16840"/>
          <w:pgMar w:header="0" w:footer="902" w:top="1420" w:bottom="1180" w:left="1240" w:right="1220"/>
        </w:sectPr>
      </w:pPr>
    </w:p>
    <w:p>
      <w:pPr>
        <w:pStyle w:val="BodyText"/>
        <w:spacing w:line="364" w:lineRule="auto" w:before="43"/>
        <w:ind w:right="565"/>
        <w:jc w:val="both"/>
      </w:pPr>
      <w:r>
        <w:rPr/>
        <w:t>费市场、产业园区等区域，合理规划建设一批商贸服务型、</w:t>
      </w:r>
      <w:r>
        <w:rPr>
          <w:spacing w:val="-1"/>
        </w:rPr>
        <w:t>生产服务型或综合服务型物流园区。持续升级广西桂物储运</w:t>
      </w:r>
      <w:r>
        <w:rPr>
          <w:spacing w:val="-3"/>
        </w:rPr>
        <w:t>集团桂林有限公司物流园、桂林小麻雀物流基地、桂林万禾</w:t>
      </w:r>
      <w:r>
        <w:rPr>
          <w:spacing w:val="-5"/>
        </w:rPr>
        <w:t>农产品物流园、桂林申通物流园、平乐电商物流总部经济园</w:t>
      </w:r>
      <w:r>
        <w:rPr>
          <w:spacing w:val="11"/>
          <w:w w:val="95"/>
        </w:rPr>
        <w:t>和灵川冠豪农产品物流园；加快推进桂林苏桥无水港物流 </w:t>
      </w:r>
      <w:r>
        <w:rPr>
          <w:spacing w:val="-2"/>
        </w:rPr>
        <w:t>园、桂林交投大溪河物流园、桂林海吉星农产品物流园、桂</w:t>
      </w:r>
      <w:r>
        <w:rPr>
          <w:spacing w:val="-3"/>
        </w:rPr>
        <w:t>林国投城市电商物流园、桂林空港物流产业园和永福农副产</w:t>
      </w:r>
      <w:r>
        <w:rPr>
          <w:spacing w:val="10"/>
          <w:w w:val="95"/>
        </w:rPr>
        <w:t>品物流园等物流园区建设；及早规划和建设荔浦综合物流 </w:t>
      </w:r>
      <w:r>
        <w:rPr>
          <w:spacing w:val="10"/>
        </w:rPr>
        <w:t>园。</w:t>
      </w:r>
    </w:p>
    <w:p>
      <w:pPr>
        <w:pStyle w:val="BodyText"/>
        <w:spacing w:line="364" w:lineRule="auto" w:before="113"/>
        <w:ind w:right="419" w:firstLine="640"/>
      </w:pPr>
      <w:r>
        <w:rPr>
          <w:spacing w:val="-1"/>
        </w:rPr>
        <w:t>支持有实力的园区积极争创国家级物流示范基地。推进</w:t>
      </w:r>
      <w:r>
        <w:rPr>
          <w:spacing w:val="-13"/>
          <w:w w:val="95"/>
        </w:rPr>
        <w:t>物流园区多式联运设施建设。提高仓储、中转设施建设水平， </w:t>
      </w:r>
      <w:r>
        <w:rPr>
          <w:spacing w:val="-10"/>
        </w:rPr>
        <w:t>改造装卸搬运、调度指挥等配套设备。鼓励建设现代化立体</w:t>
      </w:r>
      <w:r>
        <w:rPr>
          <w:spacing w:val="-6"/>
        </w:rPr>
        <w:t>仓库，积极争创全国智能化仓储物流示范基地。支持园区采</w:t>
      </w:r>
      <w:r>
        <w:rPr>
          <w:spacing w:val="-7"/>
        </w:rPr>
        <w:t>用统一技术标准建设公共信息平台，促进入驻企业、园区管</w:t>
      </w:r>
      <w:r>
        <w:rPr>
          <w:spacing w:val="11"/>
        </w:rPr>
        <w:t>理和服务机构、相关政府部门之间信息互联互通和有序交换。鼓励园区依托互联网推动仓储资源在线开放和实时交</w:t>
      </w:r>
      <w:r>
        <w:rPr>
          <w:spacing w:val="-2"/>
        </w:rPr>
        <w:t>易，提高仓储利用效率，建设智慧园区。加强物流园区的集</w:t>
      </w:r>
      <w:r>
        <w:rPr>
          <w:spacing w:val="-4"/>
        </w:rPr>
        <w:t>疏运体系建设，强化物流园区与城市道路、交通枢纽的充分</w:t>
      </w:r>
      <w:r>
        <w:rPr>
          <w:spacing w:val="-5"/>
        </w:rPr>
        <w:t>对接，为提升多式联运、甩挂运输效率创造条件。加强物流园区配套基础设施建设，结合货运枢纽、商贸服务、生产服务、口岸服务等不同类型物流园区的特点，以仓储为核心， </w:t>
      </w:r>
      <w:r>
        <w:rPr>
          <w:spacing w:val="-15"/>
          <w:w w:val="95"/>
        </w:rPr>
        <w:t>完善服务功能。在具备仓储、运输、配送、转运、货运代理、</w:t>
      </w:r>
    </w:p>
    <w:p>
      <w:pPr>
        <w:spacing w:after="0" w:line="364" w:lineRule="auto"/>
        <w:sectPr>
          <w:pgSz w:w="11910" w:h="16840"/>
          <w:pgMar w:header="0" w:footer="902" w:top="1420" w:bottom="1180" w:left="1240" w:right="1220"/>
        </w:sectPr>
      </w:pPr>
    </w:p>
    <w:p>
      <w:pPr>
        <w:pStyle w:val="BodyText"/>
        <w:spacing w:line="364" w:lineRule="auto" w:before="43"/>
        <w:ind w:right="577"/>
        <w:jc w:val="both"/>
      </w:pPr>
      <w:r>
        <w:rPr>
          <w:spacing w:val="-3"/>
          <w:w w:val="95"/>
        </w:rPr>
        <w:t>加工等基本物流服务以及物业、停车、维修、加油等配套服 </w:t>
      </w:r>
      <w:r>
        <w:rPr>
          <w:spacing w:val="-5"/>
        </w:rPr>
        <w:t>务的基础上，为园区引入工商、税务等政务服务和供应链设</w:t>
      </w:r>
      <w:r>
        <w:rPr>
          <w:spacing w:val="-3"/>
          <w:w w:val="95"/>
        </w:rPr>
        <w:t>计、管理咨询、金融、保险、贸易会展、法律等商务服务功 </w:t>
      </w:r>
      <w:r>
        <w:rPr>
          <w:spacing w:val="-4"/>
          <w:w w:val="95"/>
        </w:rPr>
        <w:t>能，提升园区的综合服务能力。鼓励城区传统园区升级改造 </w:t>
      </w:r>
      <w:r>
        <w:rPr>
          <w:spacing w:val="-4"/>
        </w:rPr>
        <w:t>成非物流实体的高端业态。</w:t>
      </w:r>
    </w:p>
    <w:p>
      <w:pPr>
        <w:pStyle w:val="Heading1"/>
        <w:spacing w:before="114"/>
      </w:pPr>
      <w:bookmarkStart w:name="2.构建完善物流干线通道网络 " w:id="110"/>
      <w:bookmarkEnd w:id="110"/>
      <w:r>
        <w:rPr>
          <w:b w:val="0"/>
        </w:rPr>
      </w:r>
      <w:bookmarkStart w:name="_bookmark43" w:id="111"/>
      <w:bookmarkEnd w:id="111"/>
      <w:r>
        <w:rPr>
          <w:b w:val="0"/>
        </w:rPr>
      </w:r>
      <w:r>
        <w:rPr/>
        <w:t>2.构建完善物流干线通道网络</w:t>
      </w:r>
    </w:p>
    <w:p>
      <w:pPr>
        <w:pStyle w:val="BodyText"/>
        <w:spacing w:before="1"/>
        <w:ind w:left="0"/>
        <w:rPr>
          <w:b/>
          <w:sz w:val="26"/>
        </w:rPr>
      </w:pPr>
    </w:p>
    <w:p>
      <w:pPr>
        <w:pStyle w:val="BodyText"/>
        <w:spacing w:line="364" w:lineRule="auto"/>
        <w:ind w:right="419" w:firstLine="640"/>
      </w:pPr>
      <w:r>
        <w:rPr/>
        <w:pict>
          <v:group style="position:absolute;margin-left:84.360001pt;margin-top:285.980011pt;width:426.6pt;height:189.3pt;mso-position-horizontal-relative:page;mso-position-vertical-relative:paragraph;z-index:-251654144;mso-wrap-distance-left:0;mso-wrap-distance-right:0" coordorigin="1687,5720" coordsize="8532,3786">
            <v:shape style="position:absolute;left:1692;top:6518;width:8522;height:2982" type="#_x0000_t202" filled="false" stroked="true" strokeweight=".48pt" strokecolor="#000000">
              <v:textbox inset="0,0,0,0">
                <w:txbxContent>
                  <w:p>
                    <w:pPr>
                      <w:spacing w:line="364" w:lineRule="auto" w:before="124"/>
                      <w:ind w:left="103" w:right="-44" w:firstLine="559"/>
                      <w:jc w:val="left"/>
                      <w:rPr>
                        <w:sz w:val="28"/>
                      </w:rPr>
                    </w:pPr>
                    <w:r>
                      <w:rPr>
                        <w:rFonts w:ascii="楷体" w:eastAsia="楷体" w:hint="eastAsia"/>
                        <w:spacing w:val="-9"/>
                        <w:sz w:val="28"/>
                      </w:rPr>
                      <w:t>物流园区建设工程。</w:t>
                    </w:r>
                    <w:r>
                      <w:rPr>
                        <w:spacing w:val="-7"/>
                        <w:sz w:val="28"/>
                      </w:rPr>
                      <w:t>加快推动桂林东站冷链物流园、桂林海吉星</w:t>
                    </w:r>
                    <w:r>
                      <w:rPr>
                        <w:spacing w:val="-3"/>
                        <w:sz w:val="28"/>
                      </w:rPr>
                      <w:t>农产品物流园、桂林国投城市电商物流园、桂林苏桥无水港物流园、</w:t>
                    </w:r>
                    <w:r>
                      <w:rPr>
                        <w:spacing w:val="-19"/>
                        <w:sz w:val="28"/>
                      </w:rPr>
                      <w:t>桂林交投大溪河物流园、桂林通达综合物流园、桂林空港物流产业园、</w:t>
                    </w:r>
                    <w:r>
                      <w:rPr>
                        <w:spacing w:val="-11"/>
                        <w:sz w:val="28"/>
                      </w:rPr>
                      <w:t>平乐县珠子洲物流园区、全州桂北粮油集散中心、灵川聚农粮油物流</w:t>
                    </w:r>
                    <w:r>
                      <w:rPr>
                        <w:spacing w:val="-5"/>
                        <w:sz w:val="28"/>
                      </w:rPr>
                      <w:t>园等一批重点物流园区建设。</w:t>
                    </w:r>
                  </w:p>
                </w:txbxContent>
              </v:textbox>
              <v:stroke dashstyle="solid"/>
              <w10:wrap type="none"/>
            </v:shape>
            <v:shape style="position:absolute;left:1692;top:5724;width:8522;height:794" type="#_x0000_t202" filled="false" stroked="true" strokeweight=".48pt" strokecolor="#000000">
              <v:textbox inset="0,0,0,0">
                <w:txbxContent>
                  <w:p>
                    <w:pPr>
                      <w:spacing w:before="121"/>
                      <w:ind w:left="559" w:right="559" w:firstLine="0"/>
                      <w:jc w:val="center"/>
                      <w:rPr>
                        <w:b/>
                        <w:sz w:val="28"/>
                      </w:rPr>
                    </w:pPr>
                    <w:r>
                      <w:rPr>
                        <w:b/>
                        <w:sz w:val="28"/>
                      </w:rPr>
                      <w:t>专栏 1 物流园区和通道建设与整合提升工程</w:t>
                    </w:r>
                  </w:p>
                </w:txbxContent>
              </v:textbox>
              <v:stroke dashstyle="solid"/>
              <w10:wrap type="none"/>
            </v:shape>
            <w10:wrap type="topAndBottom"/>
          </v:group>
        </w:pict>
      </w:r>
      <w:r>
        <w:rPr/>
        <w:pict>
          <v:line style="position:absolute;mso-position-horizontal-relative:page;mso-position-vertical-relative:paragraph;z-index:251663360" from="84.599998pt,285.980011pt" to="84.599998pt,474.780011pt" stroked="true" strokeweight=".48pt" strokecolor="#000000">
            <v:stroke dashstyle="solid"/>
            <w10:wrap type="none"/>
          </v:line>
        </w:pict>
      </w:r>
      <w:r>
        <w:rPr/>
        <w:pict>
          <v:line style="position:absolute;mso-position-horizontal-relative:page;mso-position-vertical-relative:paragraph;z-index:251664384" from="510.700012pt,285.980011pt" to="510.700012pt,474.780011pt" stroked="true" strokeweight=".48pt" strokecolor="#000000">
            <v:stroke dashstyle="solid"/>
            <w10:wrap type="none"/>
          </v:line>
        </w:pict>
      </w:r>
      <w:r>
        <w:rPr>
          <w:spacing w:val="-14"/>
          <w:w w:val="95"/>
        </w:rPr>
        <w:t>在规划期，积极争取加快实施南宁经桂林至怀化</w:t>
      </w:r>
      <w:r>
        <w:rPr>
          <w:w w:val="95"/>
        </w:rPr>
        <w:t>（衡阳） </w:t>
      </w:r>
      <w:r>
        <w:rPr>
          <w:spacing w:val="-4"/>
        </w:rPr>
        <w:t>高铁、张海高铁经桂林至湛江、桂林至柳城高速公路、桂林</w:t>
      </w:r>
      <w:r>
        <w:rPr/>
        <w:t>至柳州段高速公路扩建工程、G72</w:t>
      </w:r>
      <w:r>
        <w:rPr>
          <w:spacing w:val="-8"/>
        </w:rPr>
        <w:t> 泉南高速桂林至全州黄沙</w:t>
      </w:r>
      <w:r>
        <w:rPr/>
        <w:t>河段高速公路改扩建、G78</w:t>
      </w:r>
      <w:r>
        <w:rPr>
          <w:spacing w:val="-7"/>
        </w:rPr>
        <w:t> 汕昆高速公路桂林至贺州段高速</w:t>
      </w:r>
      <w:r>
        <w:rPr>
          <w:spacing w:val="-6"/>
        </w:rPr>
        <w:t>公路改扩建、龙胜至湖南城步</w:t>
      </w:r>
      <w:r>
        <w:rPr/>
        <w:t>（广西段</w:t>
      </w:r>
      <w:r>
        <w:rPr>
          <w:spacing w:val="-3"/>
        </w:rPr>
        <w:t>）</w:t>
      </w:r>
      <w:r>
        <w:rPr>
          <w:spacing w:val="-1"/>
        </w:rPr>
        <w:t>高速公路、桂江港</w:t>
      </w:r>
      <w:r>
        <w:rPr>
          <w:spacing w:val="-3"/>
        </w:rPr>
        <w:t>口航道扩能、湘江港口航道扩能、洛清江港口航道扩能等国</w:t>
      </w:r>
      <w:r>
        <w:rPr>
          <w:spacing w:val="-4"/>
        </w:rPr>
        <w:t>家级和区域级通道设施重大工程，推动衡柳铁路提速改造等</w:t>
      </w:r>
      <w:r>
        <w:rPr>
          <w:spacing w:val="-6"/>
        </w:rPr>
        <w:t>一批项目尽快开工，并通过综合交通系统达成彼此沟通和内外衔接的骨干物流通道。</w:t>
      </w:r>
    </w:p>
    <w:p>
      <w:pPr>
        <w:spacing w:after="0" w:line="364" w:lineRule="auto"/>
        <w:sectPr>
          <w:pgSz w:w="11910" w:h="16840"/>
          <w:pgMar w:header="0" w:footer="902" w:top="1420" w:bottom="1180" w:left="1240" w:right="1220"/>
        </w:sectPr>
      </w:pPr>
    </w:p>
    <w:p>
      <w:pPr>
        <w:spacing w:line="364" w:lineRule="auto" w:before="32"/>
        <w:ind w:left="560" w:right="483" w:firstLine="559"/>
        <w:jc w:val="left"/>
        <w:rPr>
          <w:sz w:val="28"/>
        </w:rPr>
      </w:pPr>
      <w:r>
        <w:rPr/>
        <w:pict>
          <v:shape style="position:absolute;margin-left:84.360001pt;margin-top:152.969971pt;width:426.6pt;height:542.2pt;mso-position-horizontal-relative:page;mso-position-vertical-relative:paragraph;z-index:-253690880" coordorigin="1687,3059" coordsize="8532,10844" path="m1687,24l10219,24m1687,10863l10219,10863m1692,19l1692,10858m10214,19l10214,10858e" filled="false" stroked="true" strokeweight=".48pt" strokecolor="#000000">
            <v:path arrowok="t"/>
            <v:stroke dashstyle="solid"/>
            <w10:wrap type="none"/>
          </v:shape>
        </w:pict>
      </w:r>
      <w:r>
        <w:rPr>
          <w:rFonts w:ascii="楷体" w:eastAsia="楷体" w:hint="eastAsia"/>
          <w:spacing w:val="-12"/>
          <w:sz w:val="28"/>
        </w:rPr>
        <w:t>物流园区综合提升工程。</w:t>
      </w:r>
      <w:r>
        <w:rPr>
          <w:spacing w:val="-3"/>
          <w:sz w:val="28"/>
        </w:rPr>
        <w:t>加快推动广西桂物储运集团桂林有限公</w:t>
      </w:r>
      <w:r>
        <w:rPr>
          <w:spacing w:val="-10"/>
          <w:sz w:val="28"/>
        </w:rPr>
        <w:t>司物流基地、桂林小麻雀物流基地、桂林中辰电商物流交易中心、桂</w:t>
      </w:r>
      <w:r>
        <w:rPr>
          <w:spacing w:val="-3"/>
          <w:sz w:val="28"/>
        </w:rPr>
        <w:t>林申通物流园、平乐电商物流总部经济园、灵川冠豪农产品物流园、兴安泽源丰冷链物流中心等现有重点物流园区升级改造。</w:t>
      </w:r>
    </w:p>
    <w:p>
      <w:pPr>
        <w:spacing w:line="364" w:lineRule="auto" w:before="117"/>
        <w:ind w:left="560" w:right="577" w:firstLine="559"/>
        <w:jc w:val="left"/>
        <w:rPr>
          <w:sz w:val="28"/>
        </w:rPr>
      </w:pPr>
      <w:r>
        <w:rPr>
          <w:rFonts w:ascii="楷体" w:eastAsia="楷体" w:hint="eastAsia"/>
          <w:spacing w:val="-12"/>
          <w:sz w:val="28"/>
        </w:rPr>
        <w:t>水运航道改造扩能工程。</w:t>
      </w:r>
      <w:r>
        <w:rPr>
          <w:spacing w:val="-3"/>
          <w:sz w:val="28"/>
        </w:rPr>
        <w:t>借广西和国家加大对西江黄金水道建设</w:t>
      </w:r>
      <w:r>
        <w:rPr>
          <w:spacing w:val="3"/>
          <w:sz w:val="28"/>
        </w:rPr>
        <w:t>支持力度机遇，积极申请将桂江作为西江航运干线的重要支流纳入</w:t>
      </w:r>
    </w:p>
    <w:p>
      <w:pPr>
        <w:spacing w:line="358" w:lineRule="exact" w:before="0"/>
        <w:ind w:left="560" w:right="0" w:firstLine="0"/>
        <w:jc w:val="left"/>
        <w:rPr>
          <w:sz w:val="28"/>
        </w:rPr>
      </w:pPr>
      <w:r>
        <w:rPr>
          <w:spacing w:val="-13"/>
          <w:sz w:val="28"/>
        </w:rPr>
        <w:t>《全国内河航道与港口布局规划》，将桂江平乐至梧州 </w:t>
      </w:r>
      <w:r>
        <w:rPr>
          <w:sz w:val="28"/>
        </w:rPr>
        <w:t>230</w:t>
      </w:r>
      <w:r>
        <w:rPr>
          <w:spacing w:val="-15"/>
          <w:sz w:val="28"/>
        </w:rPr>
        <w:t> 公里的航</w:t>
      </w:r>
    </w:p>
    <w:p>
      <w:pPr>
        <w:spacing w:line="364" w:lineRule="auto" w:before="184"/>
        <w:ind w:left="560" w:right="577" w:firstLine="0"/>
        <w:jc w:val="both"/>
        <w:rPr>
          <w:sz w:val="28"/>
        </w:rPr>
      </w:pPr>
      <w:r>
        <w:rPr>
          <w:spacing w:val="-4"/>
          <w:sz w:val="28"/>
        </w:rPr>
        <w:t>道等级改造提升至三级，达到通航 </w:t>
      </w:r>
      <w:r>
        <w:rPr>
          <w:sz w:val="28"/>
        </w:rPr>
        <w:t>1000</w:t>
      </w:r>
      <w:r>
        <w:rPr>
          <w:spacing w:val="-8"/>
          <w:sz w:val="28"/>
        </w:rPr>
        <w:t> 吨级船舶条件。积极争取将</w:t>
      </w:r>
      <w:r>
        <w:rPr>
          <w:spacing w:val="3"/>
          <w:sz w:val="28"/>
        </w:rPr>
        <w:t>湘江航道与港口纳入湘桂经济走廊建设重点工程，提升湘江航道等</w:t>
      </w:r>
      <w:r>
        <w:rPr>
          <w:spacing w:val="-11"/>
          <w:sz w:val="28"/>
        </w:rPr>
        <w:t>级，完善湘江货运码头及其他配套设施，支撑桂林市建设成为中南地</w:t>
      </w:r>
      <w:r>
        <w:rPr>
          <w:spacing w:val="-9"/>
          <w:sz w:val="28"/>
        </w:rPr>
        <w:t>区与北部湾经济区互动发展重要节点；积极争取将洛清江航道整治提</w:t>
      </w:r>
      <w:r>
        <w:rPr>
          <w:spacing w:val="-8"/>
          <w:sz w:val="28"/>
        </w:rPr>
        <w:t>升和港口建设纳入南柳桂一体化重点工程，打造经济技术开发区连通</w:t>
      </w:r>
      <w:r>
        <w:rPr>
          <w:spacing w:val="-3"/>
          <w:sz w:val="28"/>
        </w:rPr>
        <w:t>珠三角发达地区的水上运输通道。</w:t>
      </w:r>
    </w:p>
    <w:p>
      <w:pPr>
        <w:spacing w:line="364" w:lineRule="auto" w:before="117"/>
        <w:ind w:left="560" w:right="575" w:firstLine="559"/>
        <w:jc w:val="both"/>
        <w:rPr>
          <w:sz w:val="28"/>
        </w:rPr>
      </w:pPr>
      <w:r>
        <w:rPr>
          <w:rFonts w:ascii="楷体" w:eastAsia="楷体" w:hint="eastAsia"/>
          <w:spacing w:val="-7"/>
          <w:sz w:val="28"/>
        </w:rPr>
        <w:t>两江国际机场零换乘中心。</w:t>
      </w:r>
      <w:r>
        <w:rPr>
          <w:spacing w:val="-7"/>
          <w:sz w:val="28"/>
        </w:rPr>
        <w:t>充分依托桂林两江国际机场，加快建</w:t>
      </w:r>
      <w:r>
        <w:rPr>
          <w:spacing w:val="-11"/>
          <w:sz w:val="28"/>
        </w:rPr>
        <w:t>设集航空、高铁、云轨、公交于一体的零换乘中心，吸引周边城市旅</w:t>
      </w:r>
      <w:r>
        <w:rPr>
          <w:spacing w:val="-5"/>
          <w:sz w:val="28"/>
        </w:rPr>
        <w:t>客到桂林乘机，增加人流物流。</w:t>
      </w:r>
    </w:p>
    <w:p>
      <w:pPr>
        <w:spacing w:line="364" w:lineRule="auto" w:before="119"/>
        <w:ind w:left="560" w:right="575" w:firstLine="559"/>
        <w:jc w:val="both"/>
        <w:rPr>
          <w:sz w:val="28"/>
        </w:rPr>
      </w:pPr>
      <w:r>
        <w:rPr>
          <w:rFonts w:ascii="楷体" w:eastAsia="楷体" w:hint="eastAsia"/>
          <w:spacing w:val="-6"/>
          <w:sz w:val="28"/>
        </w:rPr>
        <w:t>积极培育物流增值服务。</w:t>
      </w:r>
      <w:r>
        <w:rPr>
          <w:spacing w:val="-9"/>
          <w:sz w:val="28"/>
        </w:rPr>
        <w:t>重点培育物流金融、供应链金融、大宗</w:t>
      </w:r>
      <w:r>
        <w:rPr>
          <w:spacing w:val="-12"/>
          <w:sz w:val="28"/>
        </w:rPr>
        <w:t>商品贸易、信息服务、电子商务、检测检验等增值服务业态，推动物</w:t>
      </w:r>
      <w:r>
        <w:rPr>
          <w:spacing w:val="-5"/>
          <w:sz w:val="28"/>
        </w:rPr>
        <w:t>流产业链向高附加值领域延伸。</w:t>
      </w:r>
    </w:p>
    <w:p>
      <w:pPr>
        <w:pStyle w:val="BodyText"/>
        <w:spacing w:before="2"/>
        <w:ind w:left="0"/>
        <w:rPr>
          <w:sz w:val="15"/>
        </w:rPr>
      </w:pPr>
    </w:p>
    <w:p>
      <w:pPr>
        <w:pStyle w:val="Heading1"/>
        <w:spacing w:before="54"/>
      </w:pPr>
      <w:bookmarkStart w:name="（三）促进物流与制造业高效融合发展" w:id="112"/>
      <w:bookmarkEnd w:id="112"/>
      <w:r>
        <w:rPr>
          <w:b w:val="0"/>
        </w:rPr>
      </w:r>
      <w:bookmarkStart w:name="_bookmark44" w:id="113"/>
      <w:bookmarkEnd w:id="113"/>
      <w:r>
        <w:rPr>
          <w:b w:val="0"/>
        </w:rPr>
      </w:r>
      <w:r>
        <w:rPr/>
        <w:t>（三）促进物流与制造业高效融合发展</w:t>
      </w:r>
    </w:p>
    <w:p>
      <w:pPr>
        <w:pStyle w:val="BodyText"/>
        <w:spacing w:before="11"/>
        <w:ind w:left="0"/>
        <w:rPr>
          <w:b/>
          <w:sz w:val="25"/>
        </w:rPr>
      </w:pPr>
    </w:p>
    <w:p>
      <w:pPr>
        <w:pStyle w:val="BodyText"/>
        <w:spacing w:line="364" w:lineRule="auto" w:before="1"/>
        <w:ind w:right="580" w:firstLine="640"/>
        <w:jc w:val="both"/>
      </w:pPr>
      <w:r>
        <w:rPr>
          <w:spacing w:val="-1"/>
        </w:rPr>
        <w:t>创新优势特色产业供应链组织模式。选择下一代信息网</w:t>
      </w:r>
      <w:r>
        <w:rPr>
          <w:spacing w:val="-3"/>
          <w:w w:val="95"/>
        </w:rPr>
        <w:t>络、电子医疗器械、新能源汽车、健康食品、中医药、木衣 </w:t>
      </w:r>
      <w:r>
        <w:rPr>
          <w:spacing w:val="-4"/>
          <w:w w:val="95"/>
        </w:rPr>
        <w:t>架、桂林米粉、饲料等桂林市优势特色制造业，以供应链协</w:t>
      </w:r>
    </w:p>
    <w:p>
      <w:pPr>
        <w:spacing w:after="0" w:line="364" w:lineRule="auto"/>
        <w:jc w:val="both"/>
        <w:sectPr>
          <w:pgSz w:w="11910" w:h="16840"/>
          <w:pgMar w:header="0" w:footer="902" w:top="1440" w:bottom="1180" w:left="1240" w:right="1220"/>
        </w:sectPr>
      </w:pPr>
    </w:p>
    <w:p>
      <w:pPr>
        <w:pStyle w:val="BodyText"/>
        <w:spacing w:line="364" w:lineRule="auto" w:before="43"/>
        <w:ind w:right="565"/>
        <w:jc w:val="both"/>
      </w:pPr>
      <w:r>
        <w:rPr/>
        <w:t>同和物流整体解决方案为突破口，发挥国家物流枢纽网络、南向通道、保税物流、物流园区、物流信息公共服务平台等对产业集聚扩张发展的引领作用，鼓励物流、快递企业融入制造业采购、生产、仓储、分销、配送等环节，打造集原材料运入、产业链配套、产成品向外辐射、集中采购、区域分拨、高端仓储、流通加工、物流信息、供应链金融等于一体的制造业全供应链物流服务体系，促进优势产业形成国内领先的产业集群。</w:t>
      </w:r>
    </w:p>
    <w:p>
      <w:pPr>
        <w:pStyle w:val="BodyText"/>
        <w:spacing w:line="364" w:lineRule="auto" w:before="114"/>
        <w:ind w:right="419" w:firstLine="640"/>
      </w:pPr>
      <w:r>
        <w:rPr>
          <w:spacing w:val="-10"/>
          <w:w w:val="95"/>
        </w:rPr>
        <w:t>推动电商物流与服务型制造协同发展。以根雕、观赏石、 </w:t>
      </w:r>
      <w:r>
        <w:rPr>
          <w:spacing w:val="-5"/>
        </w:rPr>
        <w:t>纸扇、旅游纪念品、旅游工艺品等旅游商品为重点，发展适</w:t>
      </w:r>
      <w:r>
        <w:rPr>
          <w:spacing w:val="-6"/>
        </w:rPr>
        <w:t>应个性化定制、柔性化生产的集成式电商物流模式，推动电</w:t>
      </w:r>
      <w:r>
        <w:rPr>
          <w:spacing w:val="4"/>
        </w:rPr>
        <w:t>商物流企业参与“互联网+协同制造”，面向小批量、多品</w:t>
      </w:r>
      <w:r>
        <w:rPr>
          <w:spacing w:val="-2"/>
        </w:rPr>
        <w:t>类、快速生产、快速交货和连续补货等新需求，提供物流服</w:t>
      </w:r>
      <w:r>
        <w:rPr>
          <w:spacing w:val="-5"/>
        </w:rPr>
        <w:t>务解决方案，实现基于订单驱动的生产和物流供应链组织模</w:t>
      </w:r>
      <w:r>
        <w:rPr>
          <w:spacing w:val="-4"/>
        </w:rPr>
        <w:t>式，降低桂林特色产品的成本，扶持城市电商及城市物流配</w:t>
      </w:r>
      <w:r>
        <w:rPr>
          <w:spacing w:val="11"/>
        </w:rPr>
        <w:t>送骨干企业采取符合国家环保节能标准的运输车辆从事城市物流配送。</w:t>
      </w:r>
    </w:p>
    <w:p>
      <w:pPr>
        <w:pStyle w:val="BodyText"/>
        <w:spacing w:line="364" w:lineRule="auto" w:before="113"/>
        <w:ind w:right="418" w:firstLine="640"/>
      </w:pPr>
      <w:r>
        <w:rPr>
          <w:spacing w:val="-1"/>
        </w:rPr>
        <w:t>积极申报发展出口加工区。充分发挥铁路港和保税物流</w:t>
      </w:r>
      <w:r>
        <w:rPr>
          <w:spacing w:val="-8"/>
        </w:rPr>
        <w:t>中心</w:t>
      </w:r>
      <w:r>
        <w:rPr>
          <w:spacing w:val="-6"/>
        </w:rPr>
        <w:t>（</w:t>
      </w:r>
      <w:r>
        <w:rPr>
          <w:rFonts w:ascii="Times New Roman" w:eastAsia="Times New Roman"/>
          <w:spacing w:val="-6"/>
        </w:rPr>
        <w:t>B</w:t>
      </w:r>
      <w:r>
        <w:rPr>
          <w:spacing w:val="-6"/>
        </w:rPr>
        <w:t>）功能，积极申请国家支持，申报发展出口加工区， 实行封闭式管理运行，大力承接大湾区出口加工企业转移， 集聚发展出口加工产业。</w:t>
      </w:r>
    </w:p>
    <w:p>
      <w:pPr>
        <w:spacing w:after="0" w:line="364" w:lineRule="auto"/>
        <w:sectPr>
          <w:pgSz w:w="11910" w:h="16840"/>
          <w:pgMar w:header="0" w:footer="902" w:top="1420" w:bottom="1180" w:left="1240" w:right="1220"/>
        </w:sectPr>
      </w:pPr>
    </w:p>
    <w:p>
      <w:pPr>
        <w:pStyle w:val="BodyText"/>
        <w:ind w:left="0"/>
        <w:rPr>
          <w:sz w:val="20"/>
        </w:rPr>
      </w:pPr>
    </w:p>
    <w:p>
      <w:pPr>
        <w:pStyle w:val="BodyText"/>
        <w:spacing w:before="10"/>
        <w:ind w:left="0"/>
        <w:rPr>
          <w:sz w:val="21"/>
        </w:rPr>
      </w:pPr>
    </w:p>
    <w:p>
      <w:pPr>
        <w:tabs>
          <w:tab w:pos="1595" w:val="left" w:leader="none"/>
        </w:tabs>
        <w:spacing w:before="62"/>
        <w:ind w:left="542" w:right="0" w:firstLine="0"/>
        <w:jc w:val="center"/>
        <w:rPr>
          <w:b/>
          <w:sz w:val="28"/>
        </w:rPr>
      </w:pPr>
      <w:r>
        <w:rPr/>
        <w:pict>
          <v:shape style="position:absolute;margin-left:84.360001pt;margin-top:104.640007pt;width:426.6pt;height:527.450pt;mso-position-horizontal-relative:page;mso-position-vertical-relative:paragraph;z-index:-253689856" coordorigin="1687,2093" coordsize="8532,10549" path="m1687,-66l10219,-66m1687,729l10219,729m1687,10478l10219,10478m1692,-70l1692,10474m10214,-70l10214,10474e" filled="false" stroked="true" strokeweight=".48pt" strokecolor="#000000">
            <v:path arrowok="t"/>
            <v:stroke dashstyle="solid"/>
            <w10:wrap type="none"/>
          </v:shape>
        </w:pict>
      </w:r>
      <w:r>
        <w:rPr>
          <w:b/>
          <w:sz w:val="28"/>
        </w:rPr>
        <w:t>专栏</w:t>
      </w:r>
      <w:r>
        <w:rPr>
          <w:b/>
          <w:spacing w:val="-73"/>
          <w:sz w:val="28"/>
        </w:rPr>
        <w:t> </w:t>
      </w:r>
      <w:r>
        <w:rPr>
          <w:b/>
          <w:sz w:val="28"/>
        </w:rPr>
        <w:t>2</w:t>
        <w:tab/>
        <w:t>制造业供应链物流发展重点工程</w:t>
      </w:r>
    </w:p>
    <w:p>
      <w:pPr>
        <w:pStyle w:val="BodyText"/>
        <w:ind w:left="0"/>
        <w:rPr>
          <w:b/>
          <w:sz w:val="34"/>
        </w:rPr>
      </w:pPr>
    </w:p>
    <w:p>
      <w:pPr>
        <w:spacing w:line="364" w:lineRule="auto" w:before="0"/>
        <w:ind w:left="560" w:right="575" w:firstLine="559"/>
        <w:jc w:val="both"/>
        <w:rPr>
          <w:sz w:val="28"/>
        </w:rPr>
      </w:pPr>
      <w:r>
        <w:rPr>
          <w:spacing w:val="-9"/>
          <w:sz w:val="28"/>
        </w:rPr>
        <w:t>中小制造业企业供应链创新发展工程。根据桂林市中小制造业企</w:t>
      </w:r>
      <w:r>
        <w:rPr>
          <w:spacing w:val="-11"/>
          <w:sz w:val="28"/>
        </w:rPr>
        <w:t>业数量诸多、物流观念落后、议价能力弱等特点，以物流信息平台为</w:t>
      </w:r>
      <w:r>
        <w:rPr>
          <w:spacing w:val="-12"/>
          <w:sz w:val="28"/>
        </w:rPr>
        <w:t>依托，以工业园区或行业为对象，支持物流物流服务集成商提供整体</w:t>
      </w:r>
      <w:r>
        <w:rPr>
          <w:spacing w:val="-5"/>
          <w:sz w:val="28"/>
        </w:rPr>
        <w:t>优化服务方案，降低企业物流成本，提高物流效率。</w:t>
      </w:r>
    </w:p>
    <w:p>
      <w:pPr>
        <w:spacing w:before="118"/>
        <w:ind w:left="1119" w:right="0" w:firstLine="0"/>
        <w:jc w:val="both"/>
        <w:rPr>
          <w:sz w:val="28"/>
        </w:rPr>
      </w:pPr>
      <w:r>
        <w:rPr>
          <w:sz w:val="28"/>
        </w:rPr>
        <w:t>桂林经开区华为HUB仓项目。项目规划用地约 89.20 亩，总投资</w:t>
      </w:r>
    </w:p>
    <w:p>
      <w:pPr>
        <w:spacing w:line="364" w:lineRule="auto" w:before="186"/>
        <w:ind w:left="560" w:right="577" w:firstLine="0"/>
        <w:jc w:val="both"/>
        <w:rPr>
          <w:sz w:val="28"/>
        </w:rPr>
      </w:pPr>
      <w:r>
        <w:rPr>
          <w:sz w:val="28"/>
        </w:rPr>
        <w:t>4</w:t>
      </w:r>
      <w:r>
        <w:rPr>
          <w:spacing w:val="-9"/>
          <w:sz w:val="28"/>
        </w:rPr>
        <w:t> 亿元人民币，项目规划一次性建成 </w:t>
      </w:r>
      <w:r>
        <w:rPr>
          <w:sz w:val="28"/>
        </w:rPr>
        <w:t>5.9</w:t>
      </w:r>
      <w:r>
        <w:rPr>
          <w:spacing w:val="-9"/>
          <w:sz w:val="28"/>
        </w:rPr>
        <w:t> 万平方米</w:t>
      </w:r>
      <w:r>
        <w:rPr>
          <w:sz w:val="28"/>
        </w:rPr>
        <w:t>HUB仓库，主要建</w:t>
      </w:r>
      <w:r>
        <w:rPr>
          <w:spacing w:val="-11"/>
          <w:sz w:val="28"/>
        </w:rPr>
        <w:t>设智能终端、泛网络、无线等电子产品集散分拨中心、立体自动化仓库等功能。HUB仓项目建成投运后，将在桂林经济技术开发区逐渐形</w:t>
      </w:r>
      <w:r>
        <w:rPr>
          <w:spacing w:val="-21"/>
          <w:sz w:val="28"/>
        </w:rPr>
        <w:t>成一个 </w:t>
      </w:r>
      <w:r>
        <w:rPr>
          <w:sz w:val="28"/>
        </w:rPr>
        <w:t>1</w:t>
      </w:r>
      <w:r>
        <w:rPr>
          <w:spacing w:val="-15"/>
          <w:sz w:val="28"/>
        </w:rPr>
        <w:t> 小时物料配送生态供应圈，构建华为信息生态产业合作区产</w:t>
      </w:r>
      <w:r>
        <w:rPr>
          <w:spacing w:val="-5"/>
          <w:sz w:val="28"/>
        </w:rPr>
        <w:t>业链项目集聚的强磁场，助力桂林打造千亿能智能终端产业集群。</w:t>
      </w:r>
    </w:p>
    <w:p>
      <w:pPr>
        <w:spacing w:line="364" w:lineRule="auto" w:before="115"/>
        <w:ind w:left="560" w:right="435" w:firstLine="559"/>
        <w:jc w:val="left"/>
        <w:rPr>
          <w:sz w:val="28"/>
        </w:rPr>
      </w:pPr>
      <w:r>
        <w:rPr>
          <w:spacing w:val="3"/>
          <w:sz w:val="28"/>
        </w:rPr>
        <w:t>木衣架等优势行业全供应链创新发展工程。针对优势制造业行</w:t>
      </w:r>
      <w:r>
        <w:rPr>
          <w:spacing w:val="-18"/>
          <w:sz w:val="28"/>
        </w:rPr>
        <w:t>业，开展供应链管理服务，以项目合作、资本合作、战略合作为纽带， </w:t>
      </w:r>
      <w:r>
        <w:rPr>
          <w:spacing w:val="-10"/>
          <w:sz w:val="28"/>
        </w:rPr>
        <w:t>推动物流业主动融入相关产业并向其上下游延伸。发展与产业相匹配</w:t>
      </w:r>
      <w:r>
        <w:rPr>
          <w:spacing w:val="-4"/>
          <w:sz w:val="28"/>
        </w:rPr>
        <w:t>的集原材料采购及运入、产成品销售及运出、区域分拨、高端仓储、</w:t>
      </w:r>
      <w:r>
        <w:rPr>
          <w:spacing w:val="-19"/>
          <w:sz w:val="28"/>
        </w:rPr>
        <w:t>流通加工、物流信息、供应链金融等于一体的全供应链管理服务平台。</w:t>
      </w:r>
      <w:r>
        <w:rPr>
          <w:spacing w:val="-5"/>
          <w:sz w:val="28"/>
        </w:rPr>
        <w:t>鼓励制造业物流外包，发展零库存管理、生产线边物流等新型业务。</w:t>
      </w:r>
      <w:r>
        <w:rPr>
          <w:spacing w:val="-3"/>
          <w:sz w:val="28"/>
        </w:rPr>
        <w:t>鼓励物流企业和制造企业协同“走出去”，提供安全可靠服务。</w:t>
      </w:r>
    </w:p>
    <w:p>
      <w:pPr>
        <w:pStyle w:val="BodyText"/>
        <w:ind w:left="0"/>
        <w:rPr>
          <w:sz w:val="15"/>
        </w:rPr>
      </w:pPr>
    </w:p>
    <w:p>
      <w:pPr>
        <w:pStyle w:val="Heading1"/>
        <w:spacing w:line="434" w:lineRule="auto" w:before="55"/>
        <w:ind w:right="3105"/>
      </w:pPr>
      <w:bookmarkStart w:name="（四）努力构建国际商贸物流新格局" w:id="114"/>
      <w:bookmarkEnd w:id="114"/>
      <w:r>
        <w:rPr>
          <w:b w:val="0"/>
        </w:rPr>
      </w:r>
      <w:bookmarkStart w:name="_bookmark45" w:id="115"/>
      <w:bookmarkEnd w:id="115"/>
      <w:r>
        <w:rPr>
          <w:b w:val="0"/>
        </w:rPr>
      </w:r>
      <w:r>
        <w:rPr/>
        <w:t>（四）努力构建国际商贸物流新格局</w:t>
      </w:r>
      <w:bookmarkStart w:name="1.加快国际物流基础设施建设" w:id="116"/>
      <w:bookmarkEnd w:id="116"/>
      <w:r>
        <w:rPr/>
      </w:r>
      <w:bookmarkStart w:name="_bookmark46" w:id="117"/>
      <w:bookmarkEnd w:id="117"/>
      <w:r>
        <w:rPr/>
      </w:r>
      <w:r>
        <w:rPr/>
        <w:t>1.加快国际物流基础设施建设</w:t>
      </w:r>
    </w:p>
    <w:p>
      <w:pPr>
        <w:pStyle w:val="BodyText"/>
        <w:spacing w:line="364" w:lineRule="auto" w:before="1"/>
        <w:ind w:right="577" w:firstLine="640"/>
      </w:pPr>
      <w:r>
        <w:rPr>
          <w:spacing w:val="7"/>
          <w:w w:val="95"/>
        </w:rPr>
        <w:t>积极申请建设保税物流中心</w:t>
      </w:r>
      <w:r>
        <w:rPr>
          <w:spacing w:val="5"/>
          <w:w w:val="95"/>
        </w:rPr>
        <w:t>（B</w:t>
      </w:r>
      <w:r>
        <w:rPr>
          <w:spacing w:val="7"/>
          <w:w w:val="95"/>
        </w:rPr>
        <w:t>型）</w:t>
      </w:r>
      <w:r>
        <w:rPr>
          <w:spacing w:val="6"/>
          <w:w w:val="95"/>
        </w:rPr>
        <w:t>。以保税仓储、分 </w:t>
      </w:r>
      <w:r>
        <w:rPr>
          <w:spacing w:val="-2"/>
          <w:w w:val="95"/>
        </w:rPr>
        <w:t>装加工、销售、展示、结算等为主要业务，大力发展跨境电</w:t>
      </w:r>
    </w:p>
    <w:p>
      <w:pPr>
        <w:spacing w:after="0" w:line="364" w:lineRule="auto"/>
        <w:sectPr>
          <w:pgSz w:w="11910" w:h="16840"/>
          <w:pgMar w:header="0" w:footer="902" w:top="1580" w:bottom="1180" w:left="1240" w:right="1220"/>
        </w:sectPr>
      </w:pPr>
    </w:p>
    <w:p>
      <w:pPr>
        <w:pStyle w:val="BodyText"/>
        <w:spacing w:line="364" w:lineRule="auto" w:before="43"/>
        <w:ind w:right="419"/>
      </w:pPr>
      <w:r>
        <w:rPr>
          <w:spacing w:val="-4"/>
        </w:rPr>
        <w:t>子商务，有序推进特色商品出口基地和新产业新业态孵化基</w:t>
      </w:r>
      <w:r>
        <w:rPr>
          <w:spacing w:val="-15"/>
          <w:w w:val="95"/>
        </w:rPr>
        <w:t>地建设，形成区域性棉花(棉纱)、大米、红酒等的保税仓储、 </w:t>
      </w:r>
      <w:r>
        <w:rPr>
          <w:spacing w:val="-10"/>
        </w:rPr>
        <w:t>交割交易中心。加强与南宁、成都、重庆、郑州等国际陆港</w:t>
      </w:r>
      <w:r>
        <w:rPr>
          <w:spacing w:val="-7"/>
        </w:rPr>
        <w:t>城市合作，以满足区域内需为出发点，形成进口商品保税展示和物流集散中心。围绕保税物流中心周边，科学规划布局综合服务区、跨境电商产业园和商务会展中心，推动外向型生产制造、物流和服务业等深度融合。</w:t>
      </w:r>
    </w:p>
    <w:p>
      <w:pPr>
        <w:pStyle w:val="BodyText"/>
        <w:spacing w:line="364" w:lineRule="auto" w:before="113"/>
        <w:ind w:right="577" w:firstLine="640"/>
        <w:jc w:val="both"/>
      </w:pPr>
      <w:r>
        <w:rPr>
          <w:spacing w:val="-1"/>
        </w:rPr>
        <w:t>积极推进桂林经济技术开发区无水港建设。支持港口和</w:t>
      </w:r>
      <w:r>
        <w:rPr>
          <w:spacing w:val="-2"/>
        </w:rPr>
        <w:t>铁路运输企业在桂林市打造内陆港，充分利用港口国际物流</w:t>
      </w:r>
      <w:r>
        <w:rPr>
          <w:spacing w:val="-4"/>
          <w:w w:val="95"/>
        </w:rPr>
        <w:t>和铁路运输资源，降低进出口货物物流成本，提升本地企业 </w:t>
      </w:r>
      <w:r>
        <w:rPr>
          <w:spacing w:val="-5"/>
        </w:rPr>
        <w:t>竞争力，提高桂林市的国际物流服务能力，实现周边地区外</w:t>
      </w:r>
      <w:r>
        <w:rPr>
          <w:spacing w:val="-6"/>
        </w:rPr>
        <w:t>运货物通过桂林市向沿海各港口进行分拨，沿海港口内运货</w:t>
      </w:r>
      <w:r>
        <w:rPr>
          <w:spacing w:val="-7"/>
        </w:rPr>
        <w:t>物通过桂林市进行集散，打造具有区域竞争力的腹地型枢纽</w:t>
      </w:r>
      <w:r>
        <w:rPr>
          <w:spacing w:val="-4"/>
          <w:w w:val="95"/>
        </w:rPr>
        <w:t>港。实时拓展拆箱和拼箱、内陆订舱和报关功能等集装箱作 </w:t>
      </w:r>
      <w:r>
        <w:rPr>
          <w:spacing w:val="-4"/>
        </w:rPr>
        <w:t>业及增值服务功能，提升内陆港一站式服务能力。</w:t>
      </w:r>
    </w:p>
    <w:p>
      <w:pPr>
        <w:pStyle w:val="BodyText"/>
        <w:spacing w:line="364" w:lineRule="auto" w:before="115"/>
        <w:ind w:right="565" w:firstLine="640"/>
        <w:jc w:val="both"/>
      </w:pPr>
      <w:r>
        <w:rPr/>
        <w:t>推动桂林国家物流枢纽铁路口岸申请建设。积极申建铁路口岸，服务桂粤湘黔四省区交界城市群发展。重点开展进口拼箱、整进分出、过境中转集拼等业务，依托铁路口岸实现与北部湾港口群和西部陆海新通道枢纽城市空、陆、铁、海多种运输方式的无缝对接。</w:t>
      </w:r>
    </w:p>
    <w:p>
      <w:pPr>
        <w:spacing w:after="0" w:line="364" w:lineRule="auto"/>
        <w:jc w:val="both"/>
        <w:sectPr>
          <w:pgSz w:w="11910" w:h="16840"/>
          <w:pgMar w:header="0" w:footer="902" w:top="1420" w:bottom="1180" w:left="1240" w:right="1220"/>
        </w:sectPr>
      </w:pPr>
    </w:p>
    <w:p>
      <w:pPr>
        <w:pStyle w:val="Heading1"/>
        <w:spacing w:before="43"/>
      </w:pPr>
      <w:bookmarkStart w:name="2.提升国际物流综合服务水平" w:id="118"/>
      <w:bookmarkEnd w:id="118"/>
      <w:r>
        <w:rPr>
          <w:b w:val="0"/>
        </w:rPr>
      </w:r>
      <w:bookmarkStart w:name="_bookmark47" w:id="119"/>
      <w:bookmarkEnd w:id="119"/>
      <w:r>
        <w:rPr>
          <w:b w:val="0"/>
        </w:rPr>
      </w:r>
      <w:r>
        <w:rPr/>
        <w:t>2.提升国际物流综合服务水平</w:t>
      </w:r>
    </w:p>
    <w:p>
      <w:pPr>
        <w:pStyle w:val="BodyText"/>
        <w:spacing w:before="11"/>
        <w:ind w:left="0"/>
        <w:rPr>
          <w:b/>
          <w:sz w:val="25"/>
        </w:rPr>
      </w:pPr>
    </w:p>
    <w:p>
      <w:pPr>
        <w:pStyle w:val="BodyText"/>
        <w:spacing w:line="364" w:lineRule="auto"/>
        <w:ind w:right="580" w:firstLine="640"/>
        <w:jc w:val="both"/>
      </w:pPr>
      <w:r>
        <w:rPr>
          <w:spacing w:val="-2"/>
        </w:rPr>
        <w:t>培育发展国际物流增量需求。依托国际物流设施改善条</w:t>
      </w:r>
      <w:r>
        <w:rPr>
          <w:spacing w:val="-5"/>
        </w:rPr>
        <w:t>件，加快推动外向型产业在桂林市实现集聚发展，为外向型</w:t>
      </w:r>
      <w:r>
        <w:rPr>
          <w:spacing w:val="-1"/>
        </w:rPr>
        <w:t>产业的集聚扩张发展营造良好的物流供应链环境，促进粤港</w:t>
      </w:r>
      <w:r>
        <w:rPr>
          <w:spacing w:val="-2"/>
        </w:rPr>
        <w:t>澳大湾区外向型产业向桂林市转移发展，通过本地外向型产业发展培育增量国际物流需求。</w:t>
      </w:r>
    </w:p>
    <w:p>
      <w:pPr>
        <w:pStyle w:val="BodyText"/>
        <w:spacing w:line="364" w:lineRule="auto" w:before="117"/>
        <w:ind w:right="418" w:firstLine="640"/>
      </w:pPr>
      <w:r>
        <w:rPr/>
        <w:pict>
          <v:group style="position:absolute;margin-left:84.360001pt;margin-top:260.679993pt;width:426.6pt;height:237.8pt;mso-position-horizontal-relative:page;mso-position-vertical-relative:paragraph;z-index:-251646976;mso-wrap-distance-left:0;mso-wrap-distance-right:0" coordorigin="1687,5214" coordsize="8532,4756">
            <v:shape style="position:absolute;left:1692;top:6013;width:8522;height:3951" type="#_x0000_t202" filled="false" stroked="true" strokeweight=".48pt" strokecolor="#000000">
              <v:textbox inset="0,0,0,0">
                <w:txbxContent>
                  <w:p>
                    <w:pPr>
                      <w:spacing w:line="364" w:lineRule="auto" w:before="122"/>
                      <w:ind w:left="103" w:right="7" w:firstLine="559"/>
                      <w:jc w:val="left"/>
                      <w:rPr>
                        <w:sz w:val="28"/>
                      </w:rPr>
                    </w:pPr>
                    <w:r>
                      <w:rPr>
                        <w:rFonts w:ascii="楷体" w:eastAsia="楷体" w:hint="eastAsia"/>
                        <w:spacing w:val="-3"/>
                        <w:sz w:val="28"/>
                      </w:rPr>
                      <w:t>桂林保税物流中心</w:t>
                    </w:r>
                    <w:r>
                      <w:rPr>
                        <w:rFonts w:ascii="楷体" w:eastAsia="楷体" w:hint="eastAsia"/>
                        <w:sz w:val="28"/>
                      </w:rPr>
                      <w:t>（B型</w:t>
                    </w:r>
                    <w:r>
                      <w:rPr>
                        <w:rFonts w:ascii="楷体" w:eastAsia="楷体" w:hint="eastAsia"/>
                        <w:spacing w:val="-3"/>
                        <w:sz w:val="28"/>
                      </w:rPr>
                      <w:t>）</w:t>
                    </w:r>
                    <w:r>
                      <w:rPr>
                        <w:rFonts w:ascii="楷体" w:eastAsia="楷体" w:hint="eastAsia"/>
                        <w:spacing w:val="-2"/>
                        <w:sz w:val="28"/>
                      </w:rPr>
                      <w:t>建设工程。</w:t>
                    </w:r>
                    <w:r>
                      <w:rPr>
                        <w:spacing w:val="-3"/>
                        <w:sz w:val="28"/>
                      </w:rPr>
                      <w:t>按照保税物流中心</w:t>
                    </w:r>
                    <w:r>
                      <w:rPr>
                        <w:sz w:val="28"/>
                      </w:rPr>
                      <w:t>（B</w:t>
                    </w:r>
                    <w:r>
                      <w:rPr>
                        <w:spacing w:val="-3"/>
                        <w:sz w:val="28"/>
                      </w:rPr>
                      <w:t>型</w:t>
                    </w:r>
                    <w:r>
                      <w:rPr>
                        <w:sz w:val="28"/>
                      </w:rPr>
                      <w:t>） </w:t>
                    </w:r>
                    <w:r>
                      <w:rPr>
                        <w:spacing w:val="-10"/>
                        <w:sz w:val="28"/>
                      </w:rPr>
                      <w:t>规划建设，综合考虑交通枢纽、产业布局、商贸流通、市场需求等因素，在邻近桂林两江国际机场的旅游动线上规划建设，重点包含保税</w:t>
                    </w:r>
                    <w:r>
                      <w:rPr>
                        <w:spacing w:val="-9"/>
                        <w:sz w:val="28"/>
                      </w:rPr>
                      <w:t>仓储、保税加工</w:t>
                    </w:r>
                    <w:r>
                      <w:rPr>
                        <w:spacing w:val="-3"/>
                        <w:sz w:val="28"/>
                      </w:rPr>
                      <w:t>（</w:t>
                    </w:r>
                    <w:r>
                      <w:rPr>
                        <w:sz w:val="28"/>
                      </w:rPr>
                      <w:t>分装</w:t>
                    </w:r>
                    <w:r>
                      <w:rPr>
                        <w:spacing w:val="-17"/>
                        <w:sz w:val="28"/>
                      </w:rPr>
                      <w:t>）</w:t>
                    </w:r>
                    <w:r>
                      <w:rPr>
                        <w:spacing w:val="-7"/>
                        <w:sz w:val="28"/>
                      </w:rPr>
                      <w:t>、国际旅游商品贸易、转口贸易、跨境电子</w:t>
                    </w:r>
                    <w:r>
                      <w:rPr>
                        <w:spacing w:val="-11"/>
                        <w:sz w:val="28"/>
                      </w:rPr>
                      <w:t>商务、供应链金融、旅游体验、保税货物的国际采购、中转集拼、分拨配送、融资租赁、转口贸易以及配套的检测维修等服务，以保税方</w:t>
                    </w:r>
                    <w:r>
                      <w:rPr>
                        <w:spacing w:val="-13"/>
                        <w:sz w:val="28"/>
                      </w:rPr>
                      <w:t>式发展航空、铁路、公路的多式联运，满足货物进出口和国际中转需</w:t>
                    </w:r>
                  </w:p>
                </w:txbxContent>
              </v:textbox>
              <v:stroke dashstyle="solid"/>
              <w10:wrap type="none"/>
            </v:shape>
            <v:shape style="position:absolute;left:1692;top:5218;width:8522;height:795" type="#_x0000_t202" filled="false" stroked="true" strokeweight=".48pt" strokecolor="#000000">
              <v:textbox inset="0,0,0,0">
                <w:txbxContent>
                  <w:p>
                    <w:pPr>
                      <w:spacing w:before="122"/>
                      <w:ind w:left="559" w:right="560" w:firstLine="0"/>
                      <w:jc w:val="center"/>
                      <w:rPr>
                        <w:b/>
                        <w:sz w:val="28"/>
                      </w:rPr>
                    </w:pPr>
                    <w:r>
                      <w:rPr>
                        <w:b/>
                        <w:sz w:val="28"/>
                      </w:rPr>
                      <w:t>专栏 3 国际商贸物流建设重点工程</w:t>
                    </w:r>
                  </w:p>
                </w:txbxContent>
              </v:textbox>
              <v:stroke dashstyle="solid"/>
              <w10:wrap type="none"/>
            </v:shape>
            <w10:wrap type="topAndBottom"/>
          </v:group>
        </w:pict>
      </w:r>
      <w:r>
        <w:rPr/>
        <w:pict>
          <v:line style="position:absolute;mso-position-horizontal-relative:page;mso-position-vertical-relative:paragraph;z-index:251670528" from="84.599998pt,260.679993pt" to="84.599998pt,497.979993pt" stroked="true" strokeweight=".48pt" strokecolor="#000000">
            <v:stroke dashstyle="solid"/>
            <w10:wrap type="none"/>
          </v:line>
        </w:pict>
      </w:r>
      <w:r>
        <w:rPr/>
        <w:pict>
          <v:line style="position:absolute;mso-position-horizontal-relative:page;mso-position-vertical-relative:paragraph;z-index:251671552" from="510.700012pt,260.679993pt" to="510.700012pt,497.979993pt" stroked="true" strokeweight=".48pt" strokecolor="#000000">
            <v:stroke dashstyle="solid"/>
            <w10:wrap type="none"/>
          </v:line>
        </w:pict>
      </w:r>
      <w:r>
        <w:rPr>
          <w:spacing w:val="-2"/>
        </w:rPr>
        <w:t>大力发展进口型国际物流。充分发挥区位优势，利用周</w:t>
      </w:r>
      <w:r>
        <w:rPr>
          <w:spacing w:val="-29"/>
        </w:rPr>
        <w:t>边近 </w:t>
      </w:r>
      <w:r>
        <w:rPr/>
        <w:t>2</w:t>
      </w:r>
      <w:r>
        <w:rPr>
          <w:spacing w:val="-11"/>
        </w:rPr>
        <w:t> 亿人口全面建成小康社会、消费升级带来的庞大市场</w:t>
      </w:r>
      <w:r>
        <w:rPr>
          <w:spacing w:val="-7"/>
        </w:rPr>
        <w:t>需求，依托保税物流中心等国际物流设施建设，大力发展坚</w:t>
      </w:r>
      <w:r>
        <w:rPr>
          <w:spacing w:val="-3"/>
        </w:rPr>
        <w:t>果、水果、肉类、乳制品、红酒等商品的进出口业务，与南</w:t>
      </w:r>
      <w:r>
        <w:rPr>
          <w:spacing w:val="-14"/>
        </w:rPr>
        <w:t>宁、重庆、广州、深圳、成都等国际枢纽城市加强业务合作， </w:t>
      </w:r>
      <w:r>
        <w:rPr>
          <w:spacing w:val="-1"/>
        </w:rPr>
        <w:t>成为重要的进口商品分销和物流组织中心，面向周边地区开</w:t>
      </w:r>
      <w:r>
        <w:rPr>
          <w:spacing w:val="-2"/>
        </w:rPr>
        <w:t>展区域分拨和配送业务，打造成桂粤湘黔四省区交界区域进口消费品的集散交易中心。</w:t>
      </w:r>
    </w:p>
    <w:p>
      <w:pPr>
        <w:spacing w:after="0" w:line="364" w:lineRule="auto"/>
        <w:sectPr>
          <w:pgSz w:w="11910" w:h="16840"/>
          <w:pgMar w:header="0" w:footer="902" w:top="1420" w:bottom="1180" w:left="1240" w:right="1220"/>
        </w:sectPr>
      </w:pPr>
    </w:p>
    <w:p>
      <w:pPr>
        <w:pStyle w:val="BodyText"/>
        <w:ind w:left="447"/>
        <w:rPr>
          <w:sz w:val="20"/>
        </w:rPr>
      </w:pPr>
      <w:r>
        <w:rPr>
          <w:sz w:val="20"/>
        </w:rPr>
        <w:pict>
          <v:shape style="width:426.1pt;height:312.1pt;mso-position-horizontal-relative:char;mso-position-vertical-relative:line" type="#_x0000_t202" filled="false" stroked="true" strokeweight=".48pt" strokecolor="#000000">
            <w10:anchorlock/>
            <v:textbox inset="0,0,0,0">
              <w:txbxContent>
                <w:p>
                  <w:pPr>
                    <w:spacing w:line="364" w:lineRule="auto" w:before="3"/>
                    <w:ind w:left="103" w:right="95" w:firstLine="0"/>
                    <w:jc w:val="both"/>
                    <w:rPr>
                      <w:sz w:val="28"/>
                    </w:rPr>
                  </w:pPr>
                  <w:r>
                    <w:rPr>
                      <w:spacing w:val="-10"/>
                      <w:sz w:val="28"/>
                    </w:rPr>
                    <w:t>求。充分利用保税特殊优惠政策，设立工业产品与商品仓储中心。根</w:t>
                  </w:r>
                  <w:r>
                    <w:rPr>
                      <w:spacing w:val="-11"/>
                      <w:sz w:val="28"/>
                    </w:rPr>
                    <w:t>据货物的性质与种类，建设各类通用仓库与专业化仓库，重点发展货</w:t>
                  </w:r>
                  <w:r>
                    <w:rPr>
                      <w:spacing w:val="-10"/>
                      <w:sz w:val="28"/>
                    </w:rPr>
                    <w:t>物入仓出仓管理、货物流转管理、跨境电商、进口商品保税备货、货</w:t>
                  </w:r>
                  <w:r>
                    <w:rPr>
                      <w:spacing w:val="-24"/>
                      <w:sz w:val="28"/>
                    </w:rPr>
                    <w:t>物保税暂存、第三方检验等业务。发展“一头在外、一头在内”和“两头在外”的保税加工业务，实现进口资源的增值服务。</w:t>
                  </w:r>
                </w:p>
                <w:p>
                  <w:pPr>
                    <w:spacing w:line="364" w:lineRule="auto" w:before="117"/>
                    <w:ind w:left="103" w:right="-44" w:firstLine="559"/>
                    <w:jc w:val="left"/>
                    <w:rPr>
                      <w:sz w:val="28"/>
                    </w:rPr>
                  </w:pPr>
                  <w:r>
                    <w:rPr>
                      <w:rFonts w:ascii="楷体" w:hAnsi="楷体" w:eastAsia="楷体" w:hint="eastAsia"/>
                      <w:spacing w:val="-3"/>
                      <w:sz w:val="28"/>
                    </w:rPr>
                    <w:t>建设东盟进口消费平台。</w:t>
                  </w:r>
                  <w:r>
                    <w:rPr>
                      <w:spacing w:val="-3"/>
                      <w:sz w:val="28"/>
                    </w:rPr>
                    <w:t>依托便捷的商贸物流通道和口岸优势， </w:t>
                  </w:r>
                  <w:r>
                    <w:rPr>
                      <w:spacing w:val="-12"/>
                      <w:sz w:val="28"/>
                    </w:rPr>
                    <w:t>大力引进跨境电商平台、企业和服务商，支持商贸物流企业与国际知名品牌企业合作，开展海外购，推动更多中高端进口消费品和服务进入桂</w:t>
                  </w:r>
                  <w:r>
                    <w:rPr>
                      <w:spacing w:val="-15"/>
                      <w:sz w:val="28"/>
                    </w:rPr>
                    <w:t>林，丰富进口商品和服务的市场选择。积极行销东盟国家特色旅游商品，打造中国—东盟旅游商品交易基地、跨境电商消费体验中心、进口商品直销集散中心，提升境外商品和服务消费便利度。</w:t>
                  </w:r>
                </w:p>
              </w:txbxContent>
            </v:textbox>
            <v:stroke dashstyle="solid"/>
          </v:shape>
        </w:pict>
      </w:r>
      <w:r>
        <w:rPr>
          <w:sz w:val="20"/>
        </w:rPr>
      </w:r>
    </w:p>
    <w:p>
      <w:pPr>
        <w:pStyle w:val="Heading1"/>
        <w:spacing w:before="92"/>
      </w:pPr>
      <w:bookmarkStart w:name="（五）推动电商快递物流集聚发展" w:id="120"/>
      <w:bookmarkEnd w:id="120"/>
      <w:r>
        <w:rPr>
          <w:b w:val="0"/>
        </w:rPr>
      </w:r>
      <w:bookmarkStart w:name="_bookmark48" w:id="121"/>
      <w:bookmarkEnd w:id="121"/>
      <w:r>
        <w:rPr>
          <w:b w:val="0"/>
        </w:rPr>
      </w:r>
      <w:r>
        <w:rPr/>
        <w:t>（五）推动电商快递物流集聚发展</w:t>
      </w:r>
    </w:p>
    <w:p>
      <w:pPr>
        <w:pStyle w:val="BodyText"/>
        <w:spacing w:before="1"/>
        <w:ind w:left="0"/>
        <w:rPr>
          <w:b/>
          <w:sz w:val="26"/>
        </w:rPr>
      </w:pPr>
    </w:p>
    <w:p>
      <w:pPr>
        <w:pStyle w:val="BodyText"/>
        <w:spacing w:line="364" w:lineRule="auto"/>
        <w:ind w:right="577" w:firstLine="640"/>
        <w:jc w:val="both"/>
      </w:pPr>
      <w:r>
        <w:rPr>
          <w:spacing w:val="-1"/>
        </w:rPr>
        <w:t>把握电子商务和快递业高速发展机遇期，以建设辐射桂</w:t>
      </w:r>
      <w:r>
        <w:rPr>
          <w:spacing w:val="11"/>
          <w:w w:val="95"/>
        </w:rPr>
        <w:t>粤湘黔四省区结合部电商集疏分拨中心和快递物流中心为 </w:t>
      </w:r>
      <w:r>
        <w:rPr>
          <w:spacing w:val="-1"/>
        </w:rPr>
        <w:t>目标，完善电商和快递分拨配送网络，培育引进电商快递企</w:t>
      </w:r>
      <w:r>
        <w:rPr>
          <w:spacing w:val="-3"/>
          <w:w w:val="95"/>
        </w:rPr>
        <w:t>业，提升电商物流信息化水平，推动电商物流与优势产业深 </w:t>
      </w:r>
      <w:r>
        <w:rPr>
          <w:spacing w:val="-3"/>
        </w:rPr>
        <w:t>度融合，培育依托电商物流实现集聚扩张的增量产业。</w:t>
      </w:r>
    </w:p>
    <w:p>
      <w:pPr>
        <w:pStyle w:val="Heading1"/>
        <w:numPr>
          <w:ilvl w:val="0"/>
          <w:numId w:val="21"/>
        </w:numPr>
        <w:tabs>
          <w:tab w:pos="1523" w:val="left" w:leader="none"/>
        </w:tabs>
        <w:spacing w:line="240" w:lineRule="auto" w:before="114" w:after="0"/>
        <w:ind w:left="1522" w:right="0" w:hanging="323"/>
        <w:jc w:val="left"/>
      </w:pPr>
      <w:bookmarkStart w:name="1.支持快递专业类物流园区建设" w:id="122"/>
      <w:bookmarkEnd w:id="122"/>
      <w:r>
        <w:rPr>
          <w:b w:val="0"/>
        </w:rPr>
      </w:r>
      <w:bookmarkStart w:name="_bookmark49" w:id="123"/>
      <w:bookmarkEnd w:id="123"/>
      <w:r>
        <w:rPr>
          <w:b w:val="0"/>
        </w:rPr>
      </w:r>
      <w:bookmarkStart w:name="_bookmark49" w:id="124"/>
      <w:bookmarkEnd w:id="124"/>
      <w:r>
        <w:rPr/>
        <w:t>支持快递专业类物流园区建设</w:t>
      </w:r>
    </w:p>
    <w:p>
      <w:pPr>
        <w:pStyle w:val="BodyText"/>
        <w:spacing w:before="1"/>
        <w:ind w:left="0"/>
        <w:rPr>
          <w:b/>
          <w:sz w:val="26"/>
        </w:rPr>
      </w:pPr>
    </w:p>
    <w:p>
      <w:pPr>
        <w:pStyle w:val="BodyText"/>
        <w:spacing w:line="364" w:lineRule="auto"/>
        <w:ind w:right="565" w:firstLine="640"/>
        <w:jc w:val="both"/>
      </w:pPr>
      <w:r>
        <w:rPr/>
        <w:t>把邮政和快递物流设施作为国家物流枢纽、地方物流枢纽、现代物流集聚中心和县域物流基地建设的重要内容，同步规划、同步招商、同步建设。鼓励产业园区、商贸中心、生产基地与电商快递融合发展。支持快递专业类物流园区改</w:t>
      </w:r>
    </w:p>
    <w:p>
      <w:pPr>
        <w:spacing w:after="0" w:line="364" w:lineRule="auto"/>
        <w:jc w:val="both"/>
        <w:sectPr>
          <w:pgSz w:w="11910" w:h="16840"/>
          <w:pgMar w:header="0" w:footer="902" w:top="1460" w:bottom="1180" w:left="1240" w:right="1220"/>
        </w:sectPr>
      </w:pPr>
    </w:p>
    <w:p>
      <w:pPr>
        <w:pStyle w:val="BodyText"/>
        <w:spacing w:line="364" w:lineRule="auto" w:before="43"/>
        <w:ind w:right="580"/>
        <w:jc w:val="both"/>
      </w:pPr>
      <w:r>
        <w:rPr>
          <w:spacing w:val="-5"/>
        </w:rPr>
        <w:t>扩建，完善提升邮件快件分拨处理功能，积极补充完善国家</w:t>
      </w:r>
      <w:r>
        <w:rPr>
          <w:spacing w:val="-3"/>
          <w:w w:val="95"/>
        </w:rPr>
        <w:t>物流枢纽功能。鼓励电商企业、快递企业、物流配送企业与 </w:t>
      </w:r>
      <w:r>
        <w:rPr>
          <w:spacing w:val="-5"/>
          <w:w w:val="95"/>
        </w:rPr>
        <w:t>仓储企业等通过产业协同和资源整合，建设“电商</w:t>
      </w:r>
      <w:r>
        <w:rPr>
          <w:w w:val="95"/>
        </w:rPr>
        <w:t>/快递+仓 </w:t>
      </w:r>
      <w:r>
        <w:rPr/>
        <w:t>储+物流配送”三位一体的电商快递物流产业园区。</w:t>
      </w:r>
    </w:p>
    <w:p>
      <w:pPr>
        <w:pStyle w:val="Heading1"/>
        <w:numPr>
          <w:ilvl w:val="0"/>
          <w:numId w:val="21"/>
        </w:numPr>
        <w:tabs>
          <w:tab w:pos="1523" w:val="left" w:leader="none"/>
        </w:tabs>
        <w:spacing w:line="240" w:lineRule="auto" w:before="116" w:after="0"/>
        <w:ind w:left="1522" w:right="0" w:hanging="323"/>
        <w:jc w:val="left"/>
      </w:pPr>
      <w:bookmarkStart w:name="2.鼓励快递企业设立区域性集疏分拨中心" w:id="125"/>
      <w:bookmarkEnd w:id="125"/>
      <w:r>
        <w:rPr>
          <w:b w:val="0"/>
        </w:rPr>
      </w:r>
      <w:bookmarkStart w:name="_bookmark50" w:id="126"/>
      <w:bookmarkEnd w:id="126"/>
      <w:r>
        <w:rPr>
          <w:b w:val="0"/>
        </w:rPr>
      </w:r>
      <w:bookmarkStart w:name="_bookmark50" w:id="127"/>
      <w:bookmarkEnd w:id="127"/>
      <w:r>
        <w:rPr/>
        <w:t>鼓励快递企业设立区域性集疏分拨中心</w:t>
      </w:r>
    </w:p>
    <w:p>
      <w:pPr>
        <w:pStyle w:val="BodyText"/>
        <w:spacing w:before="11"/>
        <w:ind w:left="0"/>
        <w:rPr>
          <w:b/>
          <w:sz w:val="25"/>
        </w:rPr>
      </w:pPr>
    </w:p>
    <w:p>
      <w:pPr>
        <w:pStyle w:val="BodyText"/>
        <w:spacing w:line="364" w:lineRule="auto"/>
        <w:ind w:right="419" w:firstLine="640"/>
      </w:pPr>
      <w:r>
        <w:rPr>
          <w:spacing w:val="-1"/>
        </w:rPr>
        <w:t>通过要素保障和政策支持等方式，鼓励快递企业在桂林</w:t>
      </w:r>
      <w:r>
        <w:rPr>
          <w:spacing w:val="-3"/>
        </w:rPr>
        <w:t>设置区域性集疏分拨中心，构建服务桂粤湘黔四省区结合部</w:t>
      </w:r>
      <w:r>
        <w:rPr>
          <w:spacing w:val="-14"/>
          <w:w w:val="95"/>
        </w:rPr>
        <w:t>的电商和快递分拨配送体系。加大招商力度，吸引电商企业、 </w:t>
      </w:r>
      <w:r>
        <w:rPr>
          <w:spacing w:val="-15"/>
        </w:rPr>
        <w:t>快递企业设立分支机构或总部基地。支持快递企业向电商产</w:t>
      </w:r>
      <w:r>
        <w:rPr>
          <w:spacing w:val="-7"/>
        </w:rPr>
        <w:t>业园区、大型批发市场、大型百货商场、连锁商业机构、便</w:t>
      </w:r>
      <w:r>
        <w:rPr>
          <w:spacing w:val="-5"/>
        </w:rPr>
        <w:t>利店、物业公司、社区服务组织、大中专院校等提供集约化配送、网订店取等多样化个性化服务。引导电子商务企业与</w:t>
      </w:r>
      <w:r>
        <w:rPr>
          <w:spacing w:val="-6"/>
        </w:rPr>
        <w:t>快递物流企业加强系统互联和业务联动，整合共享上下游资源，延伸服务链条，提高供应链协同效率。</w:t>
      </w:r>
    </w:p>
    <w:p>
      <w:pPr>
        <w:pStyle w:val="Heading1"/>
        <w:numPr>
          <w:ilvl w:val="0"/>
          <w:numId w:val="21"/>
        </w:numPr>
        <w:tabs>
          <w:tab w:pos="1523" w:val="left" w:leader="none"/>
        </w:tabs>
        <w:spacing w:line="240" w:lineRule="auto" w:before="115" w:after="0"/>
        <w:ind w:left="1522" w:right="0" w:hanging="323"/>
        <w:jc w:val="left"/>
      </w:pPr>
      <w:bookmarkStart w:name="3.推动快递与农村电子商务融合发展" w:id="128"/>
      <w:bookmarkEnd w:id="128"/>
      <w:r>
        <w:rPr>
          <w:b w:val="0"/>
        </w:rPr>
      </w:r>
      <w:bookmarkStart w:name="_bookmark51" w:id="129"/>
      <w:bookmarkEnd w:id="129"/>
      <w:r>
        <w:rPr>
          <w:b w:val="0"/>
        </w:rPr>
      </w:r>
      <w:bookmarkStart w:name="_bookmark51" w:id="130"/>
      <w:bookmarkEnd w:id="130"/>
      <w:r>
        <w:rPr/>
        <w:t>推动快递与农村电子商务融合发展</w:t>
      </w:r>
    </w:p>
    <w:p>
      <w:pPr>
        <w:pStyle w:val="BodyText"/>
        <w:spacing w:before="11"/>
        <w:ind w:left="0"/>
        <w:rPr>
          <w:b/>
          <w:sz w:val="25"/>
        </w:rPr>
      </w:pPr>
    </w:p>
    <w:p>
      <w:pPr>
        <w:pStyle w:val="BodyText"/>
        <w:spacing w:line="364" w:lineRule="auto"/>
        <w:ind w:right="577" w:firstLine="640"/>
        <w:jc w:val="both"/>
      </w:pPr>
      <w:r>
        <w:rPr>
          <w:spacing w:val="-1"/>
        </w:rPr>
        <w:t>推动快递业与农村电子商务深度融合发展。加强规划引</w:t>
      </w:r>
      <w:r>
        <w:rPr>
          <w:spacing w:val="-4"/>
        </w:rPr>
        <w:t>导，完善支持政策，强化资源整合，鼓励快递企业优化农村</w:t>
      </w:r>
      <w:r>
        <w:rPr>
          <w:spacing w:val="-5"/>
          <w:w w:val="95"/>
        </w:rPr>
        <w:t>资源配置，健全以县级物流配送中心、乡镇配送节点、村级 </w:t>
      </w:r>
      <w:r>
        <w:rPr>
          <w:spacing w:val="-6"/>
        </w:rPr>
        <w:t>公共服务点为支撑的农村配送网络。支持快递企业发展适合</w:t>
      </w:r>
      <w:r>
        <w:rPr>
          <w:spacing w:val="-7"/>
        </w:rPr>
        <w:t>农产品特点的现代物流配送体系、供应链体系和生鲜冷链物</w:t>
      </w:r>
      <w:r>
        <w:rPr>
          <w:spacing w:val="-5"/>
        </w:rPr>
        <w:t>流体系。发挥邮政业对农业的支撑带动作用，推动邮政业与</w:t>
      </w:r>
    </w:p>
    <w:p>
      <w:pPr>
        <w:spacing w:after="0" w:line="364" w:lineRule="auto"/>
        <w:jc w:val="both"/>
        <w:sectPr>
          <w:pgSz w:w="11910" w:h="16840"/>
          <w:pgMar w:header="0" w:footer="902" w:top="1420" w:bottom="1180" w:left="1240" w:right="1220"/>
        </w:sectPr>
      </w:pPr>
    </w:p>
    <w:p>
      <w:pPr>
        <w:pStyle w:val="BodyText"/>
        <w:spacing w:line="364" w:lineRule="auto" w:before="43"/>
        <w:ind w:right="418"/>
        <w:jc w:val="center"/>
      </w:pPr>
      <w:r>
        <w:rPr/>
        <w:pict>
          <v:shape style="position:absolute;margin-left:84.360001pt;margin-top:90.660027pt;width:426.6pt;height:609.15pt;mso-position-horizontal-relative:page;mso-position-vertical-relative:page;z-index:-253682688" coordorigin="1687,1813" coordsize="8532,12183" path="m1687,2847l10219,2847m1687,3642l10219,3642m1687,15025l10219,15025m1692,2842l1692,15020m10214,2842l10214,15020e" filled="false" stroked="true" strokeweight=".48pt" strokecolor="#000000">
            <v:path arrowok="t"/>
            <v:stroke dashstyle="solid"/>
            <w10:wrap type="none"/>
          </v:shape>
        </w:pict>
      </w:r>
      <w:r>
        <w:rPr>
          <w:spacing w:val="-12"/>
          <w:w w:val="95"/>
        </w:rPr>
        <w:t>农村电子商务协同发展。推进“快递下乡”工程，加强邮政、  </w:t>
      </w:r>
      <w:r>
        <w:rPr>
          <w:spacing w:val="-10"/>
          <w:w w:val="95"/>
        </w:rPr>
        <w:t>快递物流与特色农产品产地合作，畅通农产品“上行”通道。</w:t>
      </w:r>
    </w:p>
    <w:p>
      <w:pPr>
        <w:spacing w:before="248"/>
        <w:ind w:left="0" w:right="17" w:firstLine="0"/>
        <w:jc w:val="center"/>
        <w:rPr>
          <w:b/>
          <w:sz w:val="28"/>
        </w:rPr>
      </w:pPr>
      <w:r>
        <w:rPr>
          <w:b/>
          <w:sz w:val="28"/>
        </w:rPr>
        <w:t>专栏 4 电商快递物流创新发展重点工程</w:t>
      </w:r>
    </w:p>
    <w:p>
      <w:pPr>
        <w:pStyle w:val="BodyText"/>
        <w:ind w:left="0"/>
        <w:rPr>
          <w:b/>
          <w:sz w:val="34"/>
        </w:rPr>
      </w:pPr>
    </w:p>
    <w:p>
      <w:pPr>
        <w:spacing w:line="364" w:lineRule="auto" w:before="0"/>
        <w:ind w:left="560" w:right="575" w:firstLine="559"/>
        <w:jc w:val="both"/>
        <w:rPr>
          <w:sz w:val="28"/>
        </w:rPr>
      </w:pPr>
      <w:r>
        <w:rPr>
          <w:rFonts w:ascii="楷体" w:eastAsia="楷体" w:hint="eastAsia"/>
          <w:spacing w:val="4"/>
          <w:sz w:val="28"/>
        </w:rPr>
        <w:t>快递专业类物流园区建设工程。</w:t>
      </w:r>
      <w:r>
        <w:rPr>
          <w:spacing w:val="3"/>
          <w:sz w:val="28"/>
        </w:rPr>
        <w:t>推进桂林中辰电商物流交易中</w:t>
      </w:r>
      <w:r>
        <w:rPr>
          <w:spacing w:val="-11"/>
          <w:sz w:val="28"/>
        </w:rPr>
        <w:t>心、申通快递物流园、桂林国投电商物流产业园、桂林西公路港快递</w:t>
      </w:r>
      <w:r>
        <w:rPr>
          <w:spacing w:val="-13"/>
          <w:sz w:val="28"/>
        </w:rPr>
        <w:t>功能区</w:t>
      </w:r>
      <w:r>
        <w:rPr>
          <w:spacing w:val="-3"/>
          <w:sz w:val="28"/>
        </w:rPr>
        <w:t>（</w:t>
      </w:r>
      <w:r>
        <w:rPr>
          <w:spacing w:val="-1"/>
          <w:sz w:val="28"/>
        </w:rPr>
        <w:t>园区</w:t>
      </w:r>
      <w:r>
        <w:rPr>
          <w:spacing w:val="-34"/>
          <w:sz w:val="28"/>
        </w:rPr>
        <w:t>）</w:t>
      </w:r>
      <w:r>
        <w:rPr>
          <w:spacing w:val="-7"/>
          <w:sz w:val="28"/>
        </w:rPr>
        <w:t>、桂林邮政电商产业园等一批电商快递类物流园区建</w:t>
      </w:r>
      <w:r>
        <w:rPr>
          <w:spacing w:val="-10"/>
          <w:sz w:val="28"/>
        </w:rPr>
        <w:t>设；支持快递企业结合桂林国家物流枢纽承载城市建设，设立区域性</w:t>
      </w:r>
      <w:r>
        <w:rPr>
          <w:spacing w:val="-4"/>
          <w:sz w:val="28"/>
        </w:rPr>
        <w:t>集疏分拨中心或区域性总部基地。</w:t>
      </w:r>
    </w:p>
    <w:p>
      <w:pPr>
        <w:spacing w:line="364" w:lineRule="auto" w:before="115"/>
        <w:ind w:left="560" w:right="577" w:firstLine="559"/>
        <w:jc w:val="both"/>
        <w:rPr>
          <w:sz w:val="28"/>
        </w:rPr>
      </w:pPr>
      <w:r>
        <w:rPr>
          <w:rFonts w:ascii="楷体" w:eastAsia="楷体" w:hint="eastAsia"/>
          <w:spacing w:val="-7"/>
          <w:sz w:val="28"/>
        </w:rPr>
        <w:t>高铁快递物流试点示范工程。</w:t>
      </w:r>
      <w:r>
        <w:rPr>
          <w:spacing w:val="-7"/>
          <w:sz w:val="28"/>
        </w:rPr>
        <w:t>发挥桂林高铁枢纽的优势，创造便</w:t>
      </w:r>
      <w:r>
        <w:rPr>
          <w:spacing w:val="-11"/>
          <w:sz w:val="28"/>
        </w:rPr>
        <w:t>利操作条件，引导快递企业与先进制造企业、商贸企业及电商企业合</w:t>
      </w:r>
      <w:r>
        <w:rPr>
          <w:spacing w:val="-12"/>
          <w:sz w:val="28"/>
        </w:rPr>
        <w:t>作，创新协议运输、急特件运输、定时运输、冷链快递、口岸快递等</w:t>
      </w:r>
      <w:r>
        <w:rPr>
          <w:spacing w:val="-5"/>
          <w:sz w:val="28"/>
        </w:rPr>
        <w:t>多种高铁运输组织方式和物流服务模式。</w:t>
      </w:r>
    </w:p>
    <w:p>
      <w:pPr>
        <w:spacing w:line="364" w:lineRule="auto" w:before="118"/>
        <w:ind w:left="560" w:right="438" w:firstLine="559"/>
        <w:jc w:val="left"/>
        <w:rPr>
          <w:sz w:val="28"/>
        </w:rPr>
      </w:pPr>
      <w:r>
        <w:rPr>
          <w:rFonts w:ascii="楷体" w:hAnsi="楷体" w:eastAsia="楷体" w:hint="eastAsia"/>
          <w:spacing w:val="-10"/>
          <w:sz w:val="28"/>
        </w:rPr>
        <w:t>邮政、快递企业投递车辆安全管理和畅行便利工程。</w:t>
      </w:r>
      <w:r>
        <w:rPr>
          <w:spacing w:val="-2"/>
          <w:sz w:val="28"/>
        </w:rPr>
        <w:t>一是落实快</w:t>
      </w:r>
      <w:r>
        <w:rPr>
          <w:spacing w:val="-9"/>
          <w:sz w:val="28"/>
        </w:rPr>
        <w:t>递电动三轮车挂牌运行和统一标识管理，逐步更新使用符合国家邮政</w:t>
      </w:r>
      <w:r>
        <w:rPr>
          <w:spacing w:val="-11"/>
          <w:sz w:val="28"/>
        </w:rPr>
        <w:t>局《快递专用电动车技术要求》的配送车辆，逐步推广使用轻型箱式</w:t>
      </w:r>
      <w:r>
        <w:rPr>
          <w:spacing w:val="-12"/>
          <w:sz w:val="28"/>
        </w:rPr>
        <w:t>货车和新能源汽车。二是落实尽快按照快递品牌对快递机动车和非机</w:t>
      </w:r>
      <w:r>
        <w:rPr>
          <w:spacing w:val="-11"/>
          <w:sz w:val="28"/>
        </w:rPr>
        <w:t>动车进行排备案登记和加挂车牌，落实邮政、快递企业交通安全主体</w:t>
      </w:r>
      <w:r>
        <w:rPr>
          <w:spacing w:val="-12"/>
          <w:sz w:val="28"/>
        </w:rPr>
        <w:t>责任，加强对驾驶人员交通安全教育，严格落实电动三轮车持证驾驶要求，为车辆和驾驶人员购买人车综合险，全面提升快递电动三轮车</w:t>
      </w:r>
      <w:r>
        <w:rPr>
          <w:spacing w:val="-5"/>
          <w:sz w:val="28"/>
        </w:rPr>
        <w:t>安全运行水平。三是按照“品牌标示统一、宣传内容统一”的要求， </w:t>
      </w:r>
      <w:r>
        <w:rPr>
          <w:spacing w:val="-17"/>
          <w:sz w:val="28"/>
        </w:rPr>
        <w:t>整治投递车辆外观，树立和提升快递行业整体形象。四是对带有邮政、</w:t>
      </w:r>
      <w:r>
        <w:rPr>
          <w:spacing w:val="-11"/>
          <w:sz w:val="28"/>
        </w:rPr>
        <w:t>快递专用标识的投递运输车辆，在确保交通安全的前提下，给予通行</w:t>
      </w:r>
      <w:r>
        <w:rPr>
          <w:spacing w:val="-5"/>
          <w:sz w:val="28"/>
        </w:rPr>
        <w:t>和停靠便利。</w:t>
      </w:r>
    </w:p>
    <w:p>
      <w:pPr>
        <w:spacing w:after="0" w:line="364" w:lineRule="auto"/>
        <w:jc w:val="left"/>
        <w:rPr>
          <w:sz w:val="28"/>
        </w:rPr>
        <w:sectPr>
          <w:pgSz w:w="11910" w:h="16840"/>
          <w:pgMar w:header="0" w:footer="902" w:top="1420" w:bottom="1180" w:left="1240" w:right="1220"/>
        </w:sectPr>
      </w:pPr>
    </w:p>
    <w:p>
      <w:pPr>
        <w:pStyle w:val="Heading1"/>
        <w:spacing w:before="43"/>
      </w:pPr>
      <w:bookmarkStart w:name="（六）构建完善冷链物流服务体系" w:id="131"/>
      <w:bookmarkEnd w:id="131"/>
      <w:r>
        <w:rPr>
          <w:b w:val="0"/>
        </w:rPr>
      </w:r>
      <w:bookmarkStart w:name="_bookmark52" w:id="132"/>
      <w:bookmarkEnd w:id="132"/>
      <w:r>
        <w:rPr>
          <w:b w:val="0"/>
        </w:rPr>
      </w:r>
      <w:r>
        <w:rPr>
          <w:w w:val="95"/>
        </w:rPr>
        <w:t>（六）构建完善冷链物流服务体系</w:t>
      </w:r>
    </w:p>
    <w:p>
      <w:pPr>
        <w:pStyle w:val="BodyText"/>
        <w:spacing w:before="11"/>
        <w:ind w:left="0"/>
        <w:rPr>
          <w:b/>
          <w:sz w:val="25"/>
        </w:rPr>
      </w:pPr>
    </w:p>
    <w:p>
      <w:pPr>
        <w:pStyle w:val="BodyText"/>
        <w:spacing w:line="364" w:lineRule="auto"/>
        <w:ind w:right="580" w:firstLine="640"/>
        <w:jc w:val="both"/>
      </w:pPr>
      <w:r>
        <w:rPr>
          <w:spacing w:val="-3"/>
        </w:rPr>
        <w:t>以构建完善社会化、网络化、专业化的农产品冷链物流</w:t>
      </w:r>
      <w:r>
        <w:rPr>
          <w:spacing w:val="-3"/>
          <w:w w:val="95"/>
        </w:rPr>
        <w:t>服务体系为目标，以农产品冷链、食品加工冷链、生物医药 </w:t>
      </w:r>
      <w:r>
        <w:rPr>
          <w:spacing w:val="-6"/>
        </w:rPr>
        <w:t>冷链为重点，加快桂林市冷链物流基础设施和网络建设，培</w:t>
      </w:r>
      <w:r>
        <w:rPr>
          <w:spacing w:val="-2"/>
        </w:rPr>
        <w:t>育引进冷链物流企业，提升桂林冷链物流和关联产业辐射能级，促进冷链及关联性产业转型升级。</w:t>
      </w:r>
    </w:p>
    <w:p>
      <w:pPr>
        <w:pStyle w:val="Heading1"/>
        <w:numPr>
          <w:ilvl w:val="0"/>
          <w:numId w:val="22"/>
        </w:numPr>
        <w:tabs>
          <w:tab w:pos="1523" w:val="left" w:leader="none"/>
        </w:tabs>
        <w:spacing w:line="240" w:lineRule="auto" w:before="117" w:after="0"/>
        <w:ind w:left="1522" w:right="0" w:hanging="323"/>
        <w:jc w:val="left"/>
      </w:pPr>
      <w:bookmarkStart w:name="1.建设区域性冷链物流枢纽" w:id="133"/>
      <w:bookmarkEnd w:id="133"/>
      <w:r>
        <w:rPr>
          <w:b w:val="0"/>
        </w:rPr>
      </w:r>
      <w:bookmarkStart w:name="_bookmark53" w:id="134"/>
      <w:bookmarkEnd w:id="134"/>
      <w:r>
        <w:rPr>
          <w:b w:val="0"/>
        </w:rPr>
      </w:r>
      <w:bookmarkStart w:name="_bookmark53" w:id="135"/>
      <w:bookmarkEnd w:id="135"/>
      <w:r>
        <w:rPr/>
        <w:t>建设区域性冷链物流枢纽</w:t>
      </w:r>
    </w:p>
    <w:p>
      <w:pPr>
        <w:pStyle w:val="BodyText"/>
        <w:spacing w:before="11"/>
        <w:ind w:left="0"/>
        <w:rPr>
          <w:b/>
          <w:sz w:val="25"/>
        </w:rPr>
      </w:pPr>
    </w:p>
    <w:p>
      <w:pPr>
        <w:pStyle w:val="BodyText"/>
        <w:spacing w:line="364" w:lineRule="auto"/>
        <w:ind w:right="565" w:firstLine="640"/>
        <w:jc w:val="both"/>
      </w:pPr>
      <w:r>
        <w:rPr/>
        <w:t>以桂林市优势特色农产品、生态健康食品、生物医药产品和东盟特色商品为依托，以桂林国际旅游胜地国际消费中心和桂林国家物流枢纽建设为契机，加快推进桂林东站冷链物流园、桂林西公路港冷链功能区（园区）、桂北综合物流产业园等一批冷链物流基础设施建设。积极探索开展高铁冷链、航空冷链、快递冷链、专线冷链、集装箱冷链等冷链新业态新模式。主动对接西部陆海新通道和中欧班列冷藏集装箱业务，加快建设完善多功能、标准化的冷链物流设施，建成立足桂北、辐射桂粤湘黔四省区的区域性冷链物流枢纽。</w:t>
      </w:r>
    </w:p>
    <w:p>
      <w:pPr>
        <w:pStyle w:val="Heading1"/>
        <w:numPr>
          <w:ilvl w:val="0"/>
          <w:numId w:val="22"/>
        </w:numPr>
        <w:tabs>
          <w:tab w:pos="1523" w:val="left" w:leader="none"/>
        </w:tabs>
        <w:spacing w:line="240" w:lineRule="auto" w:before="115" w:after="0"/>
        <w:ind w:left="1522" w:right="0" w:hanging="323"/>
        <w:jc w:val="left"/>
      </w:pPr>
      <w:bookmarkStart w:name="2.促进农产品冷链物流突破发展" w:id="136"/>
      <w:bookmarkEnd w:id="136"/>
      <w:r>
        <w:rPr>
          <w:b w:val="0"/>
        </w:rPr>
      </w:r>
      <w:bookmarkStart w:name="_bookmark54" w:id="137"/>
      <w:bookmarkEnd w:id="137"/>
      <w:r>
        <w:rPr>
          <w:b w:val="0"/>
        </w:rPr>
      </w:r>
      <w:bookmarkStart w:name="_bookmark54" w:id="138"/>
      <w:bookmarkEnd w:id="138"/>
      <w:r>
        <w:rPr/>
        <w:t>促进农产品冷链物流突破发展</w:t>
      </w:r>
    </w:p>
    <w:p>
      <w:pPr>
        <w:pStyle w:val="BodyText"/>
        <w:spacing w:before="11"/>
        <w:ind w:left="0"/>
        <w:rPr>
          <w:b/>
          <w:sz w:val="25"/>
        </w:rPr>
      </w:pPr>
    </w:p>
    <w:p>
      <w:pPr>
        <w:pStyle w:val="BodyText"/>
        <w:spacing w:line="364" w:lineRule="auto" w:before="1"/>
        <w:ind w:right="419" w:firstLine="640"/>
      </w:pPr>
      <w:r>
        <w:rPr>
          <w:spacing w:val="-2"/>
        </w:rPr>
        <w:t>建立健全农产品冷链物流体系。以解决桂林市特色果蔬</w:t>
      </w:r>
      <w:r>
        <w:rPr>
          <w:spacing w:val="-15"/>
          <w:w w:val="95"/>
        </w:rPr>
        <w:t>冷链运输环节断链、缺链为重点，从生产源头实现低温控制， </w:t>
      </w:r>
      <w:r>
        <w:rPr>
          <w:spacing w:val="-10"/>
        </w:rPr>
        <w:t>完善产地预冷、销地冷藏和保鲜运输、保鲜加工等设施，解</w:t>
      </w:r>
      <w:r>
        <w:rPr>
          <w:spacing w:val="-11"/>
        </w:rPr>
        <w:t>决冷链物流运输与其他环节的无缝衔接问题，实现产地市场</w:t>
      </w:r>
    </w:p>
    <w:p>
      <w:pPr>
        <w:spacing w:after="0" w:line="364" w:lineRule="auto"/>
        <w:sectPr>
          <w:pgSz w:w="11910" w:h="16840"/>
          <w:pgMar w:header="0" w:footer="902" w:top="1420" w:bottom="1180" w:left="1240" w:right="1220"/>
        </w:sectPr>
      </w:pPr>
    </w:p>
    <w:p>
      <w:pPr>
        <w:pStyle w:val="BodyText"/>
        <w:spacing w:line="364" w:lineRule="auto" w:before="43"/>
        <w:ind w:right="565"/>
        <w:jc w:val="both"/>
      </w:pPr>
      <w:r>
        <w:rPr/>
        <w:t>和销地市场冷链物流的高效对接。大力发展第三方专业化冷链物流企业，推进第三方物流企业和上下游企业建立长期战略合作伙伴关系，整合资源，共筑冷链物流系统。加强桂林市冷链物流企业与国内知名连锁零售餐饮、食品加工、贸易分销等企业合作，推广“线上线下”经营模式，推动桂林市农产品流通企业和冷链物流企业向冷链供应链服务商转型。</w:t>
      </w:r>
    </w:p>
    <w:p>
      <w:pPr>
        <w:pStyle w:val="BodyText"/>
        <w:spacing w:line="364" w:lineRule="auto" w:before="115"/>
        <w:ind w:right="419" w:firstLine="640"/>
      </w:pPr>
      <w:r>
        <w:rPr>
          <w:spacing w:val="-1"/>
        </w:rPr>
        <w:t>提升农产品冷链物流信息化水平。支持农产品冷链物流</w:t>
      </w:r>
      <w:r>
        <w:rPr>
          <w:spacing w:val="-3"/>
        </w:rPr>
        <w:t>龙头企业整合冷链物流园区、大型农产品批发交易市场、农</w:t>
      </w:r>
      <w:r>
        <w:rPr>
          <w:spacing w:val="-5"/>
        </w:rPr>
        <w:t>民合作社、农产品加工企业和第三方物流企业加快物流信息</w:t>
      </w:r>
      <w:r>
        <w:rPr>
          <w:spacing w:val="-15"/>
          <w:w w:val="95"/>
        </w:rPr>
        <w:t>化管理，将产地产品信息、车辆信息、销售信息等联结起来， </w:t>
      </w:r>
      <w:r>
        <w:rPr>
          <w:spacing w:val="-13"/>
        </w:rPr>
        <w:t>实现数据交换和信息共享，实现对货物和冷链运输车辆的全</w:t>
      </w:r>
      <w:r>
        <w:rPr>
          <w:spacing w:val="-11"/>
        </w:rPr>
        <w:t>程监控和信息共享，优化配置资源，提高全社会冷链物流效</w:t>
      </w:r>
      <w:r>
        <w:rPr>
          <w:spacing w:val="-5"/>
        </w:rPr>
        <w:t>率。加强市场信息、客户服务、库存控制和仓储管理、运输管理和交易管理等应用系</w:t>
      </w:r>
      <w:hyperlink r:id="rId15">
        <w:r>
          <w:rPr>
            <w:spacing w:val="-5"/>
          </w:rPr>
          <w:t>统软件</w:t>
        </w:r>
      </w:hyperlink>
      <w:r>
        <w:rPr>
          <w:spacing w:val="-5"/>
        </w:rPr>
        <w:t>开发，健全冷链物流作业的</w:t>
      </w:r>
      <w:r>
        <w:rPr>
          <w:spacing w:val="-6"/>
        </w:rPr>
        <w:t>信息收集、处理和发布系统，全面提升冷链物流业务管理的信息化水平。加强物联网、云计算、大数据、移动互联等先</w:t>
      </w:r>
      <w:r>
        <w:rPr>
          <w:spacing w:val="-7"/>
        </w:rPr>
        <w:t>进信息技术在冷链物流领域的应用。鼓励和支持企业按照规</w:t>
      </w:r>
      <w:r>
        <w:rPr>
          <w:spacing w:val="-5"/>
        </w:rPr>
        <w:t>范化、标准化运作的要求，建设全程温湿度自动监测、控制</w:t>
      </w:r>
      <w:r>
        <w:rPr>
          <w:spacing w:val="-6"/>
        </w:rPr>
        <w:t>和记录系统，实现全程可追溯，确保冷链农产品在生产流通各环节的品质可控性和安全性。</w:t>
      </w:r>
    </w:p>
    <w:p>
      <w:pPr>
        <w:pStyle w:val="Heading1"/>
        <w:numPr>
          <w:ilvl w:val="0"/>
          <w:numId w:val="22"/>
        </w:numPr>
        <w:tabs>
          <w:tab w:pos="1523" w:val="left" w:leader="none"/>
        </w:tabs>
        <w:spacing w:line="240" w:lineRule="auto" w:before="109" w:after="0"/>
        <w:ind w:left="1522" w:right="0" w:hanging="323"/>
        <w:jc w:val="left"/>
      </w:pPr>
      <w:bookmarkStart w:name="3.促进冷链物流与产业联动发展" w:id="139"/>
      <w:bookmarkEnd w:id="139"/>
      <w:r>
        <w:rPr>
          <w:b w:val="0"/>
        </w:rPr>
      </w:r>
      <w:bookmarkStart w:name="_bookmark55" w:id="140"/>
      <w:bookmarkEnd w:id="140"/>
      <w:r>
        <w:rPr>
          <w:b w:val="0"/>
        </w:rPr>
      </w:r>
      <w:bookmarkStart w:name="_bookmark55" w:id="141"/>
      <w:bookmarkEnd w:id="141"/>
      <w:r>
        <w:rPr/>
        <w:t>促进冷链物流与产业联动发展</w:t>
      </w:r>
    </w:p>
    <w:p>
      <w:pPr>
        <w:pStyle w:val="BodyText"/>
        <w:spacing w:before="12"/>
        <w:ind w:left="0"/>
        <w:rPr>
          <w:b/>
          <w:sz w:val="25"/>
        </w:rPr>
      </w:pPr>
    </w:p>
    <w:p>
      <w:pPr>
        <w:pStyle w:val="BodyText"/>
        <w:ind w:left="1200"/>
      </w:pPr>
      <w:r>
        <w:rPr/>
        <w:t>促进冷链物流与医药产业联动发展。依托桂林市生物医</w:t>
      </w:r>
    </w:p>
    <w:p>
      <w:pPr>
        <w:spacing w:after="0"/>
        <w:sectPr>
          <w:pgSz w:w="11910" w:h="16840"/>
          <w:pgMar w:header="0" w:footer="902" w:top="1420" w:bottom="1180" w:left="1240" w:right="1220"/>
        </w:sectPr>
      </w:pPr>
    </w:p>
    <w:p>
      <w:pPr>
        <w:pStyle w:val="BodyText"/>
        <w:spacing w:line="364" w:lineRule="auto" w:before="43"/>
        <w:ind w:right="419"/>
      </w:pPr>
      <w:r>
        <w:rPr>
          <w:spacing w:val="-14"/>
          <w:w w:val="95"/>
        </w:rPr>
        <w:t>药产业优势，引导医药生产企业在厂区建设低温、冷冻仓库， </w:t>
      </w:r>
      <w:r>
        <w:rPr>
          <w:spacing w:val="-14"/>
        </w:rPr>
        <w:t>满足生产企业冷链物流需求。鼓励医药物流企业根据业务发</w:t>
      </w:r>
      <w:r>
        <w:rPr>
          <w:spacing w:val="-8"/>
        </w:rPr>
        <w:t>展需求，扩大冷链物流设施规模，建设专业化医药冷链物流</w:t>
      </w:r>
      <w:r>
        <w:rPr>
          <w:spacing w:val="-5"/>
        </w:rPr>
        <w:t>园区，提供专业的药品冷链物流服务。提高医药冷链运输水</w:t>
      </w:r>
      <w:r>
        <w:rPr>
          <w:spacing w:val="-4"/>
        </w:rPr>
        <w:t>平，根据医药产品冷链运输要求，提高企业冷藏车辆的配备率，为冷藏车安装温控及传输装置，确保生产企业及物流企业对药品运输过程进行全程实时监控。</w:t>
      </w:r>
    </w:p>
    <w:p>
      <w:pPr>
        <w:pStyle w:val="BodyText"/>
        <w:spacing w:line="364" w:lineRule="auto" w:before="113"/>
        <w:ind w:right="565" w:firstLine="640"/>
        <w:jc w:val="both"/>
      </w:pPr>
      <w:r>
        <w:rPr/>
        <w:pict>
          <v:group style="position:absolute;margin-left:84.360001pt;margin-top:198.299988pt;width:426.6pt;height:271pt;mso-position-horizontal-relative:page;mso-position-vertical-relative:paragraph;z-index:-251639808;mso-wrap-distance-left:0;mso-wrap-distance-right:0" coordorigin="1687,3966" coordsize="8532,5420">
            <v:shape style="position:absolute;left:1692;top:4764;width:8522;height:4616" type="#_x0000_t202" filled="false" stroked="true" strokeweight=".48pt" strokecolor="#000000">
              <v:textbox inset="0,0,0,0">
                <w:txbxContent>
                  <w:p>
                    <w:pPr>
                      <w:spacing w:line="364" w:lineRule="auto" w:before="123"/>
                      <w:ind w:left="103" w:right="-44" w:firstLine="559"/>
                      <w:jc w:val="left"/>
                      <w:rPr>
                        <w:sz w:val="28"/>
                      </w:rPr>
                    </w:pPr>
                    <w:r>
                      <w:rPr>
                        <w:rFonts w:ascii="楷体" w:eastAsia="楷体" w:hint="eastAsia"/>
                        <w:spacing w:val="-7"/>
                        <w:sz w:val="28"/>
                      </w:rPr>
                      <w:t>冷链物流基础设施建设工程。</w:t>
                    </w:r>
                    <w:r>
                      <w:rPr>
                        <w:spacing w:val="-7"/>
                        <w:sz w:val="28"/>
                      </w:rPr>
                      <w:t>加快推进桂林东站冷链物流园、桂</w:t>
                    </w:r>
                    <w:r>
                      <w:rPr>
                        <w:spacing w:val="-6"/>
                        <w:sz w:val="28"/>
                      </w:rPr>
                      <w:t>林西公路港冷链功能区</w:t>
                    </w:r>
                    <w:r>
                      <w:rPr>
                        <w:sz w:val="28"/>
                      </w:rPr>
                      <w:t>（</w:t>
                    </w:r>
                    <w:r>
                      <w:rPr>
                        <w:spacing w:val="-2"/>
                        <w:sz w:val="28"/>
                      </w:rPr>
                      <w:t>园区</w:t>
                    </w:r>
                    <w:r>
                      <w:rPr>
                        <w:spacing w:val="-25"/>
                        <w:sz w:val="28"/>
                      </w:rPr>
                      <w:t>）</w:t>
                    </w:r>
                    <w:r>
                      <w:rPr>
                        <w:spacing w:val="-8"/>
                        <w:sz w:val="28"/>
                      </w:rPr>
                      <w:t>、桂北综合物流产业园、桂林海吉星农产品物流园等一批冷链物流基础设施建设，推动桂林万禾农产品物</w:t>
                    </w:r>
                    <w:r>
                      <w:rPr>
                        <w:spacing w:val="-18"/>
                        <w:sz w:val="28"/>
                      </w:rPr>
                      <w:t>流园、兴安泽源丰冷链物流中心、灵川冠豪农产品物流园等功能提升， </w:t>
                    </w:r>
                    <w:r>
                      <w:rPr>
                        <w:spacing w:val="-5"/>
                        <w:sz w:val="28"/>
                      </w:rPr>
                      <w:t>提高冷链设备设施利用效率。</w:t>
                    </w:r>
                  </w:p>
                  <w:p>
                    <w:pPr>
                      <w:spacing w:line="364" w:lineRule="auto" w:before="118"/>
                      <w:ind w:left="103" w:right="98" w:firstLine="559"/>
                      <w:jc w:val="both"/>
                      <w:rPr>
                        <w:sz w:val="28"/>
                      </w:rPr>
                    </w:pPr>
                    <w:r>
                      <w:rPr>
                        <w:rFonts w:ascii="楷体" w:eastAsia="楷体" w:hint="eastAsia"/>
                        <w:spacing w:val="-9"/>
                        <w:sz w:val="28"/>
                      </w:rPr>
                      <w:t>特色优势果蔬冷链物流体系建设工程。</w:t>
                    </w:r>
                    <w:r>
                      <w:rPr>
                        <w:spacing w:val="-3"/>
                        <w:sz w:val="28"/>
                      </w:rPr>
                      <w:t>在特色优势蔬菜水果重点</w:t>
                    </w:r>
                    <w:r>
                      <w:rPr>
                        <w:spacing w:val="-10"/>
                        <w:sz w:val="28"/>
                      </w:rPr>
                      <w:t>产地，合理布局建设一批农产品产地集配中心，推广产地预冷、初加工、储存保鲜和低温运输技术，发展一体化冷链物流，建立跨地区长</w:t>
                    </w:r>
                  </w:p>
                </w:txbxContent>
              </v:textbox>
              <v:stroke dashstyle="solid"/>
              <w10:wrap type="none"/>
            </v:shape>
            <v:shape style="position:absolute;left:1692;top:3970;width:8522;height:794" type="#_x0000_t202" filled="false" stroked="true" strokeweight=".48pt" strokecolor="#000000">
              <v:textbox inset="0,0,0,0">
                <w:txbxContent>
                  <w:p>
                    <w:pPr>
                      <w:spacing w:before="123"/>
                      <w:ind w:left="559" w:right="559" w:firstLine="0"/>
                      <w:jc w:val="center"/>
                      <w:rPr>
                        <w:b/>
                        <w:sz w:val="28"/>
                      </w:rPr>
                    </w:pPr>
                    <w:r>
                      <w:rPr>
                        <w:b/>
                        <w:sz w:val="28"/>
                      </w:rPr>
                      <w:t>专栏 5 冷链物流发展重点工程</w:t>
                    </w:r>
                  </w:p>
                </w:txbxContent>
              </v:textbox>
              <v:stroke dashstyle="solid"/>
              <w10:wrap type="none"/>
            </v:shape>
            <w10:wrap type="topAndBottom"/>
          </v:group>
        </w:pict>
      </w:r>
      <w:r>
        <w:rPr/>
        <w:pict>
          <v:line style="position:absolute;mso-position-horizontal-relative:page;mso-position-vertical-relative:paragraph;z-index:251677696" from="84.599998pt,198.299988pt" to="84.599998pt,468.799988pt" stroked="true" strokeweight=".48pt" strokecolor="#000000">
            <v:stroke dashstyle="solid"/>
            <w10:wrap type="none"/>
          </v:line>
        </w:pict>
      </w:r>
      <w:r>
        <w:rPr/>
        <w:pict>
          <v:line style="position:absolute;mso-position-horizontal-relative:page;mso-position-vertical-relative:paragraph;z-index:251678720" from="510.700012pt,198.299988pt" to="510.700012pt,468.799988pt" stroked="true" strokeweight=".48pt" strokecolor="#000000">
            <v:stroke dashstyle="solid"/>
            <w10:wrap type="none"/>
          </v:line>
        </w:pict>
      </w:r>
      <w:r>
        <w:rPr>
          <w:spacing w:val="13"/>
          <w:w w:val="95"/>
        </w:rPr>
        <w:t>促进冷链物流与食品加工产业联动发展。围绕冷冻食 </w:t>
      </w:r>
      <w:r>
        <w:rPr>
          <w:spacing w:val="13"/>
        </w:rPr>
        <w:t>品、生猪屠宰等食品加工产业，积极发展覆盖生产、储存、</w:t>
      </w:r>
      <w:r>
        <w:rPr/>
        <w:t>运输及销售全环节的冷链体系。大力发展猪肉等肉类冷链物</w:t>
      </w:r>
      <w:r>
        <w:rPr>
          <w:spacing w:val="-3"/>
        </w:rPr>
        <w:t>流，减少牲畜和家禽活体的跨区域运输，鼓励在重点养殖区</w:t>
      </w:r>
      <w:r>
        <w:rPr>
          <w:spacing w:val="-4"/>
        </w:rPr>
        <w:t>域建设集中屠宰加工和公共服务型冷链物流中心，完善肉类冷链物流体系建设。</w:t>
      </w:r>
    </w:p>
    <w:p>
      <w:pPr>
        <w:spacing w:after="0" w:line="364" w:lineRule="auto"/>
        <w:jc w:val="both"/>
        <w:sectPr>
          <w:pgSz w:w="11910" w:h="16840"/>
          <w:pgMar w:header="0" w:footer="902" w:top="1420" w:bottom="1180" w:left="1240" w:right="1220"/>
        </w:sectPr>
      </w:pPr>
    </w:p>
    <w:p>
      <w:pPr>
        <w:pStyle w:val="BodyText"/>
        <w:ind w:left="447"/>
        <w:rPr>
          <w:sz w:val="20"/>
        </w:rPr>
      </w:pPr>
      <w:r>
        <w:rPr>
          <w:sz w:val="20"/>
        </w:rPr>
        <w:pict>
          <v:shape style="width:426.1pt;height:115.45pt;mso-position-horizontal-relative:char;mso-position-vertical-relative:line" type="#_x0000_t202" filled="false" stroked="true" strokeweight=".48pt" strokecolor="#000000">
            <w10:anchorlock/>
            <v:textbox inset="0,0,0,0">
              <w:txbxContent>
                <w:p>
                  <w:pPr>
                    <w:spacing w:line="364" w:lineRule="auto" w:before="3"/>
                    <w:ind w:left="103" w:right="100" w:firstLine="0"/>
                    <w:jc w:val="both"/>
                    <w:rPr>
                      <w:sz w:val="28"/>
                    </w:rPr>
                  </w:pPr>
                  <w:r>
                    <w:rPr>
                      <w:spacing w:val="-11"/>
                      <w:sz w:val="28"/>
                    </w:rPr>
                    <w:t>途调运的冷链物流体系，促进反季节销售。以冷链物流园区和大型农</w:t>
                  </w:r>
                  <w:r>
                    <w:rPr>
                      <w:spacing w:val="-10"/>
                      <w:sz w:val="28"/>
                    </w:rPr>
                    <w:t>产品批发市场为依托，进一步完善冷藏加工配送，提高自建冷链物流</w:t>
                  </w:r>
                  <w:r>
                    <w:rPr>
                      <w:spacing w:val="-11"/>
                      <w:sz w:val="28"/>
                    </w:rPr>
                    <w:t>装备水平，大力发展共同配送，与社会冷链物流资源整合形成农产品</w:t>
                  </w:r>
                  <w:r>
                    <w:rPr>
                      <w:spacing w:val="-5"/>
                      <w:sz w:val="28"/>
                    </w:rPr>
                    <w:t>流通冷链物流体系。</w:t>
                  </w:r>
                </w:p>
              </w:txbxContent>
            </v:textbox>
            <v:stroke dashstyle="solid"/>
          </v:shape>
        </w:pict>
      </w:r>
      <w:r>
        <w:rPr>
          <w:sz w:val="20"/>
        </w:rPr>
      </w:r>
    </w:p>
    <w:p>
      <w:pPr>
        <w:pStyle w:val="Heading1"/>
        <w:spacing w:line="434" w:lineRule="auto" w:before="88"/>
        <w:ind w:right="4710"/>
      </w:pPr>
      <w:bookmarkStart w:name="（七）创新运输组织方式" w:id="142"/>
      <w:bookmarkEnd w:id="142"/>
      <w:r>
        <w:rPr>
          <w:b w:val="0"/>
        </w:rPr>
      </w:r>
      <w:bookmarkStart w:name="_bookmark56" w:id="143"/>
      <w:bookmarkEnd w:id="143"/>
      <w:r>
        <w:rPr>
          <w:b w:val="0"/>
        </w:rPr>
      </w:r>
      <w:r>
        <w:rPr/>
        <w:t>（七）</w:t>
      </w:r>
      <w:r>
        <w:rPr>
          <w:spacing w:val="-2"/>
        </w:rPr>
        <w:t>创新运输组织方式</w:t>
      </w:r>
      <w:bookmarkStart w:name="1.建设完善多式联运体系" w:id="144"/>
      <w:bookmarkEnd w:id="144"/>
      <w:r>
        <w:rPr>
          <w:spacing w:val="-2"/>
        </w:rPr>
      </w:r>
      <w:bookmarkStart w:name="_bookmark57" w:id="145"/>
      <w:bookmarkEnd w:id="145"/>
      <w:r>
        <w:rPr>
          <w:spacing w:val="-2"/>
        </w:rPr>
      </w:r>
      <w:r>
        <w:rPr>
          <w:w w:val="95"/>
        </w:rPr>
        <w:t>1.</w:t>
      </w:r>
      <w:r>
        <w:rPr>
          <w:spacing w:val="-2"/>
          <w:w w:val="95"/>
        </w:rPr>
        <w:t>建设完善多式联运体系</w:t>
      </w:r>
    </w:p>
    <w:p>
      <w:pPr>
        <w:pStyle w:val="BodyText"/>
        <w:spacing w:line="364" w:lineRule="auto" w:before="2"/>
        <w:ind w:right="419" w:firstLine="640"/>
      </w:pPr>
      <w:r>
        <w:rPr>
          <w:spacing w:val="-1"/>
        </w:rPr>
        <w:t>支持桂林西物流中心加强与工商企业合作，不断推进转</w:t>
      </w:r>
      <w:r>
        <w:rPr>
          <w:spacing w:val="-3"/>
        </w:rPr>
        <w:t>运设施升级改造，推动传统货运场站等设施向综合服务型物</w:t>
      </w:r>
      <w:r>
        <w:rPr>
          <w:spacing w:val="-5"/>
        </w:rPr>
        <w:t>流节点转型，优化中转作业流程，发展公铁联运。加快推进</w:t>
      </w:r>
      <w:r>
        <w:rPr>
          <w:spacing w:val="-6"/>
        </w:rPr>
        <w:t>平乐桂江码头公水联运等战略性联运枢纽节点建设。加快完</w:t>
      </w:r>
      <w:r>
        <w:rPr>
          <w:spacing w:val="-7"/>
        </w:rPr>
        <w:t>善连接物流枢纽的外部道路，构建联运设施先进、联运衔接</w:t>
      </w:r>
      <w:r>
        <w:rPr>
          <w:spacing w:val="-15"/>
          <w:w w:val="95"/>
        </w:rPr>
        <w:t>顺畅、服务流程优化的多式联运枢纽节点体系。以铁路站点、 </w:t>
      </w:r>
      <w:r>
        <w:rPr>
          <w:spacing w:val="-10"/>
        </w:rPr>
        <w:t>货场为节点，构建与铁路货运站能力匹配的公铁联运网络系</w:t>
      </w:r>
      <w:r>
        <w:rPr>
          <w:spacing w:val="-5"/>
        </w:rPr>
        <w:t>统，推进大宗散货公铁联运，提升公铁联运比重。支持有条</w:t>
      </w:r>
      <w:r>
        <w:rPr>
          <w:spacing w:val="-7"/>
        </w:rPr>
        <w:t>件的运输企业向多式联运经营人、综合物流服务商转变，整合物流服务资源，向供应链上下游延伸，推动各类货源与铁</w:t>
      </w:r>
      <w:r>
        <w:rPr>
          <w:spacing w:val="-3"/>
        </w:rPr>
        <w:t>路、水运、民航的对接，形成海陆、水陆、空陆等多种集疏运体系，实现货运无缝衔接。</w:t>
      </w:r>
    </w:p>
    <w:p>
      <w:pPr>
        <w:pStyle w:val="BodyText"/>
        <w:spacing w:line="364" w:lineRule="auto" w:before="112"/>
        <w:ind w:right="577" w:firstLine="640"/>
        <w:jc w:val="both"/>
      </w:pPr>
      <w:r>
        <w:rPr>
          <w:spacing w:val="-1"/>
        </w:rPr>
        <w:t>构建完善全市多式联运协调机制，建立健全多式联运的</w:t>
      </w:r>
      <w:r>
        <w:rPr>
          <w:spacing w:val="-3"/>
          <w:w w:val="95"/>
        </w:rPr>
        <w:t>制度和运行规则，建成多式联运管理平台，加快推进多式联 </w:t>
      </w:r>
      <w:r>
        <w:rPr>
          <w:spacing w:val="-4"/>
        </w:rPr>
        <w:t>运设施装备标准化体系的建设步伐，加强多式联运组织和设</w:t>
      </w:r>
      <w:r>
        <w:rPr>
          <w:spacing w:val="-5"/>
          <w:w w:val="95"/>
        </w:rPr>
        <w:t>施设备技术标准、信息资源、服务规范、作业流程等方面的</w:t>
      </w:r>
    </w:p>
    <w:p>
      <w:pPr>
        <w:spacing w:after="0" w:line="364" w:lineRule="auto"/>
        <w:jc w:val="both"/>
        <w:sectPr>
          <w:pgSz w:w="11910" w:h="16840"/>
          <w:pgMar w:header="0" w:footer="902" w:top="1460" w:bottom="1180" w:left="1240" w:right="1220"/>
        </w:sectPr>
      </w:pPr>
    </w:p>
    <w:p>
      <w:pPr>
        <w:pStyle w:val="BodyText"/>
        <w:spacing w:line="364" w:lineRule="auto" w:before="43"/>
        <w:ind w:right="565"/>
        <w:jc w:val="both"/>
      </w:pPr>
      <w:r>
        <w:rPr/>
        <w:t>有效对接，健全企业间联运机制。推进多式联运信息平台建设，推进不同运输方式、不同企业间多式联运信息开放共享和互联互通，鼓励企业以信息化为引导升级多式联运系统。</w:t>
      </w:r>
    </w:p>
    <w:p>
      <w:pPr>
        <w:pStyle w:val="Heading1"/>
      </w:pPr>
      <w:bookmarkStart w:name="2.提升城乡物流配送网络" w:id="146"/>
      <w:bookmarkEnd w:id="146"/>
      <w:r>
        <w:rPr>
          <w:b w:val="0"/>
        </w:rPr>
      </w:r>
      <w:bookmarkStart w:name="_bookmark58" w:id="147"/>
      <w:bookmarkEnd w:id="147"/>
      <w:r>
        <w:rPr>
          <w:b w:val="0"/>
        </w:rPr>
      </w:r>
      <w:r>
        <w:rPr/>
        <w:t>2.提升城乡物流配送网络</w:t>
      </w:r>
    </w:p>
    <w:p>
      <w:pPr>
        <w:pStyle w:val="BodyText"/>
        <w:spacing w:before="1"/>
        <w:ind w:left="0"/>
        <w:rPr>
          <w:b/>
          <w:sz w:val="26"/>
        </w:rPr>
      </w:pPr>
    </w:p>
    <w:p>
      <w:pPr>
        <w:pStyle w:val="BodyText"/>
        <w:spacing w:line="364" w:lineRule="auto"/>
        <w:ind w:right="565" w:firstLine="640"/>
        <w:jc w:val="both"/>
      </w:pPr>
      <w:r>
        <w:rPr/>
        <w:t>完善城市配送体系。编制桂林城市共同配送专项规划， </w:t>
      </w:r>
      <w:r>
        <w:rPr>
          <w:spacing w:val="-2"/>
        </w:rPr>
        <w:t>支持建设三级城市配送体系。优化城市末端配送节点网络布</w:t>
      </w:r>
      <w:r>
        <w:rPr>
          <w:spacing w:val="-4"/>
        </w:rPr>
        <w:t>局，促进干线运输与城市配送有效衔接。鼓励物流企业加强</w:t>
      </w:r>
      <w:r>
        <w:rPr>
          <w:spacing w:val="-5"/>
        </w:rPr>
        <w:t>协作，实现仓储配送资源开放共享。推动物流寄递信息平台建设，推动建设快件处理中心、快递仓储配送中心、智能快</w:t>
      </w:r>
      <w:r>
        <w:rPr>
          <w:spacing w:val="-4"/>
        </w:rPr>
        <w:t>递柜</w:t>
      </w:r>
      <w:r>
        <w:rPr/>
        <w:t>（智能投递终端</w:t>
      </w:r>
      <w:r>
        <w:rPr>
          <w:spacing w:val="-3"/>
        </w:rPr>
        <w:t>）</w:t>
      </w:r>
      <w:r>
        <w:rPr>
          <w:spacing w:val="-1"/>
        </w:rPr>
        <w:t>等城市快递基础设施。支持社区末端</w:t>
      </w:r>
      <w:r>
        <w:rPr>
          <w:spacing w:val="-3"/>
        </w:rPr>
        <w:t>配送点建设，在社区、机关、学校、商务区等地布局建设共</w:t>
      </w:r>
      <w:r>
        <w:rPr>
          <w:spacing w:val="-3"/>
          <w:w w:val="95"/>
        </w:rPr>
        <w:t>同配送末端网点，实现网点覆盖无死角、快递服务无盲区。</w:t>
      </w:r>
    </w:p>
    <w:p>
      <w:pPr>
        <w:pStyle w:val="BodyText"/>
        <w:spacing w:line="364" w:lineRule="auto" w:before="114"/>
        <w:ind w:right="577" w:firstLine="640"/>
        <w:jc w:val="both"/>
      </w:pPr>
      <w:r>
        <w:rPr>
          <w:spacing w:val="-2"/>
          <w:w w:val="95"/>
        </w:rPr>
        <w:t>提升农村配送网络。推动物流企业、电商企业和邮政快 </w:t>
      </w:r>
      <w:r>
        <w:rPr>
          <w:spacing w:val="-5"/>
        </w:rPr>
        <w:t>递企业、供销合作社等充分利用现有物流资源开展合作，推</w:t>
      </w:r>
      <w:r>
        <w:rPr>
          <w:spacing w:val="-7"/>
        </w:rPr>
        <w:t>动县级仓储配送中心、农村物流快递公共取送点建设，完善县乡村三级物流配送网络。推动第三方配送、共同配送在农</w:t>
      </w:r>
      <w:r>
        <w:rPr>
          <w:spacing w:val="-5"/>
          <w:w w:val="95"/>
        </w:rPr>
        <w:t>村发展，打通农村双向流通“最后</w:t>
      </w:r>
      <w:r>
        <w:rPr>
          <w:w w:val="95"/>
        </w:rPr>
        <w:t>（最初</w:t>
      </w:r>
      <w:r>
        <w:rPr>
          <w:spacing w:val="-3"/>
          <w:w w:val="95"/>
        </w:rPr>
        <w:t>）</w:t>
      </w:r>
      <w:r>
        <w:rPr>
          <w:spacing w:val="-2"/>
          <w:w w:val="95"/>
        </w:rPr>
        <w:t>一公里”。加快 </w:t>
      </w:r>
      <w:r>
        <w:rPr>
          <w:spacing w:val="-3"/>
        </w:rPr>
        <w:t>推进电子商务进农村综合示范工程，加快农村电商综合服务</w:t>
      </w:r>
      <w:r>
        <w:rPr>
          <w:spacing w:val="-5"/>
          <w:w w:val="95"/>
        </w:rPr>
        <w:t>网点建设，新建和改造乡村信息化综合经营服务网点。引导 </w:t>
      </w:r>
      <w:r>
        <w:rPr>
          <w:spacing w:val="-7"/>
        </w:rPr>
        <w:t>电子商务企业与新型农业经营主体、农产品批发市场、连锁</w:t>
      </w:r>
      <w:r>
        <w:rPr>
          <w:spacing w:val="11"/>
          <w:w w:val="95"/>
        </w:rPr>
        <w:t>超市等建立多种形式的联营协作关系，拓宽农产品进城渠 </w:t>
      </w:r>
      <w:r>
        <w:rPr>
          <w:spacing w:val="-2"/>
          <w:w w:val="95"/>
        </w:rPr>
        <w:t>道，拓展农村消费市场，形成农产品进城与农资、消费品下</w:t>
      </w:r>
    </w:p>
    <w:p>
      <w:pPr>
        <w:spacing w:after="0" w:line="364" w:lineRule="auto"/>
        <w:jc w:val="both"/>
        <w:sectPr>
          <w:pgSz w:w="11910" w:h="16840"/>
          <w:pgMar w:header="0" w:footer="902" w:top="1420" w:bottom="1180" w:left="1240" w:right="1220"/>
        </w:sectPr>
      </w:pPr>
    </w:p>
    <w:p>
      <w:pPr>
        <w:pStyle w:val="BodyText"/>
        <w:spacing w:before="43"/>
      </w:pPr>
      <w:r>
        <w:rPr/>
        <w:pict>
          <v:shape style="position:absolute;margin-left:84.360001pt;margin-top:121.760025pt;width:426.6pt;height:609.15pt;mso-position-horizontal-relative:page;mso-position-vertical-relative:page;z-index:-253675520" coordorigin="1687,2435" coordsize="8532,12183" path="m1687,2225l10219,2225m1687,3019l10219,3019m1687,14403l10219,14403m1692,2220l1692,14398m10214,2220l10214,14398e" filled="false" stroked="true" strokeweight=".48pt" strokecolor="#000000">
            <v:path arrowok="t"/>
            <v:stroke dashstyle="solid"/>
            <w10:wrap type="none"/>
          </v:shape>
        </w:pict>
      </w:r>
      <w:r>
        <w:rPr/>
        <w:t>乡双向流通格局。</w:t>
      </w:r>
    </w:p>
    <w:p>
      <w:pPr>
        <w:pStyle w:val="BodyText"/>
        <w:spacing w:before="11"/>
        <w:ind w:left="0"/>
        <w:rPr>
          <w:sz w:val="35"/>
        </w:rPr>
      </w:pPr>
    </w:p>
    <w:p>
      <w:pPr>
        <w:tabs>
          <w:tab w:pos="1053" w:val="left" w:leader="none"/>
        </w:tabs>
        <w:spacing w:before="1"/>
        <w:ind w:left="0" w:right="17" w:firstLine="0"/>
        <w:jc w:val="center"/>
        <w:rPr>
          <w:b/>
          <w:sz w:val="28"/>
        </w:rPr>
      </w:pPr>
      <w:r>
        <w:rPr>
          <w:b/>
          <w:sz w:val="28"/>
        </w:rPr>
        <w:t>专栏</w:t>
      </w:r>
      <w:r>
        <w:rPr>
          <w:b/>
          <w:spacing w:val="-71"/>
          <w:sz w:val="28"/>
        </w:rPr>
        <w:t> </w:t>
      </w:r>
      <w:r>
        <w:rPr>
          <w:b/>
          <w:sz w:val="28"/>
        </w:rPr>
        <w:t>6</w:t>
        <w:tab/>
        <w:t>物流运输组织方式创新发展工程</w:t>
      </w:r>
    </w:p>
    <w:p>
      <w:pPr>
        <w:pStyle w:val="BodyText"/>
        <w:spacing w:before="12"/>
        <w:ind w:left="0"/>
        <w:rPr>
          <w:b/>
          <w:sz w:val="33"/>
        </w:rPr>
      </w:pPr>
    </w:p>
    <w:p>
      <w:pPr>
        <w:spacing w:line="364" w:lineRule="auto" w:before="1"/>
        <w:ind w:left="560" w:right="483" w:firstLine="559"/>
        <w:jc w:val="left"/>
        <w:rPr>
          <w:sz w:val="28"/>
        </w:rPr>
      </w:pPr>
      <w:r>
        <w:rPr>
          <w:rFonts w:ascii="楷体" w:eastAsia="楷体" w:hint="eastAsia"/>
          <w:spacing w:val="-7"/>
          <w:sz w:val="28"/>
        </w:rPr>
        <w:t>甩挂运输试点工程。</w:t>
      </w:r>
      <w:r>
        <w:rPr>
          <w:spacing w:val="-8"/>
          <w:sz w:val="28"/>
        </w:rPr>
        <w:t>鼓励试点企业强强联合，推进区域甩挂、联</w:t>
      </w:r>
      <w:r>
        <w:rPr>
          <w:spacing w:val="-11"/>
          <w:sz w:val="28"/>
        </w:rPr>
        <w:t>盟甩挂、多点循环式甩挂、接驳甩挂、省际合作甩挂、驮背式甩挂等新型甩挂运输模式。引导试点企业构建多点的、网络化的、适合于甩挂运输的货运服务网络。支持试点企业购置厢式化、轻量化、专业化</w:t>
      </w:r>
      <w:r>
        <w:rPr>
          <w:spacing w:val="-3"/>
          <w:sz w:val="28"/>
        </w:rPr>
        <w:t>运输装备，鼓励企业投放符合国家推荐的重型甩挂运输汽车列车组， </w:t>
      </w:r>
      <w:r>
        <w:rPr>
          <w:spacing w:val="-10"/>
          <w:sz w:val="28"/>
        </w:rPr>
        <w:t>提高道路货物运输效率。引导企业更新购置新型能源汽车，提升节能减排水平。积极协助企业申请交通发展性专项资金，扶持企业更新购</w:t>
      </w:r>
      <w:r>
        <w:rPr>
          <w:spacing w:val="-3"/>
          <w:sz w:val="28"/>
        </w:rPr>
        <w:t>置甩挂车辆和企业甩挂站场改造建设。以甩挂运输试点企业为主体， </w:t>
      </w:r>
      <w:r>
        <w:rPr>
          <w:spacing w:val="-10"/>
          <w:sz w:val="28"/>
        </w:rPr>
        <w:t>鼓励发展挂车租赁，制订企业间、区域间挂车互换的制度和规范，促</w:t>
      </w:r>
      <w:r>
        <w:rPr>
          <w:spacing w:val="-4"/>
          <w:sz w:val="28"/>
        </w:rPr>
        <w:t>进甩挂运输规模化与集团化发展。</w:t>
      </w:r>
    </w:p>
    <w:p>
      <w:pPr>
        <w:spacing w:line="364" w:lineRule="auto" w:before="115"/>
        <w:ind w:left="560" w:right="483" w:firstLine="559"/>
        <w:jc w:val="left"/>
        <w:rPr>
          <w:sz w:val="28"/>
        </w:rPr>
      </w:pPr>
      <w:r>
        <w:rPr>
          <w:rFonts w:ascii="楷体" w:eastAsia="楷体" w:hint="eastAsia"/>
          <w:spacing w:val="-9"/>
          <w:sz w:val="28"/>
        </w:rPr>
        <w:t>托盘共用推广工程。</w:t>
      </w:r>
      <w:r>
        <w:rPr>
          <w:spacing w:val="-9"/>
          <w:sz w:val="28"/>
        </w:rPr>
        <w:t>大力推广托盘、周转箱等标准化装载单元循</w:t>
      </w:r>
      <w:r>
        <w:rPr>
          <w:spacing w:val="-12"/>
          <w:sz w:val="28"/>
        </w:rPr>
        <w:t>环共用，积极引进托盘、周转箱等标准化装载单元租赁及售后服务企</w:t>
      </w:r>
      <w:r>
        <w:rPr>
          <w:spacing w:val="-3"/>
          <w:sz w:val="28"/>
        </w:rPr>
        <w:t>业，支持企业参加区域性、全国性托盘循环共用系统，并在快消品、第三方物流和商贸等领域开展试点，发展托盘、周转箱租赁、维修、跟踪回购等延伸服务。</w:t>
      </w:r>
    </w:p>
    <w:p>
      <w:pPr>
        <w:spacing w:line="364" w:lineRule="auto" w:before="117"/>
        <w:ind w:left="560" w:right="438" w:firstLine="559"/>
        <w:jc w:val="left"/>
        <w:rPr>
          <w:sz w:val="28"/>
        </w:rPr>
      </w:pPr>
      <w:r>
        <w:rPr>
          <w:rFonts w:ascii="楷体" w:eastAsia="楷体" w:hint="eastAsia"/>
          <w:spacing w:val="-3"/>
          <w:sz w:val="28"/>
        </w:rPr>
        <w:t>无车承运试点工程。</w:t>
      </w:r>
      <w:r>
        <w:rPr>
          <w:spacing w:val="-3"/>
          <w:sz w:val="28"/>
        </w:rPr>
        <w:t>探索完善道路货运无车承运人在许可准入、</w:t>
      </w:r>
      <w:r>
        <w:rPr>
          <w:spacing w:val="-11"/>
          <w:sz w:val="28"/>
        </w:rPr>
        <w:t>运营监管、诚信考核等环节的管理制度，对符合条件的无车承运企业</w:t>
      </w:r>
      <w:r>
        <w:rPr>
          <w:spacing w:val="-17"/>
          <w:sz w:val="28"/>
        </w:rPr>
        <w:t>赋予运输经营资质。健全道路货运无车承运人在信息共享、运输组织、</w:t>
      </w:r>
      <w:r>
        <w:rPr>
          <w:spacing w:val="-11"/>
          <w:sz w:val="28"/>
        </w:rPr>
        <w:t>运营服务等方面的标准规范，培育一批理念创新、运作高效、服务规</w:t>
      </w:r>
      <w:r>
        <w:rPr>
          <w:spacing w:val="-5"/>
          <w:sz w:val="28"/>
        </w:rPr>
        <w:t>范的道路货运无车承运人。</w:t>
      </w:r>
    </w:p>
    <w:p>
      <w:pPr>
        <w:spacing w:after="0" w:line="364" w:lineRule="auto"/>
        <w:jc w:val="left"/>
        <w:rPr>
          <w:sz w:val="28"/>
        </w:rPr>
        <w:sectPr>
          <w:pgSz w:w="11910" w:h="16840"/>
          <w:pgMar w:header="0" w:footer="902" w:top="1420" w:bottom="1180" w:left="1240" w:right="1220"/>
        </w:sectPr>
      </w:pPr>
    </w:p>
    <w:p>
      <w:pPr>
        <w:pStyle w:val="Heading1"/>
        <w:spacing w:line="434" w:lineRule="auto" w:before="43"/>
        <w:ind w:right="4710"/>
      </w:pPr>
      <w:bookmarkStart w:name="（八）加快发展智慧物流" w:id="148"/>
      <w:bookmarkEnd w:id="148"/>
      <w:r>
        <w:rPr>
          <w:b w:val="0"/>
        </w:rPr>
      </w:r>
      <w:bookmarkStart w:name="_bookmark59" w:id="149"/>
      <w:bookmarkEnd w:id="149"/>
      <w:r>
        <w:rPr>
          <w:b w:val="0"/>
        </w:rPr>
      </w:r>
      <w:r>
        <w:rPr/>
        <w:t>（八）加快发展智慧物流</w:t>
      </w:r>
      <w:bookmarkStart w:name="1.构建智慧物流发展体系" w:id="150"/>
      <w:bookmarkEnd w:id="150"/>
      <w:r>
        <w:rPr/>
      </w:r>
      <w:bookmarkStart w:name="_bookmark60" w:id="151"/>
      <w:bookmarkEnd w:id="151"/>
      <w:r>
        <w:rPr/>
      </w:r>
      <w:r>
        <w:rPr/>
        <w:t>1.构建智慧物流发展体系</w:t>
      </w:r>
    </w:p>
    <w:p>
      <w:pPr>
        <w:pStyle w:val="BodyText"/>
        <w:spacing w:line="364" w:lineRule="auto"/>
        <w:ind w:right="419" w:firstLine="640"/>
      </w:pPr>
      <w:r>
        <w:rPr>
          <w:spacing w:val="-2"/>
        </w:rPr>
        <w:t>按照数据资源大集中、信息系统一体化的建设思路，夯</w:t>
      </w:r>
      <w:r>
        <w:rPr>
          <w:spacing w:val="-14"/>
          <w:w w:val="95"/>
        </w:rPr>
        <w:t>实物流信息化发展基础，充分利用物联网、云计算、大数据、 </w:t>
      </w:r>
      <w:r>
        <w:rPr>
          <w:spacing w:val="-14"/>
        </w:rPr>
        <w:t>人工智能等新一代信息技术，搭建全市统一的物流云平台， </w:t>
      </w:r>
      <w:r>
        <w:rPr>
          <w:spacing w:val="11"/>
        </w:rPr>
        <w:t>整合集成现有应用系统和数据资源，加强综合信息服务平</w:t>
      </w:r>
      <w:r>
        <w:rPr>
          <w:spacing w:val="-3"/>
        </w:rPr>
        <w:t>台、物流资源交易平台建设，推进数据汇聚、开放、共享与</w:t>
      </w:r>
      <w:r>
        <w:rPr>
          <w:spacing w:val="-4"/>
        </w:rPr>
        <w:t>利用，构建服务于物流枢纽、物流园区、物流中心、物流企</w:t>
      </w:r>
      <w:r>
        <w:rPr>
          <w:spacing w:val="-3"/>
        </w:rPr>
        <w:t>业</w:t>
      </w:r>
      <w:r>
        <w:rPr/>
        <w:t>（车主、船主</w:t>
      </w:r>
      <w:r>
        <w:rPr>
          <w:spacing w:val="-3"/>
        </w:rPr>
        <w:t>）</w:t>
      </w:r>
      <w:r>
        <w:rPr>
          <w:spacing w:val="-1"/>
        </w:rPr>
        <w:t>、物流客户</w:t>
      </w:r>
      <w:r>
        <w:rPr/>
        <w:t>（货主）等主要用户群的一体</w:t>
      </w:r>
      <w:r>
        <w:rPr>
          <w:spacing w:val="-3"/>
        </w:rPr>
        <w:t>化业务应用系统，推动桂林物流产业标准化、网络化、智能</w:t>
      </w:r>
      <w:r>
        <w:rPr>
          <w:spacing w:val="-4"/>
        </w:rPr>
        <w:t>化、低碳化发展，将桂林建设成为西南地区重要的国家级智慧物流枢纽城市。</w:t>
      </w:r>
    </w:p>
    <w:p>
      <w:pPr>
        <w:pStyle w:val="Heading1"/>
        <w:numPr>
          <w:ilvl w:val="0"/>
          <w:numId w:val="23"/>
        </w:numPr>
        <w:tabs>
          <w:tab w:pos="1523" w:val="left" w:leader="none"/>
        </w:tabs>
        <w:spacing w:line="240" w:lineRule="auto" w:before="112" w:after="0"/>
        <w:ind w:left="1522" w:right="0" w:hanging="323"/>
        <w:jc w:val="left"/>
      </w:pPr>
      <w:bookmarkStart w:name="2.优化信息基础设施" w:id="152"/>
      <w:bookmarkEnd w:id="152"/>
      <w:r>
        <w:rPr>
          <w:b w:val="0"/>
        </w:rPr>
      </w:r>
      <w:bookmarkStart w:name="_bookmark61" w:id="153"/>
      <w:bookmarkEnd w:id="153"/>
      <w:r>
        <w:rPr>
          <w:b w:val="0"/>
        </w:rPr>
      </w:r>
      <w:bookmarkStart w:name="_bookmark61" w:id="154"/>
      <w:bookmarkEnd w:id="154"/>
      <w:r>
        <w:rPr/>
        <w:t>优化信息基础设施</w:t>
      </w:r>
    </w:p>
    <w:p>
      <w:pPr>
        <w:pStyle w:val="BodyText"/>
        <w:spacing w:before="11"/>
        <w:ind w:left="0"/>
        <w:rPr>
          <w:b/>
          <w:sz w:val="25"/>
        </w:rPr>
      </w:pPr>
    </w:p>
    <w:p>
      <w:pPr>
        <w:pStyle w:val="BodyText"/>
        <w:spacing w:line="364" w:lineRule="auto" w:before="1"/>
        <w:ind w:right="577" w:firstLine="640"/>
        <w:jc w:val="both"/>
      </w:pPr>
      <w:r>
        <w:rPr>
          <w:spacing w:val="-2"/>
        </w:rPr>
        <w:t>物流信息化基础设施主要包括云数据中心、互联网、移</w:t>
      </w:r>
      <w:r>
        <w:rPr>
          <w:spacing w:val="-3"/>
          <w:w w:val="95"/>
        </w:rPr>
        <w:t>动互联网、物联网和信息终端等。互联网、移动互联网、物 </w:t>
      </w:r>
      <w:r>
        <w:rPr>
          <w:spacing w:val="-4"/>
        </w:rPr>
        <w:t>联网传输部分采用运营商发达的网络体系，物联网数据采集</w:t>
      </w:r>
      <w:r>
        <w:rPr>
          <w:spacing w:val="-5"/>
        </w:rPr>
        <w:t>设备和信息终端由用户自行解决，政府相关部门应重点支持企业建设云数据中心。按照大集中、大共享的原则，物流云</w:t>
      </w:r>
      <w:r>
        <w:rPr>
          <w:spacing w:val="-6"/>
        </w:rPr>
        <w:t>数据中心应搭建在全市统一的政务云数据中心内，由政务云数据中心解决计算、存储、容灾、安全、供电等需求。</w:t>
      </w:r>
    </w:p>
    <w:p>
      <w:pPr>
        <w:spacing w:after="0" w:line="364" w:lineRule="auto"/>
        <w:jc w:val="both"/>
        <w:sectPr>
          <w:pgSz w:w="11910" w:h="16840"/>
          <w:pgMar w:header="0" w:footer="902" w:top="1420" w:bottom="1180" w:left="1240" w:right="1220"/>
        </w:sectPr>
      </w:pPr>
    </w:p>
    <w:p>
      <w:pPr>
        <w:pStyle w:val="Heading1"/>
        <w:numPr>
          <w:ilvl w:val="0"/>
          <w:numId w:val="23"/>
        </w:numPr>
        <w:tabs>
          <w:tab w:pos="1523" w:val="left" w:leader="none"/>
        </w:tabs>
        <w:spacing w:line="240" w:lineRule="auto" w:before="43" w:after="0"/>
        <w:ind w:left="1522" w:right="0" w:hanging="323"/>
        <w:jc w:val="left"/>
      </w:pPr>
      <w:bookmarkStart w:name="3.推广应用先进设施设备" w:id="155"/>
      <w:bookmarkEnd w:id="155"/>
      <w:r>
        <w:rPr>
          <w:b w:val="0"/>
        </w:rPr>
      </w:r>
      <w:bookmarkStart w:name="_bookmark62" w:id="156"/>
      <w:bookmarkEnd w:id="156"/>
      <w:r>
        <w:rPr>
          <w:b w:val="0"/>
        </w:rPr>
      </w:r>
      <w:bookmarkStart w:name="_bookmark62" w:id="157"/>
      <w:bookmarkEnd w:id="157"/>
      <w:r>
        <w:rPr/>
        <w:t>推广应用先进设施设备</w:t>
      </w:r>
    </w:p>
    <w:p>
      <w:pPr>
        <w:pStyle w:val="BodyText"/>
        <w:spacing w:before="11"/>
        <w:ind w:left="0"/>
        <w:rPr>
          <w:b/>
          <w:sz w:val="25"/>
        </w:rPr>
      </w:pPr>
    </w:p>
    <w:p>
      <w:pPr>
        <w:pStyle w:val="BodyText"/>
        <w:spacing w:line="364" w:lineRule="auto"/>
        <w:ind w:right="565" w:firstLine="640"/>
        <w:jc w:val="both"/>
      </w:pPr>
      <w:r>
        <w:rPr>
          <w:spacing w:val="13"/>
          <w:w w:val="95"/>
        </w:rPr>
        <w:t>加快推广应用智慧物流先进设施设备，包括物流机器 </w:t>
      </w:r>
      <w:r>
        <w:rPr>
          <w:spacing w:val="-1"/>
        </w:rPr>
        <w:t>人、智能货架、自动验收</w:t>
      </w:r>
      <w:r>
        <w:rPr/>
        <w:t>/自动包装/</w:t>
      </w:r>
      <w:r>
        <w:rPr>
          <w:spacing w:val="-1"/>
        </w:rPr>
        <w:t>自动分拣设备、无人驾</w:t>
      </w:r>
      <w:r>
        <w:rPr>
          <w:spacing w:val="-4"/>
        </w:rPr>
        <w:t>驶货车、无人机等。支持企业在实际应用过程中根据应用场景和自身需要循序渐进。由于设施设备更新换代速度较快， 优先支持发展智慧物流先进设施设备租赁服务。</w:t>
      </w:r>
    </w:p>
    <w:p>
      <w:pPr>
        <w:pStyle w:val="Heading1"/>
        <w:numPr>
          <w:ilvl w:val="0"/>
          <w:numId w:val="23"/>
        </w:numPr>
        <w:tabs>
          <w:tab w:pos="1523" w:val="left" w:leader="none"/>
        </w:tabs>
        <w:spacing w:line="240" w:lineRule="auto" w:before="117" w:after="0"/>
        <w:ind w:left="1522" w:right="0" w:hanging="323"/>
        <w:jc w:val="left"/>
      </w:pPr>
      <w:bookmarkStart w:name="4.打造智慧物流园区" w:id="158"/>
      <w:bookmarkEnd w:id="158"/>
      <w:r>
        <w:rPr>
          <w:b w:val="0"/>
        </w:rPr>
      </w:r>
      <w:bookmarkStart w:name="_bookmark63" w:id="159"/>
      <w:bookmarkEnd w:id="159"/>
      <w:r>
        <w:rPr>
          <w:b w:val="0"/>
        </w:rPr>
      </w:r>
      <w:bookmarkStart w:name="_bookmark63" w:id="160"/>
      <w:bookmarkEnd w:id="160"/>
      <w:r>
        <w:rPr/>
        <w:t>打造智慧物流园区</w:t>
      </w:r>
    </w:p>
    <w:p>
      <w:pPr>
        <w:pStyle w:val="BodyText"/>
        <w:spacing w:before="11"/>
        <w:ind w:left="0"/>
        <w:rPr>
          <w:b/>
          <w:sz w:val="25"/>
        </w:rPr>
      </w:pPr>
    </w:p>
    <w:p>
      <w:pPr>
        <w:pStyle w:val="BodyText"/>
        <w:spacing w:line="364" w:lineRule="auto"/>
        <w:ind w:right="565" w:firstLine="640"/>
        <w:jc w:val="both"/>
      </w:pPr>
      <w:r>
        <w:rPr/>
        <w:t>鼓励新建物流园区积极采用物联网、大数据、云计算、</w:t>
      </w:r>
      <w:r>
        <w:rPr>
          <w:spacing w:val="-2"/>
        </w:rPr>
        <w:t>人工智能、区块链等先进信息技术建设智慧物流园区。构建</w:t>
      </w:r>
      <w:r>
        <w:rPr>
          <w:spacing w:val="5"/>
          <w:w w:val="95"/>
        </w:rPr>
        <w:t>园区集成化综合管理信息平台、监控信息平台</w:t>
      </w:r>
      <w:r>
        <w:rPr>
          <w:spacing w:val="6"/>
          <w:w w:val="95"/>
        </w:rPr>
        <w:t>/</w:t>
      </w:r>
      <w:r>
        <w:rPr>
          <w:spacing w:val="4"/>
          <w:w w:val="95"/>
        </w:rPr>
        <w:t>系统、自动 </w:t>
      </w:r>
      <w:r>
        <w:rPr>
          <w:spacing w:val="4"/>
        </w:rPr>
        <w:t>巡检系统和车位/</w:t>
      </w:r>
      <w:r>
        <w:rPr/>
        <w:t>库位导引系统；引入WMS/WCS（自动化仓储管理系统</w:t>
      </w:r>
      <w:r>
        <w:rPr>
          <w:spacing w:val="-3"/>
        </w:rPr>
        <w:t>）</w:t>
      </w:r>
      <w:r>
        <w:rPr>
          <w:spacing w:val="-2"/>
        </w:rPr>
        <w:t>、物流机器人</w:t>
      </w:r>
      <w:r>
        <w:rPr/>
        <w:t>/AGV</w:t>
      </w:r>
      <w:r>
        <w:rPr>
          <w:spacing w:val="-2"/>
        </w:rPr>
        <w:t>、自动分拣线、自动化立体仓</w:t>
      </w:r>
      <w:r>
        <w:rPr>
          <w:spacing w:val="-3"/>
        </w:rPr>
        <w:t>库；提供信息、金融、供应链等增值服务。支持现有园区的信息化、智能化改造升级。</w:t>
      </w:r>
    </w:p>
    <w:p>
      <w:pPr>
        <w:pStyle w:val="Heading1"/>
        <w:numPr>
          <w:ilvl w:val="0"/>
          <w:numId w:val="23"/>
        </w:numPr>
        <w:tabs>
          <w:tab w:pos="1523" w:val="left" w:leader="none"/>
        </w:tabs>
        <w:spacing w:line="240" w:lineRule="auto" w:before="116" w:after="0"/>
        <w:ind w:left="1522" w:right="0" w:hanging="323"/>
        <w:jc w:val="left"/>
      </w:pPr>
      <w:bookmarkStart w:name="5.建设物流信息公共服务平台" w:id="161"/>
      <w:bookmarkEnd w:id="161"/>
      <w:r>
        <w:rPr>
          <w:b w:val="0"/>
        </w:rPr>
      </w:r>
      <w:bookmarkStart w:name="_bookmark64" w:id="162"/>
      <w:bookmarkEnd w:id="162"/>
      <w:r>
        <w:rPr>
          <w:b w:val="0"/>
        </w:rPr>
      </w:r>
      <w:bookmarkStart w:name="_bookmark64" w:id="163"/>
      <w:bookmarkEnd w:id="163"/>
      <w:r>
        <w:rPr/>
        <w:t>建设物流信息公共服务平台</w:t>
      </w:r>
    </w:p>
    <w:p>
      <w:pPr>
        <w:pStyle w:val="BodyText"/>
        <w:spacing w:before="11"/>
        <w:ind w:left="0"/>
        <w:rPr>
          <w:b/>
          <w:sz w:val="25"/>
        </w:rPr>
      </w:pPr>
    </w:p>
    <w:p>
      <w:pPr>
        <w:pStyle w:val="BodyText"/>
        <w:spacing w:line="364" w:lineRule="auto"/>
        <w:ind w:right="418" w:firstLine="640"/>
        <w:jc w:val="both"/>
      </w:pPr>
      <w:r>
        <w:rPr>
          <w:spacing w:val="-2"/>
        </w:rPr>
        <w:t>物流云平台。物流云平台是面向各类物流企业、物流枢</w:t>
      </w:r>
      <w:r>
        <w:rPr>
          <w:spacing w:val="-3"/>
        </w:rPr>
        <w:t>纽中心及各类综合型企业的物流部门等的完整解决方案，依</w:t>
      </w:r>
      <w:r>
        <w:rPr>
          <w:spacing w:val="-5"/>
        </w:rPr>
        <w:t>靠大规模的云计算处理能力、标准的作业流程、灵活的业务覆盖、精确的环节控制、智能的决策支持及深入的信息共享来完成物流行业各环节所需要的信息化要求。在云平台上， </w:t>
      </w:r>
      <w:r>
        <w:rPr>
          <w:spacing w:val="-16"/>
        </w:rPr>
        <w:t>相关政府部门、物流园区、物流中心、物流公司、物流客户、</w:t>
      </w:r>
    </w:p>
    <w:p>
      <w:pPr>
        <w:spacing w:after="0" w:line="364" w:lineRule="auto"/>
        <w:jc w:val="both"/>
        <w:sectPr>
          <w:pgSz w:w="11910" w:h="16840"/>
          <w:pgMar w:header="0" w:footer="902" w:top="1420" w:bottom="1180" w:left="1240" w:right="1220"/>
        </w:sectPr>
      </w:pPr>
    </w:p>
    <w:p>
      <w:pPr>
        <w:pStyle w:val="BodyText"/>
        <w:spacing w:line="364" w:lineRule="auto" w:before="43"/>
        <w:ind w:right="577"/>
        <w:jc w:val="both"/>
      </w:pPr>
      <w:r>
        <w:rPr>
          <w:spacing w:val="-3"/>
          <w:w w:val="95"/>
        </w:rPr>
        <w:t>服务机构、行业协会、新闻媒体等都集中在云上，整合成资 </w:t>
      </w:r>
      <w:r>
        <w:rPr>
          <w:spacing w:val="-3"/>
        </w:rPr>
        <w:t>源池，各个资源相互展示和互动，按需交流，达成意向，从而降低成本，提高效率。</w:t>
      </w:r>
    </w:p>
    <w:p>
      <w:pPr>
        <w:pStyle w:val="BodyText"/>
        <w:spacing w:line="364" w:lineRule="auto" w:before="115"/>
        <w:ind w:right="565" w:firstLine="640"/>
        <w:jc w:val="both"/>
      </w:pPr>
      <w:r>
        <w:rPr/>
        <w:pict>
          <v:line style="position:absolute;mso-position-horizontal-relative:page;mso-position-vertical-relative:paragraph;z-index:251684864" from="80.400002pt,369.559998pt" to="80.400002pt,606.859998pt" stroked="true" strokeweight=".48pt" strokecolor="#000000">
            <v:stroke dashstyle="solid"/>
            <w10:wrap type="none"/>
          </v:line>
        </w:pict>
      </w:r>
      <w:r>
        <w:rPr/>
        <w:pict>
          <v:line style="position:absolute;mso-position-horizontal-relative:page;mso-position-vertical-relative:paragraph;z-index:251685888" from="506.5pt,369.559998pt" to="506.5pt,606.859998pt" stroked="true" strokeweight=".48pt" strokecolor="#000000">
            <v:stroke dashstyle="solid"/>
            <w10:wrap type="none"/>
          </v:line>
        </w:pict>
      </w:r>
      <w:r>
        <w:rPr/>
        <w:t>物流信息公共服务平台</w:t>
      </w:r>
      <w:r>
        <w:rPr>
          <w:b/>
        </w:rPr>
        <w:t>。</w:t>
      </w:r>
      <w:r>
        <w:rPr/>
        <w:t>物流综合信息公共服务平台是桂林市建设国际物流枢纽的重大项目。按照《国家物流枢纽布局和建设规划》要求，物流综合信息服务平台要打破物流信息壁垒，推动企业间信息共享，实现车辆、货物位置及状态等信息实时查询；加强交通、公安、海关、市场监管、气象、邮政等部门公共数据开放共享，为便利企业生产经营和完善物流信用环境提供支撑；加强物流服务安全监管和物流活动的跟踪监测，推动相关企业落实实名登记和信息留存等安全管理制度，实现货物来源可追溯、责任可倒查；实现物流订单、储运业务、货物追踪、支付结算等信息集成共享、高效流动。</w:t>
      </w:r>
    </w:p>
    <w:p>
      <w:pPr>
        <w:pStyle w:val="BodyText"/>
        <w:spacing w:before="10"/>
        <w:ind w:left="0"/>
        <w:rPr>
          <w:sz w:val="29"/>
        </w:rPr>
      </w:pPr>
      <w:r>
        <w:rPr/>
        <w:pict>
          <v:group style="position:absolute;margin-left:80.160004pt;margin-top:21.059999pt;width:426.6pt;height:237.8pt;mso-position-horizontal-relative:page;mso-position-vertical-relative:paragraph;z-index:-251632640;mso-wrap-distance-left:0;mso-wrap-distance-right:0" coordorigin="1603,421" coordsize="8532,4756">
            <v:shape style="position:absolute;left:1608;top:1221;width:8522;height:3951" type="#_x0000_t202" filled="false" stroked="true" strokeweight=".48pt" strokecolor="#000000">
              <v:textbox inset="0,0,0,0">
                <w:txbxContent>
                  <w:p>
                    <w:pPr>
                      <w:spacing w:line="364" w:lineRule="auto" w:before="121"/>
                      <w:ind w:left="103" w:right="7" w:firstLine="559"/>
                      <w:jc w:val="left"/>
                      <w:rPr>
                        <w:sz w:val="28"/>
                      </w:rPr>
                    </w:pPr>
                    <w:r>
                      <w:rPr>
                        <w:rFonts w:ascii="楷体" w:hAnsi="楷体" w:eastAsia="楷体" w:hint="eastAsia"/>
                        <w:spacing w:val="-10"/>
                        <w:sz w:val="28"/>
                      </w:rPr>
                      <w:t>物流信息公共服务平台建设工程。</w:t>
                    </w:r>
                    <w:r>
                      <w:rPr>
                        <w:spacing w:val="-3"/>
                        <w:sz w:val="28"/>
                      </w:rPr>
                      <w:t>建设桂林市物流电子地图为基</w:t>
                    </w:r>
                    <w:r>
                      <w:rPr>
                        <w:spacing w:val="-8"/>
                        <w:sz w:val="28"/>
                      </w:rPr>
                      <w:t>础，采用“</w:t>
                    </w:r>
                    <w:r>
                      <w:rPr>
                        <w:spacing w:val="-4"/>
                        <w:sz w:val="28"/>
                      </w:rPr>
                      <w:t>1+N+3</w:t>
                    </w:r>
                    <w:r>
                      <w:rPr>
                        <w:spacing w:val="-7"/>
                        <w:sz w:val="28"/>
                      </w:rPr>
                      <w:t>”模式，建设物流信息公共服务平台。“</w:t>
                    </w:r>
                    <w:r>
                      <w:rPr>
                        <w:spacing w:val="-6"/>
                        <w:sz w:val="28"/>
                      </w:rPr>
                      <w:t>1</w:t>
                    </w:r>
                    <w:r>
                      <w:rPr>
                        <w:spacing w:val="-3"/>
                        <w:sz w:val="28"/>
                      </w:rPr>
                      <w:t>”即一个门户网站，打造桂林市物流的窗口形象，提供行业新闻、通知公告、</w:t>
                    </w:r>
                    <w:r>
                      <w:rPr>
                        <w:spacing w:val="-12"/>
                        <w:sz w:val="28"/>
                      </w:rPr>
                      <w:t>政策宣教、知识百科、标准普及等资讯型功能，并与自治区和国家有</w:t>
                    </w:r>
                    <w:r>
                      <w:rPr>
                        <w:spacing w:val="-10"/>
                        <w:sz w:val="28"/>
                      </w:rPr>
                      <w:t>关物流信息公共服务平台实现互联互通。“</w:t>
                    </w:r>
                    <w:r>
                      <w:rPr>
                        <w:spacing w:val="-12"/>
                        <w:sz w:val="28"/>
                      </w:rPr>
                      <w:t>N</w:t>
                    </w:r>
                    <w:r>
                      <w:rPr>
                        <w:spacing w:val="-3"/>
                        <w:sz w:val="28"/>
                      </w:rPr>
                      <w:t>”即推动 </w:t>
                    </w:r>
                    <w:r>
                      <w:rPr>
                        <w:sz w:val="28"/>
                      </w:rPr>
                      <w:t>N 个应用服务</w:t>
                    </w:r>
                    <w:r>
                      <w:rPr>
                        <w:spacing w:val="-10"/>
                        <w:sz w:val="28"/>
                      </w:rPr>
                      <w:t>平台建设，在保持独立运作的同时，嵌入门户网站，提供统一的身份</w:t>
                    </w:r>
                    <w:r>
                      <w:rPr>
                        <w:spacing w:val="-11"/>
                        <w:sz w:val="28"/>
                      </w:rPr>
                      <w:t>认证，集中提供智慧物流服务功能，主要包括：物流云平台、智慧运</w:t>
                    </w:r>
                  </w:p>
                </w:txbxContent>
              </v:textbox>
              <v:stroke dashstyle="solid"/>
              <w10:wrap type="none"/>
            </v:shape>
            <v:shape style="position:absolute;left:1608;top:426;width:8522;height:795" type="#_x0000_t202" filled="false" stroked="true" strokeweight=".48pt" strokecolor="#000000">
              <v:textbox inset="0,0,0,0">
                <w:txbxContent>
                  <w:p>
                    <w:pPr>
                      <w:tabs>
                        <w:tab w:pos="1613" w:val="left" w:leader="none"/>
                      </w:tabs>
                      <w:spacing w:before="122"/>
                      <w:ind w:left="559" w:right="0" w:firstLine="0"/>
                      <w:jc w:val="center"/>
                      <w:rPr>
                        <w:b/>
                        <w:sz w:val="28"/>
                      </w:rPr>
                    </w:pPr>
                    <w:r>
                      <w:rPr>
                        <w:b/>
                        <w:sz w:val="28"/>
                      </w:rPr>
                      <w:t>专栏</w:t>
                    </w:r>
                    <w:r>
                      <w:rPr>
                        <w:b/>
                        <w:spacing w:val="-73"/>
                        <w:sz w:val="28"/>
                      </w:rPr>
                      <w:t> </w:t>
                    </w:r>
                    <w:r>
                      <w:rPr>
                        <w:b/>
                        <w:sz w:val="28"/>
                      </w:rPr>
                      <w:t>7</w:t>
                      <w:tab/>
                      <w:t>智慧物流创新发展工程</w:t>
                    </w:r>
                  </w:p>
                </w:txbxContent>
              </v:textbox>
              <v:stroke dashstyle="solid"/>
              <w10:wrap type="none"/>
            </v:shape>
            <w10:wrap type="topAndBottom"/>
          </v:group>
        </w:pict>
      </w:r>
    </w:p>
    <w:p>
      <w:pPr>
        <w:spacing w:after="0"/>
        <w:rPr>
          <w:sz w:val="29"/>
        </w:rPr>
        <w:sectPr>
          <w:pgSz w:w="11910" w:h="16840"/>
          <w:pgMar w:header="0" w:footer="902" w:top="1420" w:bottom="1180" w:left="1240" w:right="1220"/>
        </w:sectPr>
      </w:pPr>
    </w:p>
    <w:p>
      <w:pPr>
        <w:spacing w:line="364" w:lineRule="auto" w:before="32"/>
        <w:ind w:left="475" w:right="661" w:firstLine="0"/>
        <w:jc w:val="both"/>
        <w:rPr>
          <w:sz w:val="28"/>
        </w:rPr>
      </w:pPr>
      <w:r>
        <w:rPr/>
        <w:pict>
          <v:shape style="position:absolute;margin-left:80.160004pt;margin-top:267.919983pt;width:426.6pt;height:427.25pt;mso-position-horizontal-relative:page;mso-position-vertical-relative:paragraph;z-index:-253669376" coordorigin="1603,5358" coordsize="8532,8545" path="m1603,24l10135,24m1603,8564l10135,8564m1608,19l1608,8559m10130,19l10130,8559e" filled="false" stroked="true" strokeweight=".48pt" strokecolor="#000000">
            <v:path arrowok="t"/>
            <v:stroke dashstyle="solid"/>
            <w10:wrap type="none"/>
          </v:shape>
        </w:pict>
      </w:r>
      <w:r>
        <w:rPr>
          <w:spacing w:val="-10"/>
          <w:sz w:val="28"/>
        </w:rPr>
        <w:t>力服务平台、甩挂运输服务平台、多式联运信息平台、交通流大数据分析平台、物流诚信评价平台等。“3”即在遵循国家平台标准的基</w:t>
      </w:r>
      <w:r>
        <w:rPr>
          <w:spacing w:val="-11"/>
          <w:sz w:val="28"/>
        </w:rPr>
        <w:t>础上，打造物流线上联网的数据采集与交换模式，实现三个层面的互</w:t>
      </w:r>
      <w:r>
        <w:rPr>
          <w:spacing w:val="-13"/>
          <w:sz w:val="28"/>
        </w:rPr>
        <w:t>联互通，包括宏观层连通，与桂林周边地区主要国家物流枢纽建立的</w:t>
      </w:r>
      <w:r>
        <w:rPr>
          <w:spacing w:val="-12"/>
          <w:sz w:val="28"/>
        </w:rPr>
        <w:t>物流公共信息服务平台连通；中观层连通，与广西区和桂林市各大物</w:t>
      </w:r>
      <w:r>
        <w:rPr>
          <w:spacing w:val="-10"/>
          <w:sz w:val="28"/>
        </w:rPr>
        <w:t>流园区和关键节点信息化平台连通；微观层连通，与物流企业的信息</w:t>
      </w:r>
      <w:r>
        <w:rPr>
          <w:spacing w:val="-4"/>
          <w:sz w:val="28"/>
        </w:rPr>
        <w:t>化系统连通。</w:t>
      </w:r>
    </w:p>
    <w:p>
      <w:pPr>
        <w:spacing w:line="364" w:lineRule="auto" w:before="114"/>
        <w:ind w:left="475" w:right="660" w:firstLine="559"/>
        <w:jc w:val="both"/>
        <w:rPr>
          <w:sz w:val="28"/>
        </w:rPr>
      </w:pPr>
      <w:r>
        <w:rPr>
          <w:rFonts w:ascii="楷体" w:hAnsi="楷体" w:eastAsia="楷体" w:hint="eastAsia"/>
          <w:spacing w:val="-6"/>
          <w:sz w:val="28"/>
        </w:rPr>
        <w:t>企业物流信息平台升级发展工程。</w:t>
      </w:r>
      <w:r>
        <w:rPr>
          <w:spacing w:val="-10"/>
          <w:sz w:val="28"/>
        </w:rPr>
        <w:t>支持储运集团、五运科技、通达物流、小麻雀物流等企业升级发展企业信息平台，与工商企业</w:t>
      </w:r>
      <w:r>
        <w:rPr>
          <w:sz w:val="28"/>
        </w:rPr>
        <w:t>（货主</w:t>
      </w:r>
      <w:r>
        <w:rPr>
          <w:spacing w:val="-58"/>
          <w:sz w:val="28"/>
        </w:rPr>
        <w:t>）</w:t>
      </w:r>
      <w:r>
        <w:rPr>
          <w:spacing w:val="-24"/>
          <w:sz w:val="28"/>
        </w:rPr>
        <w:t>、物流企业</w:t>
      </w:r>
      <w:r>
        <w:rPr>
          <w:sz w:val="28"/>
        </w:rPr>
        <w:t>（</w:t>
      </w:r>
      <w:r>
        <w:rPr>
          <w:spacing w:val="-13"/>
          <w:sz w:val="28"/>
        </w:rPr>
        <w:t>车主、船主</w:t>
      </w:r>
      <w:r>
        <w:rPr>
          <w:spacing w:val="-56"/>
          <w:sz w:val="28"/>
        </w:rPr>
        <w:t>）</w:t>
      </w:r>
      <w:r>
        <w:rPr>
          <w:spacing w:val="-11"/>
          <w:sz w:val="28"/>
        </w:rPr>
        <w:t>和国内外主流快递公司对接，实现“一</w:t>
      </w:r>
      <w:r>
        <w:rPr>
          <w:spacing w:val="-12"/>
          <w:sz w:val="28"/>
        </w:rPr>
        <w:t>键比价、统一下单、统一跟踪、统一对账”等功能无缝衔接，提高行</w:t>
      </w:r>
      <w:r>
        <w:rPr>
          <w:spacing w:val="-5"/>
          <w:sz w:val="28"/>
        </w:rPr>
        <w:t>业运作效率。</w:t>
      </w:r>
    </w:p>
    <w:p>
      <w:pPr>
        <w:spacing w:line="364" w:lineRule="auto" w:before="117"/>
        <w:ind w:left="475" w:right="661" w:firstLine="559"/>
        <w:jc w:val="both"/>
        <w:rPr>
          <w:sz w:val="28"/>
        </w:rPr>
      </w:pPr>
      <w:r>
        <w:rPr>
          <w:rFonts w:ascii="楷体" w:eastAsia="楷体" w:hint="eastAsia"/>
          <w:spacing w:val="-12"/>
          <w:sz w:val="28"/>
        </w:rPr>
        <w:t>智慧物流园区建设工程。</w:t>
      </w:r>
      <w:r>
        <w:rPr>
          <w:spacing w:val="-3"/>
          <w:sz w:val="28"/>
        </w:rPr>
        <w:t>制订符合桂林实际的智慧物流园区建设</w:t>
      </w:r>
      <w:r>
        <w:rPr>
          <w:spacing w:val="-10"/>
          <w:sz w:val="28"/>
        </w:rPr>
        <w:t>标准指南，引导新建物流园区按照智慧园区的标准进行规划建设，升</w:t>
      </w:r>
      <w:r>
        <w:rPr>
          <w:spacing w:val="-4"/>
          <w:sz w:val="28"/>
        </w:rPr>
        <w:t>级改造部分有条件的现有园区。</w:t>
      </w:r>
    </w:p>
    <w:p>
      <w:pPr>
        <w:pStyle w:val="BodyText"/>
        <w:spacing w:before="2"/>
        <w:ind w:left="0"/>
        <w:rPr>
          <w:sz w:val="15"/>
        </w:rPr>
      </w:pPr>
    </w:p>
    <w:p>
      <w:pPr>
        <w:pStyle w:val="Heading1"/>
        <w:spacing w:before="55"/>
      </w:pPr>
      <w:bookmarkStart w:name="（九）打造特色鲜明的枢纽经济" w:id="164"/>
      <w:bookmarkEnd w:id="164"/>
      <w:r>
        <w:rPr>
          <w:b w:val="0"/>
        </w:rPr>
      </w:r>
      <w:bookmarkStart w:name="_bookmark65" w:id="165"/>
      <w:bookmarkEnd w:id="165"/>
      <w:r>
        <w:rPr>
          <w:b w:val="0"/>
        </w:rPr>
      </w:r>
      <w:r>
        <w:rPr/>
        <w:t>（九）打造特色鲜明的枢纽经济</w:t>
      </w:r>
    </w:p>
    <w:p>
      <w:pPr>
        <w:pStyle w:val="BodyText"/>
        <w:ind w:left="0"/>
        <w:rPr>
          <w:b/>
          <w:sz w:val="26"/>
        </w:rPr>
      </w:pPr>
    </w:p>
    <w:p>
      <w:pPr>
        <w:pStyle w:val="BodyText"/>
        <w:spacing w:line="364" w:lineRule="auto" w:before="1"/>
        <w:ind w:right="565" w:firstLine="640"/>
        <w:jc w:val="both"/>
      </w:pPr>
      <w:r>
        <w:rPr/>
        <w:t>以建设桂林商贸服务型国家物流枢纽为核心，以智慧、高效、绿色、低成本的“枢纽+通道+网络”的物流服务体系为支撑，借鉴国内外经验，抢抓国家物流枢纽和陆海新通道建设的战略机遇，通过物流带产业、枢纽聚产业，以空港经济示范区、铁路港经济示范区和临港经济示范区为抓手，培育壮大枢纽经济产业集群，促进枢纽功能和产业辐射能级提升，促进全市经济的转型升级和跨越式发展。</w:t>
      </w:r>
    </w:p>
    <w:p>
      <w:pPr>
        <w:spacing w:after="0" w:line="364" w:lineRule="auto"/>
        <w:jc w:val="both"/>
        <w:sectPr>
          <w:pgSz w:w="11910" w:h="16840"/>
          <w:pgMar w:header="0" w:footer="902" w:top="1440" w:bottom="1180" w:left="1240" w:right="1220"/>
        </w:sectPr>
      </w:pPr>
    </w:p>
    <w:p>
      <w:pPr>
        <w:tabs>
          <w:tab w:pos="1055" w:val="left" w:leader="none"/>
        </w:tabs>
        <w:spacing w:before="132"/>
        <w:ind w:left="0" w:right="17" w:firstLine="0"/>
        <w:jc w:val="center"/>
        <w:rPr>
          <w:b/>
          <w:sz w:val="28"/>
        </w:rPr>
      </w:pPr>
      <w:r>
        <w:rPr/>
        <w:pict>
          <v:shape style="position:absolute;margin-left:84.360001pt;margin-top:82.760025pt;width:426.6pt;height:685.3pt;mso-position-horizontal-relative:page;mso-position-vertical-relative:page;z-index:-253668352" coordorigin="1687,1655" coordsize="8532,13706" path="m1687,1482l10219,1482m1687,2277l10219,2277m1687,15183l10219,15183m1692,1477l1692,15178m10214,1477l10214,15178e" filled="false" stroked="true" strokeweight=".48pt" strokecolor="#000000">
            <v:path arrowok="t"/>
            <v:stroke dashstyle="solid"/>
            <w10:wrap type="none"/>
          </v:shape>
        </w:pict>
      </w:r>
      <w:r>
        <w:rPr>
          <w:b/>
          <w:sz w:val="28"/>
        </w:rPr>
        <w:t>专栏</w:t>
      </w:r>
      <w:r>
        <w:rPr>
          <w:b/>
          <w:spacing w:val="-71"/>
          <w:sz w:val="28"/>
        </w:rPr>
        <w:t> </w:t>
      </w:r>
      <w:r>
        <w:rPr>
          <w:b/>
          <w:sz w:val="28"/>
        </w:rPr>
        <w:t>8</w:t>
        <w:tab/>
        <w:t>枢纽经济发展重点工程</w:t>
      </w:r>
    </w:p>
    <w:p>
      <w:pPr>
        <w:pStyle w:val="BodyText"/>
        <w:spacing w:before="12"/>
        <w:ind w:left="0"/>
        <w:rPr>
          <w:b/>
          <w:sz w:val="33"/>
        </w:rPr>
      </w:pPr>
    </w:p>
    <w:p>
      <w:pPr>
        <w:spacing w:line="364" w:lineRule="auto" w:before="0"/>
        <w:ind w:left="560" w:right="483" w:firstLine="559"/>
        <w:jc w:val="left"/>
        <w:rPr>
          <w:sz w:val="28"/>
        </w:rPr>
      </w:pPr>
      <w:r>
        <w:rPr>
          <w:rFonts w:ascii="楷体" w:eastAsia="楷体" w:hint="eastAsia"/>
          <w:spacing w:val="-3"/>
          <w:sz w:val="28"/>
        </w:rPr>
        <w:t>桂林空港经济示范区建设工程。</w:t>
      </w:r>
      <w:r>
        <w:rPr>
          <w:spacing w:val="-3"/>
          <w:sz w:val="28"/>
        </w:rPr>
        <w:t>以桂林两江国际机场为核心区， </w:t>
      </w:r>
      <w:r>
        <w:rPr>
          <w:spacing w:val="-8"/>
          <w:sz w:val="28"/>
        </w:rPr>
        <w:t>构建完善现代综合交通运输集疏运体系，以提供高时效、高质量、高</w:t>
      </w:r>
      <w:r>
        <w:rPr>
          <w:spacing w:val="3"/>
          <w:sz w:val="28"/>
        </w:rPr>
        <w:t>附加值产品和服务为方向，依托桂林国际旅游胜地和面向东盟的优</w:t>
      </w:r>
      <w:r>
        <w:rPr>
          <w:spacing w:val="-10"/>
          <w:sz w:val="28"/>
        </w:rPr>
        <w:t>势，大力发展具有临空指向特点的战略性新兴产业和现代服务业，培</w:t>
      </w:r>
      <w:r>
        <w:rPr>
          <w:spacing w:val="-9"/>
          <w:sz w:val="28"/>
        </w:rPr>
        <w:t>育形成具有临空经济特色的高端产业集群。空港经济示范区主要包括</w:t>
      </w:r>
      <w:r>
        <w:rPr>
          <w:spacing w:val="-13"/>
          <w:sz w:val="28"/>
        </w:rPr>
        <w:t>机场运营区、核心发展区和辐射拓展区 </w:t>
      </w:r>
      <w:r>
        <w:rPr>
          <w:sz w:val="28"/>
        </w:rPr>
        <w:t>3</w:t>
      </w:r>
      <w:r>
        <w:rPr>
          <w:spacing w:val="-12"/>
          <w:sz w:val="28"/>
        </w:rPr>
        <w:t> 类地区。其中机场运营区以</w:t>
      </w:r>
      <w:r>
        <w:rPr>
          <w:spacing w:val="-3"/>
          <w:sz w:val="28"/>
        </w:rPr>
        <w:t>桂林两江国际机场所在区域为核心，重点发展航空公司基地、航油、</w:t>
      </w:r>
      <w:r>
        <w:rPr>
          <w:spacing w:val="-9"/>
          <w:sz w:val="28"/>
        </w:rPr>
        <w:t>航材、航空配餐等航空产业集群，境外旅客</w:t>
      </w:r>
      <w:r>
        <w:rPr>
          <w:color w:val="333333"/>
          <w:spacing w:val="-3"/>
          <w:sz w:val="28"/>
        </w:rPr>
        <w:t>免税购物</w:t>
      </w:r>
      <w:r>
        <w:rPr>
          <w:spacing w:val="-7"/>
          <w:sz w:val="28"/>
        </w:rPr>
        <w:t>、旅游特色商品</w:t>
      </w:r>
      <w:r>
        <w:rPr>
          <w:spacing w:val="-10"/>
          <w:sz w:val="28"/>
        </w:rPr>
        <w:t>营销和航空物流产业；核心发展区主要包括保税物流中心</w:t>
      </w:r>
      <w:r>
        <w:rPr>
          <w:sz w:val="28"/>
        </w:rPr>
        <w:t>（B</w:t>
      </w:r>
      <w:r>
        <w:rPr>
          <w:spacing w:val="-1"/>
          <w:sz w:val="28"/>
        </w:rPr>
        <w:t>)和空港</w:t>
      </w:r>
      <w:r>
        <w:rPr>
          <w:spacing w:val="-11"/>
          <w:sz w:val="28"/>
        </w:rPr>
        <w:t>物流园两部分；辐射拓展区主要延伸拓展到桂林经济技术开发区，重</w:t>
      </w:r>
      <w:r>
        <w:rPr>
          <w:spacing w:val="-10"/>
          <w:sz w:val="28"/>
        </w:rPr>
        <w:t>点发展具有航空指向特点的战略性新兴产业、现代服务业和特色优势</w:t>
      </w:r>
      <w:r>
        <w:rPr>
          <w:spacing w:val="-4"/>
          <w:sz w:val="28"/>
        </w:rPr>
        <w:t>农业等。</w:t>
      </w:r>
    </w:p>
    <w:p>
      <w:pPr>
        <w:spacing w:line="364" w:lineRule="auto" w:before="112"/>
        <w:ind w:left="560" w:right="576" w:firstLine="559"/>
        <w:jc w:val="both"/>
        <w:rPr>
          <w:sz w:val="28"/>
        </w:rPr>
      </w:pPr>
      <w:r>
        <w:rPr>
          <w:rFonts w:ascii="楷体" w:hAnsi="楷体" w:eastAsia="楷体" w:hint="eastAsia"/>
          <w:spacing w:val="-7"/>
          <w:sz w:val="28"/>
        </w:rPr>
        <w:t>铁路港枢纽经济区建设工程。</w:t>
      </w:r>
      <w:r>
        <w:rPr>
          <w:spacing w:val="-7"/>
          <w:sz w:val="28"/>
        </w:rPr>
        <w:t>在紧邻桂林西物流中心周边，按照</w:t>
      </w:r>
      <w:r>
        <w:rPr>
          <w:spacing w:val="-15"/>
          <w:sz w:val="28"/>
        </w:rPr>
        <w:t>远期规划用地 </w:t>
      </w:r>
      <w:r>
        <w:rPr>
          <w:sz w:val="28"/>
        </w:rPr>
        <w:t>5000</w:t>
      </w:r>
      <w:r>
        <w:rPr>
          <w:spacing w:val="-8"/>
          <w:sz w:val="28"/>
        </w:rPr>
        <w:t> 亩规模，建设集商贸物流、制造业物流、中枢运</w:t>
      </w:r>
      <w:r>
        <w:rPr>
          <w:spacing w:val="-12"/>
          <w:sz w:val="28"/>
        </w:rPr>
        <w:t>营、体验消费、交易展示、国际会展、物流金融、教育科研、技术创</w:t>
      </w:r>
      <w:r>
        <w:rPr>
          <w:spacing w:val="-10"/>
          <w:sz w:val="28"/>
        </w:rPr>
        <w:t>新和商住餐饮等功能为一体的商贸物流小镇。鼓励物流、快递企业融</w:t>
      </w:r>
      <w:r>
        <w:rPr>
          <w:spacing w:val="-12"/>
          <w:sz w:val="28"/>
        </w:rPr>
        <w:t>入制造业采购、生产、仓储、分销、配送等环节，加强物流资源配置</w:t>
      </w:r>
      <w:r>
        <w:rPr>
          <w:spacing w:val="-10"/>
          <w:sz w:val="28"/>
        </w:rPr>
        <w:t>共享，建设制造业供应链协同中心，持续推进降本增效。鼓励引导国</w:t>
      </w:r>
      <w:r>
        <w:rPr>
          <w:spacing w:val="-11"/>
          <w:sz w:val="28"/>
        </w:rPr>
        <w:t>内外知名物流企业、电商企业、商贸企业、旅游企业等建设跨境电商</w:t>
      </w:r>
      <w:r>
        <w:rPr>
          <w:spacing w:val="-12"/>
          <w:sz w:val="28"/>
        </w:rPr>
        <w:t>消费体验中心、进出口商品直销集散中心和中国—东盟旅游商品交易</w:t>
      </w:r>
      <w:r>
        <w:rPr>
          <w:spacing w:val="-10"/>
          <w:sz w:val="28"/>
        </w:rPr>
        <w:t>基地，设立涵盖跨国采购中心、供应链管理中心、业务管理中心、单</w:t>
      </w:r>
      <w:r>
        <w:rPr>
          <w:spacing w:val="-9"/>
          <w:sz w:val="28"/>
        </w:rPr>
        <w:t>证管理中心、结算中心等功能的区域总部基地，打造“一带一路”重</w:t>
      </w:r>
      <w:r>
        <w:rPr>
          <w:spacing w:val="-3"/>
          <w:sz w:val="28"/>
        </w:rPr>
        <w:t>要的区域性商贸物流组织中心。</w:t>
      </w:r>
    </w:p>
    <w:p>
      <w:pPr>
        <w:spacing w:after="0" w:line="364" w:lineRule="auto"/>
        <w:jc w:val="both"/>
        <w:rPr>
          <w:sz w:val="28"/>
        </w:rPr>
        <w:sectPr>
          <w:pgSz w:w="11910" w:h="16840"/>
          <w:pgMar w:header="0" w:footer="902" w:top="1460" w:bottom="1180" w:left="1240" w:right="1220"/>
        </w:sectPr>
      </w:pPr>
    </w:p>
    <w:p>
      <w:pPr>
        <w:pStyle w:val="BodyText"/>
        <w:ind w:left="447"/>
        <w:rPr>
          <w:sz w:val="20"/>
        </w:rPr>
      </w:pPr>
      <w:r>
        <w:rPr>
          <w:sz w:val="20"/>
        </w:rPr>
        <w:pict>
          <v:shape style="width:426.1pt;height:169.9pt;mso-position-horizontal-relative:char;mso-position-vertical-relative:line" type="#_x0000_t202" filled="false" stroked="true" strokeweight=".48pt" strokecolor="#000000">
            <w10:anchorlock/>
            <v:textbox inset="0,0,0,0">
              <w:txbxContent>
                <w:p>
                  <w:pPr>
                    <w:spacing w:line="364" w:lineRule="auto" w:before="3"/>
                    <w:ind w:left="103" w:right="98" w:firstLine="559"/>
                    <w:jc w:val="both"/>
                    <w:rPr>
                      <w:sz w:val="28"/>
                    </w:rPr>
                  </w:pPr>
                  <w:r>
                    <w:rPr>
                      <w:rFonts w:ascii="楷体" w:hAnsi="楷体" w:eastAsia="楷体" w:hint="eastAsia"/>
                      <w:spacing w:val="-3"/>
                      <w:sz w:val="28"/>
                    </w:rPr>
                    <w:t>平乐临港枢纽经济区建设工程</w:t>
                  </w:r>
                  <w:r>
                    <w:rPr>
                      <w:spacing w:val="-12"/>
                      <w:sz w:val="28"/>
                    </w:rPr>
                    <w:t>。充分发挥水运量大价低优势，以</w:t>
                  </w:r>
                  <w:r>
                    <w:rPr>
                      <w:spacing w:val="-11"/>
                      <w:sz w:val="28"/>
                    </w:rPr>
                    <w:t>平乐港口为中心，建设完善公路集疏运体系，重点发展大宗物资的公水联运物流、港口保税物流、农产品冷链物流，带动发展面向粤港澳大湾区的钢铁、石材、矿产品、建材等产业集群，辐射发展粮油、饲料、食品等加工业聚集，引领平乐县建设发展成为桂林市乃至广西区</w:t>
                  </w:r>
                  <w:r>
                    <w:rPr>
                      <w:spacing w:val="-6"/>
                      <w:sz w:val="28"/>
                    </w:rPr>
                    <w:t>“东融示范区”。</w:t>
                  </w:r>
                </w:p>
              </w:txbxContent>
            </v:textbox>
            <v:stroke dashstyle="solid"/>
          </v:shape>
        </w:pict>
      </w:r>
      <w:r>
        <w:rPr>
          <w:sz w:val="20"/>
        </w:rPr>
      </w:r>
    </w:p>
    <w:p>
      <w:pPr>
        <w:pStyle w:val="Heading1"/>
        <w:spacing w:before="85"/>
      </w:pPr>
      <w:bookmarkStart w:name="（十）培育壮大物流企业" w:id="166"/>
      <w:bookmarkEnd w:id="166"/>
      <w:r>
        <w:rPr>
          <w:b w:val="0"/>
        </w:rPr>
      </w:r>
      <w:bookmarkStart w:name="_bookmark66" w:id="167"/>
      <w:bookmarkEnd w:id="167"/>
      <w:r>
        <w:rPr>
          <w:b w:val="0"/>
        </w:rPr>
      </w:r>
      <w:r>
        <w:rPr/>
        <w:t>（十）培育壮大物流企业</w:t>
      </w:r>
    </w:p>
    <w:p>
      <w:pPr>
        <w:pStyle w:val="BodyText"/>
        <w:spacing w:before="11"/>
        <w:ind w:left="0"/>
        <w:rPr>
          <w:b/>
          <w:sz w:val="25"/>
        </w:rPr>
      </w:pPr>
    </w:p>
    <w:p>
      <w:pPr>
        <w:pStyle w:val="BodyText"/>
        <w:spacing w:line="364" w:lineRule="auto" w:before="1"/>
        <w:ind w:right="565" w:firstLine="640"/>
        <w:jc w:val="both"/>
      </w:pPr>
      <w:r>
        <w:rPr/>
        <w:t>引进和培育物流龙头企业。利用桂林市区位交通优势、山水生态名城品牌效应和优惠政策，着力引进国内外知名物流企业落户桂林，参与国家物流枢纽和重要物流节点设施建设与运营。按照“扶大、扶优、扶强”原则，积极培育本土龙头物流企业，鼓励外来企业发挥对本土企业成长的引领和辐射带动作用，推进外来企业与本土企业、大型企业与中小企业融通发展，通过参股控股、兼并重组、合资合作等方式做大做强。着力解决物流企业税负高、物流运营成本高、信息化标准化程度低、土地供应不足、配套设施落后、专业人才不足等问题，帮助企业发展壮大。</w:t>
      </w:r>
    </w:p>
    <w:p>
      <w:pPr>
        <w:pStyle w:val="BodyText"/>
        <w:spacing w:before="111"/>
        <w:ind w:left="1200"/>
        <w:rPr>
          <w:rFonts w:ascii="黑体" w:eastAsia="黑体" w:hint="eastAsia"/>
        </w:rPr>
      </w:pPr>
      <w:bookmarkStart w:name="五、保障措施" w:id="168"/>
      <w:bookmarkEnd w:id="168"/>
      <w:r>
        <w:rPr/>
      </w:r>
      <w:bookmarkStart w:name="_bookmark67" w:id="169"/>
      <w:bookmarkEnd w:id="169"/>
      <w:r>
        <w:rPr/>
      </w:r>
      <w:r>
        <w:rPr>
          <w:rFonts w:ascii="黑体" w:eastAsia="黑体" w:hint="eastAsia"/>
        </w:rPr>
        <w:t>五、保障措施</w:t>
      </w:r>
    </w:p>
    <w:p>
      <w:pPr>
        <w:pStyle w:val="BodyText"/>
        <w:ind w:left="0"/>
        <w:rPr>
          <w:rFonts w:ascii="黑体"/>
          <w:sz w:val="26"/>
        </w:rPr>
      </w:pPr>
    </w:p>
    <w:p>
      <w:pPr>
        <w:pStyle w:val="Heading1"/>
        <w:spacing w:before="1"/>
      </w:pPr>
      <w:bookmarkStart w:name="（一）强化组织实施" w:id="170"/>
      <w:bookmarkEnd w:id="170"/>
      <w:r>
        <w:rPr>
          <w:b w:val="0"/>
        </w:rPr>
      </w:r>
      <w:bookmarkStart w:name="_bookmark68" w:id="171"/>
      <w:bookmarkEnd w:id="171"/>
      <w:r>
        <w:rPr>
          <w:b w:val="0"/>
        </w:rPr>
      </w:r>
      <w:r>
        <w:rPr/>
        <w:t>（一）强化组织实施</w:t>
      </w:r>
    </w:p>
    <w:p>
      <w:pPr>
        <w:pStyle w:val="BodyText"/>
        <w:spacing w:before="11"/>
        <w:ind w:left="0"/>
        <w:rPr>
          <w:b/>
          <w:sz w:val="25"/>
        </w:rPr>
      </w:pPr>
    </w:p>
    <w:p>
      <w:pPr>
        <w:pStyle w:val="BodyText"/>
        <w:spacing w:line="364" w:lineRule="auto"/>
        <w:ind w:right="580" w:firstLine="640"/>
        <w:jc w:val="both"/>
      </w:pPr>
      <w:r>
        <w:rPr>
          <w:spacing w:val="-3"/>
        </w:rPr>
        <w:t>强化组织领导，充分发挥市物流业发展部门联席会议作</w:t>
      </w:r>
      <w:r>
        <w:rPr>
          <w:spacing w:val="-5"/>
        </w:rPr>
        <w:t>用，全面掌握国家物流枢纽建设培育与物流业发展情况，及</w:t>
      </w:r>
      <w:r>
        <w:rPr>
          <w:spacing w:val="-1"/>
        </w:rPr>
        <w:t>时分析和研究规划实施中存在的重大问题，对重大物流项目</w:t>
      </w:r>
    </w:p>
    <w:p>
      <w:pPr>
        <w:spacing w:after="0" w:line="364" w:lineRule="auto"/>
        <w:jc w:val="both"/>
        <w:sectPr>
          <w:pgSz w:w="11910" w:h="16840"/>
          <w:pgMar w:header="0" w:footer="902" w:top="1460" w:bottom="1180" w:left="1240" w:right="1220"/>
        </w:sectPr>
      </w:pPr>
    </w:p>
    <w:p>
      <w:pPr>
        <w:pStyle w:val="BodyText"/>
        <w:spacing w:line="364" w:lineRule="auto" w:before="43"/>
        <w:ind w:right="418"/>
      </w:pPr>
      <w:r>
        <w:rPr/>
        <w:t>实行“一事一议”，促进各部门协作解决。市发展改革委、</w:t>
      </w:r>
      <w:r>
        <w:rPr>
          <w:spacing w:val="11"/>
        </w:rPr>
        <w:t>市投资促进局要尽快研究制定相关优惠政策，注重资源整</w:t>
      </w:r>
      <w:r>
        <w:rPr>
          <w:spacing w:val="-2"/>
        </w:rPr>
        <w:t>合，防止资源“碎片化”，引进一批跨国、跨区域的大型物流企业，建设桂林物流中心。市发展改革委、交通运输局、</w:t>
      </w:r>
      <w:r>
        <w:rPr>
          <w:spacing w:val="-3"/>
        </w:rPr>
        <w:t>商务局、工业和信息化局、农业农村局、自然资源局、市场</w:t>
      </w:r>
      <w:r>
        <w:rPr>
          <w:spacing w:val="-5"/>
        </w:rPr>
        <w:t>监管局、公安局和桂林市邮政管理局等有关部门按照职责分</w:t>
      </w:r>
      <w:r>
        <w:rPr>
          <w:spacing w:val="-26"/>
          <w:w w:val="95"/>
        </w:rPr>
        <w:t>工，明确任务，强化责任，做好规划实施相关工作。各县</w:t>
      </w:r>
      <w:r>
        <w:rPr>
          <w:w w:val="95"/>
        </w:rPr>
        <w:t>（市、 </w:t>
      </w:r>
      <w:r>
        <w:rPr/>
        <w:t>区</w:t>
      </w:r>
      <w:r>
        <w:rPr>
          <w:spacing w:val="-3"/>
        </w:rPr>
        <w:t>）</w:t>
      </w:r>
      <w:r>
        <w:rPr>
          <w:spacing w:val="-1"/>
        </w:rPr>
        <w:t>和开发区</w:t>
      </w:r>
      <w:r>
        <w:rPr/>
        <w:t>（管委</w:t>
      </w:r>
      <w:r>
        <w:rPr>
          <w:spacing w:val="-3"/>
        </w:rPr>
        <w:t>）</w:t>
      </w:r>
      <w:r>
        <w:rPr>
          <w:spacing w:val="-1"/>
        </w:rPr>
        <w:t>加强对规划落地实施的组织协调，按</w:t>
      </w:r>
      <w:r>
        <w:rPr>
          <w:spacing w:val="-2"/>
        </w:rPr>
        <w:t>照“</w:t>
      </w:r>
      <w:r>
        <w:rPr/>
        <w:t>1359</w:t>
      </w:r>
      <w:r>
        <w:rPr>
          <w:spacing w:val="-1"/>
        </w:rPr>
        <w:t>”物流枢纽和节点空间布局，组织编制控制性详细</w:t>
      </w:r>
      <w:r>
        <w:rPr>
          <w:spacing w:val="-3"/>
        </w:rPr>
        <w:t>规划和出台配套政策，制定工作方案，明确推进措施和进度</w:t>
      </w:r>
      <w:r>
        <w:rPr>
          <w:spacing w:val="-5"/>
        </w:rPr>
        <w:t>要求。市绩效办把国家物流枢纽建设培育和现代物流业发展工作纳入对各县</w:t>
      </w:r>
      <w:r>
        <w:rPr/>
        <w:t>（</w:t>
      </w:r>
      <w:r>
        <w:rPr>
          <w:spacing w:val="-2"/>
        </w:rPr>
        <w:t>市、区</w:t>
      </w:r>
      <w:r>
        <w:rPr>
          <w:spacing w:val="-3"/>
        </w:rPr>
        <w:t>）</w:t>
      </w:r>
      <w:r>
        <w:rPr>
          <w:spacing w:val="-2"/>
        </w:rPr>
        <w:t>、开发区和市直有关部门的年度</w:t>
      </w:r>
      <w:r>
        <w:rPr>
          <w:spacing w:val="-4"/>
        </w:rPr>
        <w:t>考核和重点督查项目。市发展改革委、市投资促进局、高铁</w:t>
      </w:r>
      <w:r>
        <w:rPr>
          <w:spacing w:val="-6"/>
        </w:rPr>
        <w:t>经济产业园、市国资委要引导和支持桂林市交通投资控股集</w:t>
      </w:r>
      <w:r>
        <w:rPr>
          <w:spacing w:val="-16"/>
        </w:rPr>
        <w:t>团有限公司、广西宁铁物资工业有限公司等通过“以商招商” 方式，引进一批跨国、跨区域的大型物流企业。</w:t>
      </w:r>
    </w:p>
    <w:p>
      <w:pPr>
        <w:pStyle w:val="Heading1"/>
        <w:spacing w:before="108"/>
      </w:pPr>
      <w:bookmarkStart w:name="（二）加强要素保障" w:id="172"/>
      <w:bookmarkEnd w:id="172"/>
      <w:r>
        <w:rPr>
          <w:b w:val="0"/>
        </w:rPr>
      </w:r>
      <w:bookmarkStart w:name="_bookmark69" w:id="173"/>
      <w:bookmarkEnd w:id="173"/>
      <w:r>
        <w:rPr>
          <w:b w:val="0"/>
        </w:rPr>
      </w:r>
      <w:r>
        <w:rPr/>
        <w:t>（二）加强要素保障</w:t>
      </w:r>
    </w:p>
    <w:p>
      <w:pPr>
        <w:pStyle w:val="BodyText"/>
        <w:spacing w:before="12"/>
        <w:ind w:left="0"/>
        <w:rPr>
          <w:b/>
          <w:sz w:val="25"/>
        </w:rPr>
      </w:pPr>
    </w:p>
    <w:p>
      <w:pPr>
        <w:pStyle w:val="BodyText"/>
        <w:spacing w:line="364" w:lineRule="auto"/>
        <w:ind w:right="580" w:firstLine="640"/>
        <w:jc w:val="both"/>
      </w:pPr>
      <w:r>
        <w:rPr>
          <w:spacing w:val="-3"/>
          <w:w w:val="95"/>
        </w:rPr>
        <w:t>保障土地供给。积极利用桂林市“多规合一”试点和国 </w:t>
      </w:r>
      <w:r>
        <w:rPr>
          <w:spacing w:val="-5"/>
        </w:rPr>
        <w:t>土空间规划编制机遇，市自然资源局在编制国土空间规划时</w:t>
      </w:r>
      <w:r>
        <w:rPr>
          <w:spacing w:val="-8"/>
        </w:rPr>
        <w:t>要留足物流产业发展空间，优先保障桂林国家物流枢纽、重</w:t>
      </w:r>
      <w:r>
        <w:rPr>
          <w:spacing w:val="-1"/>
        </w:rPr>
        <w:t>点物流园区和物流业重大项目建设用地，优先安排物流业重</w:t>
      </w:r>
      <w:r>
        <w:rPr>
          <w:spacing w:val="-2"/>
        </w:rPr>
        <w:t>大项目和集聚区新增建设用地指标。探索实行物流业用地与</w:t>
      </w:r>
    </w:p>
    <w:p>
      <w:pPr>
        <w:spacing w:after="0" w:line="364" w:lineRule="auto"/>
        <w:jc w:val="both"/>
        <w:sectPr>
          <w:pgSz w:w="11910" w:h="16840"/>
          <w:pgMar w:header="0" w:footer="902" w:top="1420" w:bottom="1180" w:left="1240" w:right="1220"/>
        </w:sectPr>
      </w:pPr>
    </w:p>
    <w:p>
      <w:pPr>
        <w:pStyle w:val="BodyText"/>
        <w:spacing w:line="364" w:lineRule="auto" w:before="43"/>
        <w:ind w:right="419"/>
      </w:pPr>
      <w:r>
        <w:rPr>
          <w:spacing w:val="-2"/>
        </w:rPr>
        <w:t>工业用地同价政策，明确物流业重大项目用地执行工业用地</w:t>
      </w:r>
      <w:r>
        <w:rPr>
          <w:spacing w:val="-15"/>
          <w:w w:val="95"/>
        </w:rPr>
        <w:t>政策，通过“先租后让”“租让结合”等多种方式供应土地。 </w:t>
      </w:r>
      <w:r>
        <w:rPr>
          <w:spacing w:val="-15"/>
        </w:rPr>
        <w:t>加强国家物流枢纽空间布局与城市功能提升的衔接，确保用地规模、土地性质和空间位置长期稳定。</w:t>
      </w:r>
    </w:p>
    <w:p>
      <w:pPr>
        <w:pStyle w:val="BodyText"/>
        <w:spacing w:line="364" w:lineRule="auto" w:before="116"/>
        <w:ind w:right="577" w:firstLine="640"/>
        <w:jc w:val="both"/>
      </w:pPr>
      <w:r>
        <w:rPr>
          <w:spacing w:val="13"/>
          <w:w w:val="95"/>
        </w:rPr>
        <w:t>加大投资和金融支持力度。在国家物流枢纽铁路专用 </w:t>
      </w:r>
      <w:r>
        <w:rPr>
          <w:spacing w:val="-2"/>
          <w:w w:val="95"/>
        </w:rPr>
        <w:t>线、多式联运转运设施、物流信息公共服务平台、军民合用 </w:t>
      </w:r>
      <w:r>
        <w:rPr>
          <w:spacing w:val="11"/>
          <w:w w:val="95"/>
        </w:rPr>
        <w:t>物流设施以及内部道路等公益性较强的基础设施建设等方 </w:t>
      </w:r>
      <w:r>
        <w:rPr>
          <w:spacing w:val="-1"/>
          <w:w w:val="95"/>
        </w:rPr>
        <w:t>面，积极争取中央和自治区财政资金支持。积极搭建金融机 </w:t>
      </w:r>
      <w:r>
        <w:rPr>
          <w:spacing w:val="-3"/>
        </w:rPr>
        <w:t>构和物流企业合作交流平台，促进供需有效对接，为物流企</w:t>
      </w:r>
      <w:r>
        <w:rPr>
          <w:spacing w:val="-4"/>
        </w:rPr>
        <w:t>业提供便利适用的金融服务。支持国家物流枢纽建设运营主</w:t>
      </w:r>
      <w:r>
        <w:rPr>
          <w:spacing w:val="-6"/>
        </w:rPr>
        <w:t>体通过发行公司债券、非金融企业债务融资工具、企业债券和上市等多种方式拓宽融资渠道。</w:t>
      </w:r>
    </w:p>
    <w:p>
      <w:pPr>
        <w:pStyle w:val="BodyText"/>
        <w:spacing w:line="364" w:lineRule="auto" w:before="114"/>
        <w:ind w:right="565" w:firstLine="640"/>
        <w:jc w:val="both"/>
      </w:pPr>
      <w:r>
        <w:rPr/>
        <w:t>加强智力支持。实施物流高端紧缺人才引进计划，拓宽人才引进渠道。支持驻桂林高校独自或与国内知名高校共建物流研究院（所），开展物流科技研发、应用研究和规划咨询。支持驻桂林高校培养适应桂林物流发展需求的高层次人才，特别是通晓国际惯例与规则，掌握物流、金融、贸易、信息知识的供应链复合型人才。</w:t>
      </w:r>
    </w:p>
    <w:p>
      <w:pPr>
        <w:pStyle w:val="Heading1"/>
      </w:pPr>
      <w:bookmarkStart w:name="（三）优化发展环境" w:id="174"/>
      <w:bookmarkEnd w:id="174"/>
      <w:r>
        <w:rPr>
          <w:b w:val="0"/>
        </w:rPr>
      </w:r>
      <w:bookmarkStart w:name="_bookmark70" w:id="175"/>
      <w:bookmarkEnd w:id="175"/>
      <w:r>
        <w:rPr>
          <w:b w:val="0"/>
        </w:rPr>
      </w:r>
      <w:r>
        <w:rPr/>
        <w:t>（三）优化发展环境</w:t>
      </w:r>
    </w:p>
    <w:p>
      <w:pPr>
        <w:pStyle w:val="BodyText"/>
        <w:spacing w:before="11"/>
        <w:ind w:left="0"/>
        <w:rPr>
          <w:b/>
          <w:sz w:val="25"/>
        </w:rPr>
      </w:pPr>
    </w:p>
    <w:p>
      <w:pPr>
        <w:pStyle w:val="BodyText"/>
        <w:spacing w:line="364" w:lineRule="auto" w:before="1"/>
        <w:ind w:right="580" w:firstLine="640"/>
      </w:pPr>
      <w:r>
        <w:rPr>
          <w:spacing w:val="-4"/>
          <w:w w:val="95"/>
        </w:rPr>
        <w:t>持续深化“放管服”改革。着力打破阻碍货畅其流的制 </w:t>
      </w:r>
      <w:r>
        <w:rPr>
          <w:spacing w:val="-6"/>
        </w:rPr>
        <w:t>度藩篱，支持国家物流枢纽的运营企业通过技术创新、模式</w:t>
      </w:r>
    </w:p>
    <w:p>
      <w:pPr>
        <w:spacing w:after="0" w:line="364" w:lineRule="auto"/>
        <w:sectPr>
          <w:pgSz w:w="11910" w:h="16840"/>
          <w:pgMar w:header="0" w:footer="902" w:top="1420" w:bottom="1180" w:left="1240" w:right="1220"/>
        </w:sectPr>
      </w:pPr>
    </w:p>
    <w:p>
      <w:pPr>
        <w:pStyle w:val="BodyText"/>
        <w:spacing w:line="364" w:lineRule="auto" w:before="43"/>
        <w:ind w:right="406"/>
      </w:pPr>
      <w:r>
        <w:rPr>
          <w:spacing w:val="-4"/>
        </w:rPr>
        <w:t>创新、管理创新等方式提升运营水平，为入驻企业提供优质</w:t>
      </w:r>
      <w:r>
        <w:rPr>
          <w:spacing w:val="-5"/>
        </w:rPr>
        <w:t>服务。规范物流服务企业的经营行为，严格执行明码标价有</w:t>
      </w:r>
      <w:r>
        <w:rPr>
          <w:spacing w:val="-27"/>
        </w:rPr>
        <w:t>关规定，坚决消除乱收费、乱设卡等推高物流费用的“痼疾”。</w:t>
      </w:r>
      <w:r>
        <w:rPr>
          <w:spacing w:val="11"/>
        </w:rPr>
        <w:t>在简政放权的基础上，加强对现代物流产业政策的系统研</w:t>
      </w:r>
      <w:r>
        <w:rPr>
          <w:spacing w:val="-1"/>
        </w:rPr>
        <w:t>究，进一步精简物流领域行政审批和许可事项，对不符合现</w:t>
      </w:r>
      <w:r>
        <w:rPr>
          <w:spacing w:val="-3"/>
        </w:rPr>
        <w:t>代物流发展实际、阻碍物流业创新发展的事项予以调整或取消。强化服务意识，推广网上审批和“一站式”服务，提高</w:t>
      </w:r>
      <w:r>
        <w:rPr>
          <w:spacing w:val="-5"/>
        </w:rPr>
        <w:t>行政效能。出台物流车辆市区通行分类管理措施，加大对新</w:t>
      </w:r>
      <w:r>
        <w:rPr>
          <w:spacing w:val="-6"/>
        </w:rPr>
        <w:t>能源物流车辆、温控配送车辆、标准化配送车辆的便利通行</w:t>
      </w:r>
      <w:r>
        <w:rPr>
          <w:spacing w:val="-14"/>
        </w:rPr>
        <w:t>支持力度，有效解决物流运输市场目前存在的“小散乱差”、</w:t>
      </w:r>
      <w:r>
        <w:rPr>
          <w:spacing w:val="-4"/>
        </w:rPr>
        <w:t>车辆进城难、停车难、装卸难、回程配货难等问题，提高配送效率，降低运输成本，提升城市物流配送行业整体水平。</w:t>
      </w:r>
    </w:p>
    <w:p>
      <w:pPr>
        <w:pStyle w:val="BodyText"/>
        <w:spacing w:line="364" w:lineRule="auto" w:before="110"/>
        <w:ind w:right="565" w:firstLine="640"/>
        <w:jc w:val="both"/>
      </w:pPr>
      <w:r>
        <w:rPr>
          <w:spacing w:val="-3"/>
        </w:rPr>
        <w:t>加强物流标准化建设。支持仓储设施、转运设施、运输</w:t>
      </w:r>
      <w:r>
        <w:rPr>
          <w:spacing w:val="-4"/>
        </w:rPr>
        <w:t>工具、停靠和装卸站点的标准化建设和改造；推动托盘、集装箱、装卸设备、条形码、</w:t>
      </w:r>
      <w:r>
        <w:rPr/>
        <w:t>RFID等物流技术、装备及智慧物</w:t>
      </w:r>
      <w:r>
        <w:rPr>
          <w:spacing w:val="-3"/>
        </w:rPr>
        <w:t>流信息标准化建设；推广应用电子运单、电子仓单、电子面</w:t>
      </w:r>
      <w:r>
        <w:rPr>
          <w:spacing w:val="-5"/>
        </w:rPr>
        <w:t>单等电子化单证；推动铁路集装箱多式联运标准化建设。积</w:t>
      </w:r>
      <w:r>
        <w:rPr>
          <w:spacing w:val="-6"/>
        </w:rPr>
        <w:t>极申报全国商贸物流标准化试点城市，以标准化托盘循环共用为切入点，加快对物流设施、设备、技术的标准化改造， 带动产品包装、集装器具、仓储设备、运输设备的标准化发</w:t>
      </w:r>
      <w:r>
        <w:rPr>
          <w:spacing w:val="-4"/>
        </w:rPr>
        <w:t>展，推广标准化装置单元循环共用，支持开展租赁、维修等</w:t>
      </w:r>
      <w:r>
        <w:rPr>
          <w:spacing w:val="-5"/>
          <w:w w:val="95"/>
        </w:rPr>
        <w:t>延伸服务，以整箱、整车等标准化货物单位为重点，尝试推</w:t>
      </w:r>
    </w:p>
    <w:p>
      <w:pPr>
        <w:spacing w:after="0" w:line="364" w:lineRule="auto"/>
        <w:jc w:val="both"/>
        <w:sectPr>
          <w:pgSz w:w="11910" w:h="16840"/>
          <w:pgMar w:header="0" w:footer="902" w:top="1420" w:bottom="1180" w:left="1240" w:right="1220"/>
        </w:sectPr>
      </w:pPr>
    </w:p>
    <w:p>
      <w:pPr>
        <w:pStyle w:val="BodyText"/>
        <w:spacing w:line="364" w:lineRule="auto" w:before="43"/>
        <w:ind w:right="580"/>
        <w:jc w:val="both"/>
      </w:pPr>
      <w:r>
        <w:rPr>
          <w:spacing w:val="-3"/>
        </w:rPr>
        <w:t>行企业互认的单证标准。加强各类物流标准宣贯工作。支持</w:t>
      </w:r>
      <w:r>
        <w:rPr>
          <w:spacing w:val="11"/>
          <w:w w:val="95"/>
        </w:rPr>
        <w:t>物流行业协会及龙头企业制定出台绿色畅行物流单实施方 </w:t>
      </w:r>
      <w:r>
        <w:rPr>
          <w:spacing w:val="-3"/>
          <w:w w:val="95"/>
        </w:rPr>
        <w:t>案。积极发展定站点、定时刻、定线路、定价格、定标准运 </w:t>
      </w:r>
      <w:r>
        <w:rPr>
          <w:spacing w:val="-3"/>
        </w:rPr>
        <w:t>输，加强与“一单制”便捷运输制度对接。</w:t>
      </w:r>
    </w:p>
    <w:p>
      <w:pPr>
        <w:pStyle w:val="BodyText"/>
        <w:spacing w:line="364" w:lineRule="auto" w:before="116"/>
        <w:ind w:right="565" w:firstLine="640"/>
        <w:jc w:val="both"/>
      </w:pPr>
      <w:r>
        <w:rPr/>
        <w:t>加强信用体系建设。着力推进与公安、工商、税务、金融等部门征信系统的有效对接和信息共享，建立行业许可、市场信用、市场监测等体系，完善社会征信管理制度。推动现代物流信用信息的采集和资源整合共享，培育物流征信服务机构，在冷链物流、电商物流等领域率先实现突破，初步建立分类监管和失信惩戒机制，为现代物流发展创造良好的市场环境。</w:t>
      </w:r>
    </w:p>
    <w:p>
      <w:pPr>
        <w:pStyle w:val="Heading1"/>
        <w:spacing w:before="113"/>
      </w:pPr>
      <w:bookmarkStart w:name="（四）推动降本增效" w:id="176"/>
      <w:bookmarkEnd w:id="176"/>
      <w:r>
        <w:rPr>
          <w:b w:val="0"/>
        </w:rPr>
      </w:r>
      <w:bookmarkStart w:name="_bookmark71" w:id="177"/>
      <w:bookmarkEnd w:id="177"/>
      <w:r>
        <w:rPr>
          <w:b w:val="0"/>
        </w:rPr>
      </w:r>
      <w:r>
        <w:rPr/>
        <w:t>（四）推动降本增效</w:t>
      </w:r>
    </w:p>
    <w:p>
      <w:pPr>
        <w:pStyle w:val="BodyText"/>
        <w:spacing w:before="1"/>
        <w:ind w:left="0"/>
        <w:rPr>
          <w:b/>
          <w:sz w:val="26"/>
        </w:rPr>
      </w:pPr>
    </w:p>
    <w:p>
      <w:pPr>
        <w:pStyle w:val="BodyText"/>
        <w:spacing w:line="364" w:lineRule="auto"/>
        <w:ind w:right="565" w:firstLine="640"/>
        <w:jc w:val="both"/>
      </w:pPr>
      <w:r>
        <w:rPr/>
        <w:t>以建设国家物流枢纽和构建高效、智慧、绿色、低成本的“通道+枢纽+网络”物流运行体系为契机，聚焦影响物流业健康发展的突出矛盾，针对物流成本与效率的瓶颈问题， 不断创新体制机制，推广应用先进技术装备和管理手段，以落实物流管理和支持政策为路径，优化物流资源配置，逐步完善基础设施，加快补齐产业短板，加速推进互联互通与协同创新，大力发展新模式新业态，积极推动产业开放融合， 实现物流资源优化配置和物流活动系统化组织，进一步提升物流服务质量，降低全社会物流和交易成本，推动物流业高质量发展。</w:t>
      </w:r>
    </w:p>
    <w:p>
      <w:pPr>
        <w:spacing w:after="0" w:line="364" w:lineRule="auto"/>
        <w:jc w:val="both"/>
        <w:sectPr>
          <w:pgSz w:w="11910" w:h="16840"/>
          <w:pgMar w:header="0" w:footer="902" w:top="1420" w:bottom="1180" w:left="1240" w:right="1220"/>
        </w:sectPr>
      </w:pPr>
    </w:p>
    <w:p>
      <w:pPr>
        <w:pStyle w:val="BodyText"/>
        <w:spacing w:line="364" w:lineRule="auto" w:before="43"/>
        <w:ind w:right="565" w:firstLine="640"/>
        <w:jc w:val="both"/>
      </w:pPr>
      <w:r>
        <w:rPr/>
        <w:t>短期通过制度改革和落实政策实现“降本”。提高行业综合治理能力，认真贯彻落实国家、自治区和桂林市优化营商环境、减轻实体经济负担、降低物流业成本费用等方面政策和措施，进一步简政放权、降税减费、优化行政执法、建立信用体系、推动跨部门管理协同等，激发市场内生动力， 改善物流企业发展环境，有效减轻物流企业负担。</w:t>
      </w:r>
    </w:p>
    <w:p>
      <w:pPr>
        <w:pStyle w:val="BodyText"/>
        <w:spacing w:line="364" w:lineRule="auto" w:before="115"/>
        <w:ind w:right="577" w:firstLine="640"/>
        <w:jc w:val="both"/>
      </w:pPr>
      <w:r>
        <w:rPr>
          <w:spacing w:val="-3"/>
        </w:rPr>
        <w:t>中期依托系统建设与结构调整完成“续能”。以系统性</w:t>
      </w:r>
      <w:r>
        <w:rPr>
          <w:spacing w:val="-5"/>
        </w:rPr>
        <w:t>思维，统筹谋划推动物流体系建设，实现各种运输方式协调发展、无缝连接。通过优化运输结构和市场结构等，充分发</w:t>
      </w:r>
      <w:r>
        <w:rPr>
          <w:spacing w:val="-6"/>
        </w:rPr>
        <w:t>挥综合交通运输整体效能，实现宏观尺度下物流资源优化配</w:t>
      </w:r>
      <w:r>
        <w:rPr>
          <w:spacing w:val="-4"/>
          <w:w w:val="95"/>
        </w:rPr>
        <w:t>置。为物流企业创新发展提供良好的软件和硬件支撑，营造 </w:t>
      </w:r>
      <w:r>
        <w:rPr>
          <w:spacing w:val="-4"/>
        </w:rPr>
        <w:t>创新环境，实现降本、增效的有效衔接。</w:t>
      </w:r>
    </w:p>
    <w:p>
      <w:pPr>
        <w:pStyle w:val="BodyText"/>
        <w:spacing w:line="364" w:lineRule="auto" w:before="115"/>
        <w:ind w:right="419" w:firstLine="640"/>
        <w:jc w:val="both"/>
      </w:pPr>
      <w:r>
        <w:rPr/>
        <w:t>长期借助多维创新推动“增效”。借力现代科技发展， 鼓励先进信息技术和技术装备应用，加快信息资源开放共享，提升设备设施的专业化、智能化水平，推动企业多维度创新：以物流服务创新为核心，促进转型升级；以物流集成创新为基础，做大产业规模；以物流模式创新为重点，提高</w:t>
      </w:r>
      <w:r>
        <w:rPr>
          <w:w w:val="95"/>
        </w:rPr>
        <w:t>资源使用效率；以物流技术创新为手段，提高货物流转效率。</w:t>
      </w:r>
    </w:p>
    <w:p>
      <w:pPr>
        <w:pStyle w:val="Heading1"/>
      </w:pPr>
      <w:bookmarkStart w:name="（五）强化监测考核" w:id="178"/>
      <w:bookmarkEnd w:id="178"/>
      <w:r>
        <w:rPr>
          <w:b w:val="0"/>
        </w:rPr>
      </w:r>
      <w:bookmarkStart w:name="_bookmark72" w:id="179"/>
      <w:bookmarkEnd w:id="179"/>
      <w:r>
        <w:rPr>
          <w:b w:val="0"/>
        </w:rPr>
      </w:r>
      <w:r>
        <w:rPr/>
        <w:t>（五）强化监测考核</w:t>
      </w:r>
    </w:p>
    <w:p>
      <w:pPr>
        <w:pStyle w:val="BodyText"/>
        <w:spacing w:before="11"/>
        <w:ind w:left="0"/>
        <w:rPr>
          <w:b/>
          <w:sz w:val="25"/>
        </w:rPr>
      </w:pPr>
    </w:p>
    <w:p>
      <w:pPr>
        <w:pStyle w:val="BodyText"/>
        <w:spacing w:line="364" w:lineRule="auto" w:before="1"/>
        <w:ind w:right="424" w:firstLine="600"/>
      </w:pPr>
      <w:r>
        <w:rPr>
          <w:sz w:val="30"/>
        </w:rPr>
        <w:t>加强统计监测。</w:t>
      </w:r>
      <w:r>
        <w:rPr/>
        <w:t>国家物流枢纽运营主体要完善统计制度， 加强数据收集和分析，定期报送相关运营情况。发展改革部</w:t>
      </w:r>
    </w:p>
    <w:p>
      <w:pPr>
        <w:spacing w:after="0" w:line="364" w:lineRule="auto"/>
        <w:sectPr>
          <w:pgSz w:w="11910" w:h="16840"/>
          <w:pgMar w:header="0" w:footer="902" w:top="1420" w:bottom="1180" w:left="1240" w:right="1220"/>
        </w:sectPr>
      </w:pPr>
    </w:p>
    <w:p>
      <w:pPr>
        <w:pStyle w:val="BodyText"/>
        <w:spacing w:line="364" w:lineRule="auto" w:before="43"/>
        <w:ind w:right="577"/>
        <w:jc w:val="both"/>
      </w:pPr>
      <w:r>
        <w:rPr>
          <w:spacing w:val="-3"/>
          <w:w w:val="95"/>
        </w:rPr>
        <w:t>门、交通运输主管部门要会同统计部门，进一步加强对社会 </w:t>
      </w:r>
      <w:r>
        <w:rPr>
          <w:spacing w:val="-5"/>
        </w:rPr>
        <w:t>物流总额、社会物流总量、物流业增加值、社会物流总费用</w:t>
      </w:r>
      <w:r>
        <w:rPr>
          <w:spacing w:val="-6"/>
        </w:rPr>
        <w:t>和物流业新业态新模式等行业重要发展指标的统计监测，完</w:t>
      </w:r>
      <w:r>
        <w:rPr>
          <w:spacing w:val="-7"/>
        </w:rPr>
        <w:t>善物流业统计指标体系，建立健全物流行业的运行监测分析制度。</w:t>
      </w:r>
    </w:p>
    <w:p>
      <w:pPr>
        <w:pStyle w:val="BodyText"/>
        <w:spacing w:line="364" w:lineRule="auto" w:before="114"/>
        <w:ind w:right="577" w:firstLine="600"/>
        <w:jc w:val="both"/>
      </w:pPr>
      <w:r>
        <w:rPr>
          <w:spacing w:val="7"/>
          <w:w w:val="95"/>
          <w:sz w:val="30"/>
        </w:rPr>
        <w:t>加强考核监督。</w:t>
      </w:r>
      <w:r>
        <w:rPr>
          <w:spacing w:val="6"/>
          <w:w w:val="95"/>
        </w:rPr>
        <w:t>将桂林国家物流枢纽项目和其他物流业 </w:t>
      </w:r>
      <w:r>
        <w:rPr>
          <w:spacing w:val="3"/>
        </w:rPr>
        <w:t>建设发展重大项目优先推荐纳入自治区层面统筹推进，享受</w:t>
      </w:r>
      <w:r>
        <w:rPr/>
        <w:t>土地保障等优先政策。把桂林国家物流枢纽项目纳入桂林市</w:t>
      </w:r>
      <w:r>
        <w:rPr>
          <w:spacing w:val="-2"/>
        </w:rPr>
        <w:t>重中之重重大项目，建立完善由市领导牵头的推进机制，创</w:t>
      </w:r>
      <w:r>
        <w:rPr>
          <w:spacing w:val="-4"/>
        </w:rPr>
        <w:t>新和完善规划、环评等前期工作推进机制，强化建设用地指</w:t>
      </w:r>
      <w:r>
        <w:rPr>
          <w:spacing w:val="-5"/>
        </w:rPr>
        <w:t>标等建设要素保障，加强排污、管网、进出道路等基础设施</w:t>
      </w:r>
      <w:r>
        <w:rPr>
          <w:spacing w:val="-5"/>
          <w:w w:val="95"/>
        </w:rPr>
        <w:t>建设配套，加强项目管理和协调服务，强化督查机制，确保 </w:t>
      </w:r>
      <w:r>
        <w:rPr>
          <w:spacing w:val="-5"/>
        </w:rPr>
        <w:t>项目建设进展。</w:t>
      </w:r>
    </w:p>
    <w:p>
      <w:pPr>
        <w:pStyle w:val="BodyText"/>
        <w:spacing w:line="364" w:lineRule="auto" w:before="114"/>
        <w:ind w:right="580" w:firstLine="600"/>
        <w:jc w:val="both"/>
      </w:pPr>
      <w:r>
        <w:rPr>
          <w:spacing w:val="-7"/>
          <w:sz w:val="30"/>
        </w:rPr>
        <w:t>充分发挥舆论导向作用。</w:t>
      </w:r>
      <w:r>
        <w:rPr>
          <w:spacing w:val="-1"/>
        </w:rPr>
        <w:t>切实加强国家物流枢纽和物流业</w:t>
      </w:r>
      <w:r>
        <w:rPr>
          <w:spacing w:val="-2"/>
        </w:rPr>
        <w:t>重大项目建设的宣传工作。对重大物流项目建设中涌现出的</w:t>
      </w:r>
      <w:r>
        <w:rPr>
          <w:spacing w:val="-3"/>
        </w:rPr>
        <w:t>先进经验和优秀典型进行深度挖掘报道，对特别重大和标志</w:t>
      </w:r>
      <w:r>
        <w:rPr>
          <w:spacing w:val="-4"/>
        </w:rPr>
        <w:t>性的项目形成连续性深度宣传报道，努力营造重大项目建设的良好氛围。</w:t>
      </w:r>
    </w:p>
    <w:sectPr>
      <w:pgSz w:w="11910" w:h="16840"/>
      <w:pgMar w:header="0" w:footer="902" w:top="1420" w:bottom="1180" w:left="1240" w:right="12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仿宋">
    <w:altName w:val="仿宋"/>
    <w:charset w:val="86"/>
    <w:family w:val="modern"/>
    <w:pitch w:val="fixed"/>
  </w:font>
  <w:font w:name="黑体">
    <w:altName w:val="黑体"/>
    <w:charset w:val="86"/>
    <w:family w:val="modern"/>
    <w:pitch w:val="fixed"/>
  </w:font>
  <w:font w:name="楷体">
    <w:altName w:val="楷体"/>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type id="_x0000_t202" o:spt="202" coordsize="21600,21600" path="m,l,21600r21600,l21600,xe">
          <v:stroke joinstyle="miter"/>
          <v:path gradientshapeok="t" o:connecttype="rect"/>
        </v:shapetype>
        <v:shape style="position:absolute;margin-left:303.600006pt;margin-top:774.59668pt;width:12pt;height:15.3pt;mso-position-horizontal-relative:page;mso-position-vertical-relative:page;z-index:-253698048" type="#_x0000_t202" filled="false" stroked="false">
          <v:textbox inset="0,0,0,0">
            <w:txbxContent>
              <w:p>
                <w:pPr>
                  <w:spacing w:before="10"/>
                  <w:ind w:left="60" w:right="0" w:firstLine="0"/>
                  <w:jc w:val="left"/>
                  <w:rPr>
                    <w:rFonts w:ascii="Times New Roman"/>
                    <w:sz w:val="24"/>
                  </w:rPr>
                </w:pPr>
                <w:r>
                  <w:rPr/>
                  <w:fldChar w:fldCharType="begin"/>
                </w:r>
                <w:r>
                  <w:rPr>
                    <w:rFonts w:ascii="Times New Roman"/>
                    <w:sz w:val="24"/>
                  </w:rPr>
                  <w:instrText> PAGE </w:instrText>
                </w:r>
                <w:r>
                  <w:rPr/>
                  <w:fldChar w:fldCharType="separate"/>
                </w:r>
                <w:r>
                  <w:rPr/>
                  <w:t>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19"/>
      </w:rPr>
    </w:pPr>
    <w:r>
      <w:rPr/>
      <w:pict>
        <v:shape style="position:absolute;margin-left:300.600006pt;margin-top:781.796692pt;width:18pt;height:15.3pt;mso-position-horizontal-relative:page;mso-position-vertical-relative:page;z-index:-253697024" type="#_x0000_t202" filled="false" stroked="false">
          <v:textbox inset="0,0,0,0">
            <w:txbxContent>
              <w:p>
                <w:pPr>
                  <w:spacing w:before="10"/>
                  <w:ind w:left="60" w:right="0" w:firstLine="0"/>
                  <w:jc w:val="left"/>
                  <w:rPr>
                    <w:rFonts w:ascii="Times New Roman"/>
                    <w:sz w:val="24"/>
                  </w:rPr>
                </w:pPr>
                <w:r>
                  <w:rPr/>
                  <w:fldChar w:fldCharType="begin"/>
                </w:r>
                <w:r>
                  <w:rPr>
                    <w:rFonts w:ascii="Times New Roman"/>
                    <w:sz w:val="24"/>
                  </w:rPr>
                  <w:instrText> PAGE </w:instrText>
                </w:r>
                <w:r>
                  <w:rPr/>
                  <w:fldChar w:fldCharType="separate"/>
                </w:r>
                <w:r>
                  <w:rPr/>
                  <w:t>24</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2">
    <w:multiLevelType w:val="hybridMultilevel"/>
    <w:lvl w:ilvl="0">
      <w:start w:val="2"/>
      <w:numFmt w:val="decimal"/>
      <w:lvlText w:val="%1."/>
      <w:lvlJc w:val="left"/>
      <w:pPr>
        <w:ind w:left="1522" w:hanging="322"/>
        <w:jc w:val="left"/>
      </w:pPr>
      <w:rPr>
        <w:rFonts w:hint="default" w:ascii="仿宋" w:hAnsi="仿宋" w:eastAsia="仿宋" w:cs="仿宋"/>
        <w:b/>
        <w:bCs/>
        <w:spacing w:val="1"/>
        <w:w w:val="98"/>
        <w:sz w:val="30"/>
        <w:szCs w:val="30"/>
      </w:rPr>
    </w:lvl>
    <w:lvl w:ilvl="1">
      <w:start w:val="0"/>
      <w:numFmt w:val="bullet"/>
      <w:lvlText w:val="•"/>
      <w:lvlJc w:val="left"/>
      <w:pPr>
        <w:ind w:left="2312" w:hanging="322"/>
      </w:pPr>
      <w:rPr>
        <w:rFonts w:hint="default"/>
      </w:rPr>
    </w:lvl>
    <w:lvl w:ilvl="2">
      <w:start w:val="0"/>
      <w:numFmt w:val="bullet"/>
      <w:lvlText w:val="•"/>
      <w:lvlJc w:val="left"/>
      <w:pPr>
        <w:ind w:left="3105" w:hanging="322"/>
      </w:pPr>
      <w:rPr>
        <w:rFonts w:hint="default"/>
      </w:rPr>
    </w:lvl>
    <w:lvl w:ilvl="3">
      <w:start w:val="0"/>
      <w:numFmt w:val="bullet"/>
      <w:lvlText w:val="•"/>
      <w:lvlJc w:val="left"/>
      <w:pPr>
        <w:ind w:left="3897" w:hanging="322"/>
      </w:pPr>
      <w:rPr>
        <w:rFonts w:hint="default"/>
      </w:rPr>
    </w:lvl>
    <w:lvl w:ilvl="4">
      <w:start w:val="0"/>
      <w:numFmt w:val="bullet"/>
      <w:lvlText w:val="•"/>
      <w:lvlJc w:val="left"/>
      <w:pPr>
        <w:ind w:left="4690" w:hanging="322"/>
      </w:pPr>
      <w:rPr>
        <w:rFonts w:hint="default"/>
      </w:rPr>
    </w:lvl>
    <w:lvl w:ilvl="5">
      <w:start w:val="0"/>
      <w:numFmt w:val="bullet"/>
      <w:lvlText w:val="•"/>
      <w:lvlJc w:val="left"/>
      <w:pPr>
        <w:ind w:left="5483" w:hanging="322"/>
      </w:pPr>
      <w:rPr>
        <w:rFonts w:hint="default"/>
      </w:rPr>
    </w:lvl>
    <w:lvl w:ilvl="6">
      <w:start w:val="0"/>
      <w:numFmt w:val="bullet"/>
      <w:lvlText w:val="•"/>
      <w:lvlJc w:val="left"/>
      <w:pPr>
        <w:ind w:left="6275" w:hanging="322"/>
      </w:pPr>
      <w:rPr>
        <w:rFonts w:hint="default"/>
      </w:rPr>
    </w:lvl>
    <w:lvl w:ilvl="7">
      <w:start w:val="0"/>
      <w:numFmt w:val="bullet"/>
      <w:lvlText w:val="•"/>
      <w:lvlJc w:val="left"/>
      <w:pPr>
        <w:ind w:left="7068" w:hanging="322"/>
      </w:pPr>
      <w:rPr>
        <w:rFonts w:hint="default"/>
      </w:rPr>
    </w:lvl>
    <w:lvl w:ilvl="8">
      <w:start w:val="0"/>
      <w:numFmt w:val="bullet"/>
      <w:lvlText w:val="•"/>
      <w:lvlJc w:val="left"/>
      <w:pPr>
        <w:ind w:left="7860" w:hanging="322"/>
      </w:pPr>
      <w:rPr>
        <w:rFonts w:hint="default"/>
      </w:rPr>
    </w:lvl>
  </w:abstractNum>
  <w:abstractNum w:abstractNumId="21">
    <w:multiLevelType w:val="hybridMultilevel"/>
    <w:lvl w:ilvl="0">
      <w:start w:val="1"/>
      <w:numFmt w:val="decimal"/>
      <w:lvlText w:val="%1."/>
      <w:lvlJc w:val="left"/>
      <w:pPr>
        <w:ind w:left="1522" w:hanging="322"/>
        <w:jc w:val="left"/>
      </w:pPr>
      <w:rPr>
        <w:rFonts w:hint="default" w:ascii="仿宋" w:hAnsi="仿宋" w:eastAsia="仿宋" w:cs="仿宋"/>
        <w:b/>
        <w:bCs/>
        <w:spacing w:val="1"/>
        <w:w w:val="98"/>
        <w:sz w:val="30"/>
        <w:szCs w:val="30"/>
      </w:rPr>
    </w:lvl>
    <w:lvl w:ilvl="1">
      <w:start w:val="0"/>
      <w:numFmt w:val="bullet"/>
      <w:lvlText w:val="•"/>
      <w:lvlJc w:val="left"/>
      <w:pPr>
        <w:ind w:left="2312" w:hanging="322"/>
      </w:pPr>
      <w:rPr>
        <w:rFonts w:hint="default"/>
      </w:rPr>
    </w:lvl>
    <w:lvl w:ilvl="2">
      <w:start w:val="0"/>
      <w:numFmt w:val="bullet"/>
      <w:lvlText w:val="•"/>
      <w:lvlJc w:val="left"/>
      <w:pPr>
        <w:ind w:left="3105" w:hanging="322"/>
      </w:pPr>
      <w:rPr>
        <w:rFonts w:hint="default"/>
      </w:rPr>
    </w:lvl>
    <w:lvl w:ilvl="3">
      <w:start w:val="0"/>
      <w:numFmt w:val="bullet"/>
      <w:lvlText w:val="•"/>
      <w:lvlJc w:val="left"/>
      <w:pPr>
        <w:ind w:left="3897" w:hanging="322"/>
      </w:pPr>
      <w:rPr>
        <w:rFonts w:hint="default"/>
      </w:rPr>
    </w:lvl>
    <w:lvl w:ilvl="4">
      <w:start w:val="0"/>
      <w:numFmt w:val="bullet"/>
      <w:lvlText w:val="•"/>
      <w:lvlJc w:val="left"/>
      <w:pPr>
        <w:ind w:left="4690" w:hanging="322"/>
      </w:pPr>
      <w:rPr>
        <w:rFonts w:hint="default"/>
      </w:rPr>
    </w:lvl>
    <w:lvl w:ilvl="5">
      <w:start w:val="0"/>
      <w:numFmt w:val="bullet"/>
      <w:lvlText w:val="•"/>
      <w:lvlJc w:val="left"/>
      <w:pPr>
        <w:ind w:left="5483" w:hanging="322"/>
      </w:pPr>
      <w:rPr>
        <w:rFonts w:hint="default"/>
      </w:rPr>
    </w:lvl>
    <w:lvl w:ilvl="6">
      <w:start w:val="0"/>
      <w:numFmt w:val="bullet"/>
      <w:lvlText w:val="•"/>
      <w:lvlJc w:val="left"/>
      <w:pPr>
        <w:ind w:left="6275" w:hanging="322"/>
      </w:pPr>
      <w:rPr>
        <w:rFonts w:hint="default"/>
      </w:rPr>
    </w:lvl>
    <w:lvl w:ilvl="7">
      <w:start w:val="0"/>
      <w:numFmt w:val="bullet"/>
      <w:lvlText w:val="•"/>
      <w:lvlJc w:val="left"/>
      <w:pPr>
        <w:ind w:left="7068" w:hanging="322"/>
      </w:pPr>
      <w:rPr>
        <w:rFonts w:hint="default"/>
      </w:rPr>
    </w:lvl>
    <w:lvl w:ilvl="8">
      <w:start w:val="0"/>
      <w:numFmt w:val="bullet"/>
      <w:lvlText w:val="•"/>
      <w:lvlJc w:val="left"/>
      <w:pPr>
        <w:ind w:left="7860" w:hanging="322"/>
      </w:pPr>
      <w:rPr>
        <w:rFonts w:hint="default"/>
      </w:rPr>
    </w:lvl>
  </w:abstractNum>
  <w:abstractNum w:abstractNumId="20">
    <w:multiLevelType w:val="hybridMultilevel"/>
    <w:lvl w:ilvl="0">
      <w:start w:val="1"/>
      <w:numFmt w:val="decimal"/>
      <w:lvlText w:val="%1."/>
      <w:lvlJc w:val="left"/>
      <w:pPr>
        <w:ind w:left="1522" w:hanging="322"/>
        <w:jc w:val="left"/>
      </w:pPr>
      <w:rPr>
        <w:rFonts w:hint="default" w:ascii="仿宋" w:hAnsi="仿宋" w:eastAsia="仿宋" w:cs="仿宋"/>
        <w:b/>
        <w:bCs/>
        <w:spacing w:val="1"/>
        <w:w w:val="98"/>
        <w:sz w:val="30"/>
        <w:szCs w:val="30"/>
      </w:rPr>
    </w:lvl>
    <w:lvl w:ilvl="1">
      <w:start w:val="0"/>
      <w:numFmt w:val="bullet"/>
      <w:lvlText w:val="•"/>
      <w:lvlJc w:val="left"/>
      <w:pPr>
        <w:ind w:left="2312" w:hanging="322"/>
      </w:pPr>
      <w:rPr>
        <w:rFonts w:hint="default"/>
      </w:rPr>
    </w:lvl>
    <w:lvl w:ilvl="2">
      <w:start w:val="0"/>
      <w:numFmt w:val="bullet"/>
      <w:lvlText w:val="•"/>
      <w:lvlJc w:val="left"/>
      <w:pPr>
        <w:ind w:left="3105" w:hanging="322"/>
      </w:pPr>
      <w:rPr>
        <w:rFonts w:hint="default"/>
      </w:rPr>
    </w:lvl>
    <w:lvl w:ilvl="3">
      <w:start w:val="0"/>
      <w:numFmt w:val="bullet"/>
      <w:lvlText w:val="•"/>
      <w:lvlJc w:val="left"/>
      <w:pPr>
        <w:ind w:left="3897" w:hanging="322"/>
      </w:pPr>
      <w:rPr>
        <w:rFonts w:hint="default"/>
      </w:rPr>
    </w:lvl>
    <w:lvl w:ilvl="4">
      <w:start w:val="0"/>
      <w:numFmt w:val="bullet"/>
      <w:lvlText w:val="•"/>
      <w:lvlJc w:val="left"/>
      <w:pPr>
        <w:ind w:left="4690" w:hanging="322"/>
      </w:pPr>
      <w:rPr>
        <w:rFonts w:hint="default"/>
      </w:rPr>
    </w:lvl>
    <w:lvl w:ilvl="5">
      <w:start w:val="0"/>
      <w:numFmt w:val="bullet"/>
      <w:lvlText w:val="•"/>
      <w:lvlJc w:val="left"/>
      <w:pPr>
        <w:ind w:left="5483" w:hanging="322"/>
      </w:pPr>
      <w:rPr>
        <w:rFonts w:hint="default"/>
      </w:rPr>
    </w:lvl>
    <w:lvl w:ilvl="6">
      <w:start w:val="0"/>
      <w:numFmt w:val="bullet"/>
      <w:lvlText w:val="•"/>
      <w:lvlJc w:val="left"/>
      <w:pPr>
        <w:ind w:left="6275" w:hanging="322"/>
      </w:pPr>
      <w:rPr>
        <w:rFonts w:hint="default"/>
      </w:rPr>
    </w:lvl>
    <w:lvl w:ilvl="7">
      <w:start w:val="0"/>
      <w:numFmt w:val="bullet"/>
      <w:lvlText w:val="•"/>
      <w:lvlJc w:val="left"/>
      <w:pPr>
        <w:ind w:left="7068" w:hanging="322"/>
      </w:pPr>
      <w:rPr>
        <w:rFonts w:hint="default"/>
      </w:rPr>
    </w:lvl>
    <w:lvl w:ilvl="8">
      <w:start w:val="0"/>
      <w:numFmt w:val="bullet"/>
      <w:lvlText w:val="•"/>
      <w:lvlJc w:val="left"/>
      <w:pPr>
        <w:ind w:left="7860" w:hanging="322"/>
      </w:pPr>
      <w:rPr>
        <w:rFonts w:hint="default"/>
      </w:rPr>
    </w:lvl>
  </w:abstractNum>
  <w:abstractNum w:abstractNumId="19">
    <w:multiLevelType w:val="hybridMultilevel"/>
    <w:lvl w:ilvl="0">
      <w:start w:val="2"/>
      <w:numFmt w:val="decimal"/>
      <w:lvlText w:val="%1."/>
      <w:lvlJc w:val="left"/>
      <w:pPr>
        <w:ind w:left="1522" w:hanging="322"/>
        <w:jc w:val="left"/>
      </w:pPr>
      <w:rPr>
        <w:rFonts w:hint="default"/>
        <w:b/>
        <w:bCs/>
        <w:spacing w:val="1"/>
        <w:w w:val="98"/>
      </w:rPr>
    </w:lvl>
    <w:lvl w:ilvl="1">
      <w:start w:val="0"/>
      <w:numFmt w:val="bullet"/>
      <w:lvlText w:val="•"/>
      <w:lvlJc w:val="left"/>
      <w:pPr>
        <w:ind w:left="2312" w:hanging="322"/>
      </w:pPr>
      <w:rPr>
        <w:rFonts w:hint="default"/>
      </w:rPr>
    </w:lvl>
    <w:lvl w:ilvl="2">
      <w:start w:val="0"/>
      <w:numFmt w:val="bullet"/>
      <w:lvlText w:val="•"/>
      <w:lvlJc w:val="left"/>
      <w:pPr>
        <w:ind w:left="3105" w:hanging="322"/>
      </w:pPr>
      <w:rPr>
        <w:rFonts w:hint="default"/>
      </w:rPr>
    </w:lvl>
    <w:lvl w:ilvl="3">
      <w:start w:val="0"/>
      <w:numFmt w:val="bullet"/>
      <w:lvlText w:val="•"/>
      <w:lvlJc w:val="left"/>
      <w:pPr>
        <w:ind w:left="3897" w:hanging="322"/>
      </w:pPr>
      <w:rPr>
        <w:rFonts w:hint="default"/>
      </w:rPr>
    </w:lvl>
    <w:lvl w:ilvl="4">
      <w:start w:val="0"/>
      <w:numFmt w:val="bullet"/>
      <w:lvlText w:val="•"/>
      <w:lvlJc w:val="left"/>
      <w:pPr>
        <w:ind w:left="4690" w:hanging="322"/>
      </w:pPr>
      <w:rPr>
        <w:rFonts w:hint="default"/>
      </w:rPr>
    </w:lvl>
    <w:lvl w:ilvl="5">
      <w:start w:val="0"/>
      <w:numFmt w:val="bullet"/>
      <w:lvlText w:val="•"/>
      <w:lvlJc w:val="left"/>
      <w:pPr>
        <w:ind w:left="5483" w:hanging="322"/>
      </w:pPr>
      <w:rPr>
        <w:rFonts w:hint="default"/>
      </w:rPr>
    </w:lvl>
    <w:lvl w:ilvl="6">
      <w:start w:val="0"/>
      <w:numFmt w:val="bullet"/>
      <w:lvlText w:val="•"/>
      <w:lvlJc w:val="left"/>
      <w:pPr>
        <w:ind w:left="6275" w:hanging="322"/>
      </w:pPr>
      <w:rPr>
        <w:rFonts w:hint="default"/>
      </w:rPr>
    </w:lvl>
    <w:lvl w:ilvl="7">
      <w:start w:val="0"/>
      <w:numFmt w:val="bullet"/>
      <w:lvlText w:val="•"/>
      <w:lvlJc w:val="left"/>
      <w:pPr>
        <w:ind w:left="7068" w:hanging="322"/>
      </w:pPr>
      <w:rPr>
        <w:rFonts w:hint="default"/>
      </w:rPr>
    </w:lvl>
    <w:lvl w:ilvl="8">
      <w:start w:val="0"/>
      <w:numFmt w:val="bullet"/>
      <w:lvlText w:val="•"/>
      <w:lvlJc w:val="left"/>
      <w:pPr>
        <w:ind w:left="7860" w:hanging="322"/>
      </w:pPr>
      <w:rPr>
        <w:rFonts w:hint="default"/>
      </w:rPr>
    </w:lvl>
  </w:abstractNum>
  <w:abstractNum w:abstractNumId="18">
    <w:multiLevelType w:val="hybridMultilevel"/>
    <w:lvl w:ilvl="0">
      <w:start w:val="1"/>
      <w:numFmt w:val="decimal"/>
      <w:lvlText w:val="（%1）"/>
      <w:lvlJc w:val="left"/>
      <w:pPr>
        <w:ind w:left="107" w:hanging="601"/>
        <w:jc w:val="left"/>
      </w:pPr>
      <w:rPr>
        <w:rFonts w:hint="default" w:ascii="仿宋" w:hAnsi="仿宋" w:eastAsia="仿宋" w:cs="仿宋"/>
        <w:spacing w:val="-60"/>
        <w:w w:val="100"/>
        <w:sz w:val="22"/>
        <w:szCs w:val="22"/>
      </w:rPr>
    </w:lvl>
    <w:lvl w:ilvl="1">
      <w:start w:val="0"/>
      <w:numFmt w:val="bullet"/>
      <w:lvlText w:val="•"/>
      <w:lvlJc w:val="left"/>
      <w:pPr>
        <w:ind w:left="608" w:hanging="601"/>
      </w:pPr>
      <w:rPr>
        <w:rFonts w:hint="default"/>
      </w:rPr>
    </w:lvl>
    <w:lvl w:ilvl="2">
      <w:start w:val="0"/>
      <w:numFmt w:val="bullet"/>
      <w:lvlText w:val="•"/>
      <w:lvlJc w:val="left"/>
      <w:pPr>
        <w:ind w:left="1116" w:hanging="601"/>
      </w:pPr>
      <w:rPr>
        <w:rFonts w:hint="default"/>
      </w:rPr>
    </w:lvl>
    <w:lvl w:ilvl="3">
      <w:start w:val="0"/>
      <w:numFmt w:val="bullet"/>
      <w:lvlText w:val="•"/>
      <w:lvlJc w:val="left"/>
      <w:pPr>
        <w:ind w:left="1624" w:hanging="601"/>
      </w:pPr>
      <w:rPr>
        <w:rFonts w:hint="default"/>
      </w:rPr>
    </w:lvl>
    <w:lvl w:ilvl="4">
      <w:start w:val="0"/>
      <w:numFmt w:val="bullet"/>
      <w:lvlText w:val="•"/>
      <w:lvlJc w:val="left"/>
      <w:pPr>
        <w:ind w:left="2132" w:hanging="601"/>
      </w:pPr>
      <w:rPr>
        <w:rFonts w:hint="default"/>
      </w:rPr>
    </w:lvl>
    <w:lvl w:ilvl="5">
      <w:start w:val="0"/>
      <w:numFmt w:val="bullet"/>
      <w:lvlText w:val="•"/>
      <w:lvlJc w:val="left"/>
      <w:pPr>
        <w:ind w:left="2640" w:hanging="601"/>
      </w:pPr>
      <w:rPr>
        <w:rFonts w:hint="default"/>
      </w:rPr>
    </w:lvl>
    <w:lvl w:ilvl="6">
      <w:start w:val="0"/>
      <w:numFmt w:val="bullet"/>
      <w:lvlText w:val="•"/>
      <w:lvlJc w:val="left"/>
      <w:pPr>
        <w:ind w:left="3148" w:hanging="601"/>
      </w:pPr>
      <w:rPr>
        <w:rFonts w:hint="default"/>
      </w:rPr>
    </w:lvl>
    <w:lvl w:ilvl="7">
      <w:start w:val="0"/>
      <w:numFmt w:val="bullet"/>
      <w:lvlText w:val="•"/>
      <w:lvlJc w:val="left"/>
      <w:pPr>
        <w:ind w:left="3656" w:hanging="601"/>
      </w:pPr>
      <w:rPr>
        <w:rFonts w:hint="default"/>
      </w:rPr>
    </w:lvl>
    <w:lvl w:ilvl="8">
      <w:start w:val="0"/>
      <w:numFmt w:val="bullet"/>
      <w:lvlText w:val="•"/>
      <w:lvlJc w:val="left"/>
      <w:pPr>
        <w:ind w:left="4164" w:hanging="601"/>
      </w:pPr>
      <w:rPr>
        <w:rFonts w:hint="default"/>
      </w:rPr>
    </w:lvl>
  </w:abstractNum>
  <w:abstractNum w:abstractNumId="17">
    <w:multiLevelType w:val="hybridMultilevel"/>
    <w:lvl w:ilvl="0">
      <w:start w:val="1"/>
      <w:numFmt w:val="decimal"/>
      <w:lvlText w:val="（%1）"/>
      <w:lvlJc w:val="left"/>
      <w:pPr>
        <w:ind w:left="560" w:hanging="800"/>
        <w:jc w:val="left"/>
      </w:pPr>
      <w:rPr>
        <w:rFonts w:hint="default" w:ascii="仿宋" w:hAnsi="仿宋" w:eastAsia="仿宋" w:cs="仿宋"/>
        <w:w w:val="99"/>
        <w:sz w:val="30"/>
        <w:szCs w:val="30"/>
      </w:rPr>
    </w:lvl>
    <w:lvl w:ilvl="1">
      <w:start w:val="0"/>
      <w:numFmt w:val="bullet"/>
      <w:lvlText w:val="•"/>
      <w:lvlJc w:val="left"/>
      <w:pPr>
        <w:ind w:left="1448" w:hanging="800"/>
      </w:pPr>
      <w:rPr>
        <w:rFonts w:hint="default"/>
      </w:rPr>
    </w:lvl>
    <w:lvl w:ilvl="2">
      <w:start w:val="0"/>
      <w:numFmt w:val="bullet"/>
      <w:lvlText w:val="•"/>
      <w:lvlJc w:val="left"/>
      <w:pPr>
        <w:ind w:left="2337" w:hanging="800"/>
      </w:pPr>
      <w:rPr>
        <w:rFonts w:hint="default"/>
      </w:rPr>
    </w:lvl>
    <w:lvl w:ilvl="3">
      <w:start w:val="0"/>
      <w:numFmt w:val="bullet"/>
      <w:lvlText w:val="•"/>
      <w:lvlJc w:val="left"/>
      <w:pPr>
        <w:ind w:left="3225" w:hanging="800"/>
      </w:pPr>
      <w:rPr>
        <w:rFonts w:hint="default"/>
      </w:rPr>
    </w:lvl>
    <w:lvl w:ilvl="4">
      <w:start w:val="0"/>
      <w:numFmt w:val="bullet"/>
      <w:lvlText w:val="•"/>
      <w:lvlJc w:val="left"/>
      <w:pPr>
        <w:ind w:left="4114" w:hanging="800"/>
      </w:pPr>
      <w:rPr>
        <w:rFonts w:hint="default"/>
      </w:rPr>
    </w:lvl>
    <w:lvl w:ilvl="5">
      <w:start w:val="0"/>
      <w:numFmt w:val="bullet"/>
      <w:lvlText w:val="•"/>
      <w:lvlJc w:val="left"/>
      <w:pPr>
        <w:ind w:left="5003" w:hanging="800"/>
      </w:pPr>
      <w:rPr>
        <w:rFonts w:hint="default"/>
      </w:rPr>
    </w:lvl>
    <w:lvl w:ilvl="6">
      <w:start w:val="0"/>
      <w:numFmt w:val="bullet"/>
      <w:lvlText w:val="•"/>
      <w:lvlJc w:val="left"/>
      <w:pPr>
        <w:ind w:left="5891" w:hanging="800"/>
      </w:pPr>
      <w:rPr>
        <w:rFonts w:hint="default"/>
      </w:rPr>
    </w:lvl>
    <w:lvl w:ilvl="7">
      <w:start w:val="0"/>
      <w:numFmt w:val="bullet"/>
      <w:lvlText w:val="•"/>
      <w:lvlJc w:val="left"/>
      <w:pPr>
        <w:ind w:left="6780" w:hanging="800"/>
      </w:pPr>
      <w:rPr>
        <w:rFonts w:hint="default"/>
      </w:rPr>
    </w:lvl>
    <w:lvl w:ilvl="8">
      <w:start w:val="0"/>
      <w:numFmt w:val="bullet"/>
      <w:lvlText w:val="•"/>
      <w:lvlJc w:val="left"/>
      <w:pPr>
        <w:ind w:left="7668" w:hanging="800"/>
      </w:pPr>
      <w:rPr>
        <w:rFonts w:hint="default"/>
      </w:rPr>
    </w:lvl>
  </w:abstractNum>
  <w:abstractNum w:abstractNumId="16">
    <w:multiLevelType w:val="hybridMultilevel"/>
    <w:lvl w:ilvl="0">
      <w:start w:val="1"/>
      <w:numFmt w:val="decimal"/>
      <w:lvlText w:val="%1."/>
      <w:lvlJc w:val="left"/>
      <w:pPr>
        <w:ind w:left="1462" w:hanging="303"/>
        <w:jc w:val="left"/>
      </w:pPr>
      <w:rPr>
        <w:rFonts w:hint="default"/>
        <w:b/>
        <w:bCs/>
        <w:spacing w:val="1"/>
        <w:w w:val="99"/>
      </w:rPr>
    </w:lvl>
    <w:lvl w:ilvl="1">
      <w:start w:val="0"/>
      <w:numFmt w:val="bullet"/>
      <w:lvlText w:val="•"/>
      <w:lvlJc w:val="left"/>
      <w:pPr>
        <w:ind w:left="2258" w:hanging="303"/>
      </w:pPr>
      <w:rPr>
        <w:rFonts w:hint="default"/>
      </w:rPr>
    </w:lvl>
    <w:lvl w:ilvl="2">
      <w:start w:val="0"/>
      <w:numFmt w:val="bullet"/>
      <w:lvlText w:val="•"/>
      <w:lvlJc w:val="left"/>
      <w:pPr>
        <w:ind w:left="3057" w:hanging="303"/>
      </w:pPr>
      <w:rPr>
        <w:rFonts w:hint="default"/>
      </w:rPr>
    </w:lvl>
    <w:lvl w:ilvl="3">
      <w:start w:val="0"/>
      <w:numFmt w:val="bullet"/>
      <w:lvlText w:val="•"/>
      <w:lvlJc w:val="left"/>
      <w:pPr>
        <w:ind w:left="3855" w:hanging="303"/>
      </w:pPr>
      <w:rPr>
        <w:rFonts w:hint="default"/>
      </w:rPr>
    </w:lvl>
    <w:lvl w:ilvl="4">
      <w:start w:val="0"/>
      <w:numFmt w:val="bullet"/>
      <w:lvlText w:val="•"/>
      <w:lvlJc w:val="left"/>
      <w:pPr>
        <w:ind w:left="4654" w:hanging="303"/>
      </w:pPr>
      <w:rPr>
        <w:rFonts w:hint="default"/>
      </w:rPr>
    </w:lvl>
    <w:lvl w:ilvl="5">
      <w:start w:val="0"/>
      <w:numFmt w:val="bullet"/>
      <w:lvlText w:val="•"/>
      <w:lvlJc w:val="left"/>
      <w:pPr>
        <w:ind w:left="5453" w:hanging="303"/>
      </w:pPr>
      <w:rPr>
        <w:rFonts w:hint="default"/>
      </w:rPr>
    </w:lvl>
    <w:lvl w:ilvl="6">
      <w:start w:val="0"/>
      <w:numFmt w:val="bullet"/>
      <w:lvlText w:val="•"/>
      <w:lvlJc w:val="left"/>
      <w:pPr>
        <w:ind w:left="6251" w:hanging="303"/>
      </w:pPr>
      <w:rPr>
        <w:rFonts w:hint="default"/>
      </w:rPr>
    </w:lvl>
    <w:lvl w:ilvl="7">
      <w:start w:val="0"/>
      <w:numFmt w:val="bullet"/>
      <w:lvlText w:val="•"/>
      <w:lvlJc w:val="left"/>
      <w:pPr>
        <w:ind w:left="7050" w:hanging="303"/>
      </w:pPr>
      <w:rPr>
        <w:rFonts w:hint="default"/>
      </w:rPr>
    </w:lvl>
    <w:lvl w:ilvl="8">
      <w:start w:val="0"/>
      <w:numFmt w:val="bullet"/>
      <w:lvlText w:val="•"/>
      <w:lvlJc w:val="left"/>
      <w:pPr>
        <w:ind w:left="7848" w:hanging="303"/>
      </w:pPr>
      <w:rPr>
        <w:rFonts w:hint="default"/>
      </w:rPr>
    </w:lvl>
  </w:abstractNum>
  <w:abstractNum w:abstractNumId="15">
    <w:multiLevelType w:val="hybridMultilevel"/>
    <w:lvl w:ilvl="0">
      <w:start w:val="1"/>
      <w:numFmt w:val="decimal"/>
      <w:lvlText w:val="%1."/>
      <w:lvlJc w:val="left"/>
      <w:pPr>
        <w:ind w:left="1462" w:hanging="303"/>
        <w:jc w:val="left"/>
      </w:pPr>
      <w:rPr>
        <w:rFonts w:hint="default" w:ascii="仿宋" w:hAnsi="仿宋" w:eastAsia="仿宋" w:cs="仿宋"/>
        <w:b/>
        <w:bCs/>
        <w:spacing w:val="1"/>
        <w:w w:val="99"/>
        <w:sz w:val="28"/>
        <w:szCs w:val="28"/>
      </w:rPr>
    </w:lvl>
    <w:lvl w:ilvl="1">
      <w:start w:val="0"/>
      <w:numFmt w:val="bullet"/>
      <w:lvlText w:val="•"/>
      <w:lvlJc w:val="left"/>
      <w:pPr>
        <w:ind w:left="2258" w:hanging="303"/>
      </w:pPr>
      <w:rPr>
        <w:rFonts w:hint="default"/>
      </w:rPr>
    </w:lvl>
    <w:lvl w:ilvl="2">
      <w:start w:val="0"/>
      <w:numFmt w:val="bullet"/>
      <w:lvlText w:val="•"/>
      <w:lvlJc w:val="left"/>
      <w:pPr>
        <w:ind w:left="3057" w:hanging="303"/>
      </w:pPr>
      <w:rPr>
        <w:rFonts w:hint="default"/>
      </w:rPr>
    </w:lvl>
    <w:lvl w:ilvl="3">
      <w:start w:val="0"/>
      <w:numFmt w:val="bullet"/>
      <w:lvlText w:val="•"/>
      <w:lvlJc w:val="left"/>
      <w:pPr>
        <w:ind w:left="3855" w:hanging="303"/>
      </w:pPr>
      <w:rPr>
        <w:rFonts w:hint="default"/>
      </w:rPr>
    </w:lvl>
    <w:lvl w:ilvl="4">
      <w:start w:val="0"/>
      <w:numFmt w:val="bullet"/>
      <w:lvlText w:val="•"/>
      <w:lvlJc w:val="left"/>
      <w:pPr>
        <w:ind w:left="4654" w:hanging="303"/>
      </w:pPr>
      <w:rPr>
        <w:rFonts w:hint="default"/>
      </w:rPr>
    </w:lvl>
    <w:lvl w:ilvl="5">
      <w:start w:val="0"/>
      <w:numFmt w:val="bullet"/>
      <w:lvlText w:val="•"/>
      <w:lvlJc w:val="left"/>
      <w:pPr>
        <w:ind w:left="5453" w:hanging="303"/>
      </w:pPr>
      <w:rPr>
        <w:rFonts w:hint="default"/>
      </w:rPr>
    </w:lvl>
    <w:lvl w:ilvl="6">
      <w:start w:val="0"/>
      <w:numFmt w:val="bullet"/>
      <w:lvlText w:val="•"/>
      <w:lvlJc w:val="left"/>
      <w:pPr>
        <w:ind w:left="6251" w:hanging="303"/>
      </w:pPr>
      <w:rPr>
        <w:rFonts w:hint="default"/>
      </w:rPr>
    </w:lvl>
    <w:lvl w:ilvl="7">
      <w:start w:val="0"/>
      <w:numFmt w:val="bullet"/>
      <w:lvlText w:val="•"/>
      <w:lvlJc w:val="left"/>
      <w:pPr>
        <w:ind w:left="7050" w:hanging="303"/>
      </w:pPr>
      <w:rPr>
        <w:rFonts w:hint="default"/>
      </w:rPr>
    </w:lvl>
    <w:lvl w:ilvl="8">
      <w:start w:val="0"/>
      <w:numFmt w:val="bullet"/>
      <w:lvlText w:val="•"/>
      <w:lvlJc w:val="left"/>
      <w:pPr>
        <w:ind w:left="7848" w:hanging="303"/>
      </w:pPr>
      <w:rPr>
        <w:rFonts w:hint="default"/>
      </w:rPr>
    </w:lvl>
  </w:abstractNum>
  <w:abstractNum w:abstractNumId="14">
    <w:multiLevelType w:val="hybridMultilevel"/>
    <w:lvl w:ilvl="0">
      <w:start w:val="1"/>
      <w:numFmt w:val="decimal"/>
      <w:lvlText w:val="%1."/>
      <w:lvlJc w:val="left"/>
      <w:pPr>
        <w:ind w:left="1462" w:hanging="303"/>
        <w:jc w:val="left"/>
      </w:pPr>
      <w:rPr>
        <w:rFonts w:hint="default" w:ascii="仿宋" w:hAnsi="仿宋" w:eastAsia="仿宋" w:cs="仿宋"/>
        <w:b/>
        <w:bCs/>
        <w:spacing w:val="1"/>
        <w:w w:val="99"/>
        <w:sz w:val="28"/>
        <w:szCs w:val="28"/>
      </w:rPr>
    </w:lvl>
    <w:lvl w:ilvl="1">
      <w:start w:val="0"/>
      <w:numFmt w:val="bullet"/>
      <w:lvlText w:val="•"/>
      <w:lvlJc w:val="left"/>
      <w:pPr>
        <w:ind w:left="2258" w:hanging="303"/>
      </w:pPr>
      <w:rPr>
        <w:rFonts w:hint="default"/>
      </w:rPr>
    </w:lvl>
    <w:lvl w:ilvl="2">
      <w:start w:val="0"/>
      <w:numFmt w:val="bullet"/>
      <w:lvlText w:val="•"/>
      <w:lvlJc w:val="left"/>
      <w:pPr>
        <w:ind w:left="3057" w:hanging="303"/>
      </w:pPr>
      <w:rPr>
        <w:rFonts w:hint="default"/>
      </w:rPr>
    </w:lvl>
    <w:lvl w:ilvl="3">
      <w:start w:val="0"/>
      <w:numFmt w:val="bullet"/>
      <w:lvlText w:val="•"/>
      <w:lvlJc w:val="left"/>
      <w:pPr>
        <w:ind w:left="3855" w:hanging="303"/>
      </w:pPr>
      <w:rPr>
        <w:rFonts w:hint="default"/>
      </w:rPr>
    </w:lvl>
    <w:lvl w:ilvl="4">
      <w:start w:val="0"/>
      <w:numFmt w:val="bullet"/>
      <w:lvlText w:val="•"/>
      <w:lvlJc w:val="left"/>
      <w:pPr>
        <w:ind w:left="4654" w:hanging="303"/>
      </w:pPr>
      <w:rPr>
        <w:rFonts w:hint="default"/>
      </w:rPr>
    </w:lvl>
    <w:lvl w:ilvl="5">
      <w:start w:val="0"/>
      <w:numFmt w:val="bullet"/>
      <w:lvlText w:val="•"/>
      <w:lvlJc w:val="left"/>
      <w:pPr>
        <w:ind w:left="5453" w:hanging="303"/>
      </w:pPr>
      <w:rPr>
        <w:rFonts w:hint="default"/>
      </w:rPr>
    </w:lvl>
    <w:lvl w:ilvl="6">
      <w:start w:val="0"/>
      <w:numFmt w:val="bullet"/>
      <w:lvlText w:val="•"/>
      <w:lvlJc w:val="left"/>
      <w:pPr>
        <w:ind w:left="6251" w:hanging="303"/>
      </w:pPr>
      <w:rPr>
        <w:rFonts w:hint="default"/>
      </w:rPr>
    </w:lvl>
    <w:lvl w:ilvl="7">
      <w:start w:val="0"/>
      <w:numFmt w:val="bullet"/>
      <w:lvlText w:val="•"/>
      <w:lvlJc w:val="left"/>
      <w:pPr>
        <w:ind w:left="7050" w:hanging="303"/>
      </w:pPr>
      <w:rPr>
        <w:rFonts w:hint="default"/>
      </w:rPr>
    </w:lvl>
    <w:lvl w:ilvl="8">
      <w:start w:val="0"/>
      <w:numFmt w:val="bullet"/>
      <w:lvlText w:val="•"/>
      <w:lvlJc w:val="left"/>
      <w:pPr>
        <w:ind w:left="7848" w:hanging="303"/>
      </w:pPr>
      <w:rPr>
        <w:rFonts w:hint="default"/>
      </w:rPr>
    </w:lvl>
  </w:abstractNum>
  <w:abstractNum w:abstractNumId="13">
    <w:multiLevelType w:val="hybridMultilevel"/>
    <w:lvl w:ilvl="0">
      <w:start w:val="1"/>
      <w:numFmt w:val="decimal"/>
      <w:lvlText w:val="%1."/>
      <w:lvlJc w:val="left"/>
      <w:pPr>
        <w:ind w:left="560" w:hanging="332"/>
        <w:jc w:val="left"/>
      </w:pPr>
      <w:rPr>
        <w:rFonts w:hint="default" w:ascii="仿宋" w:hAnsi="仿宋" w:eastAsia="仿宋" w:cs="仿宋"/>
        <w:spacing w:val="1"/>
        <w:w w:val="99"/>
        <w:sz w:val="30"/>
        <w:szCs w:val="30"/>
      </w:rPr>
    </w:lvl>
    <w:lvl w:ilvl="1">
      <w:start w:val="0"/>
      <w:numFmt w:val="bullet"/>
      <w:lvlText w:val="•"/>
      <w:lvlJc w:val="left"/>
      <w:pPr>
        <w:ind w:left="1448" w:hanging="332"/>
      </w:pPr>
      <w:rPr>
        <w:rFonts w:hint="default"/>
      </w:rPr>
    </w:lvl>
    <w:lvl w:ilvl="2">
      <w:start w:val="0"/>
      <w:numFmt w:val="bullet"/>
      <w:lvlText w:val="•"/>
      <w:lvlJc w:val="left"/>
      <w:pPr>
        <w:ind w:left="2337" w:hanging="332"/>
      </w:pPr>
      <w:rPr>
        <w:rFonts w:hint="default"/>
      </w:rPr>
    </w:lvl>
    <w:lvl w:ilvl="3">
      <w:start w:val="0"/>
      <w:numFmt w:val="bullet"/>
      <w:lvlText w:val="•"/>
      <w:lvlJc w:val="left"/>
      <w:pPr>
        <w:ind w:left="3225" w:hanging="332"/>
      </w:pPr>
      <w:rPr>
        <w:rFonts w:hint="default"/>
      </w:rPr>
    </w:lvl>
    <w:lvl w:ilvl="4">
      <w:start w:val="0"/>
      <w:numFmt w:val="bullet"/>
      <w:lvlText w:val="•"/>
      <w:lvlJc w:val="left"/>
      <w:pPr>
        <w:ind w:left="4114" w:hanging="332"/>
      </w:pPr>
      <w:rPr>
        <w:rFonts w:hint="default"/>
      </w:rPr>
    </w:lvl>
    <w:lvl w:ilvl="5">
      <w:start w:val="0"/>
      <w:numFmt w:val="bullet"/>
      <w:lvlText w:val="•"/>
      <w:lvlJc w:val="left"/>
      <w:pPr>
        <w:ind w:left="5003" w:hanging="332"/>
      </w:pPr>
      <w:rPr>
        <w:rFonts w:hint="default"/>
      </w:rPr>
    </w:lvl>
    <w:lvl w:ilvl="6">
      <w:start w:val="0"/>
      <w:numFmt w:val="bullet"/>
      <w:lvlText w:val="•"/>
      <w:lvlJc w:val="left"/>
      <w:pPr>
        <w:ind w:left="5891" w:hanging="332"/>
      </w:pPr>
      <w:rPr>
        <w:rFonts w:hint="default"/>
      </w:rPr>
    </w:lvl>
    <w:lvl w:ilvl="7">
      <w:start w:val="0"/>
      <w:numFmt w:val="bullet"/>
      <w:lvlText w:val="•"/>
      <w:lvlJc w:val="left"/>
      <w:pPr>
        <w:ind w:left="6780" w:hanging="332"/>
      </w:pPr>
      <w:rPr>
        <w:rFonts w:hint="default"/>
      </w:rPr>
    </w:lvl>
    <w:lvl w:ilvl="8">
      <w:start w:val="0"/>
      <w:numFmt w:val="bullet"/>
      <w:lvlText w:val="•"/>
      <w:lvlJc w:val="left"/>
      <w:pPr>
        <w:ind w:left="7668" w:hanging="332"/>
      </w:pPr>
      <w:rPr>
        <w:rFonts w:hint="default"/>
      </w:rPr>
    </w:lvl>
  </w:abstractNum>
  <w:abstractNum w:abstractNumId="12">
    <w:multiLevelType w:val="hybridMultilevel"/>
    <w:lvl w:ilvl="0">
      <w:start w:val="1"/>
      <w:numFmt w:val="decimal"/>
      <w:lvlText w:val="%1."/>
      <w:lvlJc w:val="left"/>
      <w:pPr>
        <w:ind w:left="1462" w:hanging="303"/>
        <w:jc w:val="left"/>
      </w:pPr>
      <w:rPr>
        <w:rFonts w:hint="default" w:ascii="仿宋" w:hAnsi="仿宋" w:eastAsia="仿宋" w:cs="仿宋"/>
        <w:b/>
        <w:bCs/>
        <w:spacing w:val="1"/>
        <w:w w:val="99"/>
        <w:sz w:val="28"/>
        <w:szCs w:val="28"/>
      </w:rPr>
    </w:lvl>
    <w:lvl w:ilvl="1">
      <w:start w:val="0"/>
      <w:numFmt w:val="bullet"/>
      <w:lvlText w:val="•"/>
      <w:lvlJc w:val="left"/>
      <w:pPr>
        <w:ind w:left="2258" w:hanging="303"/>
      </w:pPr>
      <w:rPr>
        <w:rFonts w:hint="default"/>
      </w:rPr>
    </w:lvl>
    <w:lvl w:ilvl="2">
      <w:start w:val="0"/>
      <w:numFmt w:val="bullet"/>
      <w:lvlText w:val="•"/>
      <w:lvlJc w:val="left"/>
      <w:pPr>
        <w:ind w:left="3057" w:hanging="303"/>
      </w:pPr>
      <w:rPr>
        <w:rFonts w:hint="default"/>
      </w:rPr>
    </w:lvl>
    <w:lvl w:ilvl="3">
      <w:start w:val="0"/>
      <w:numFmt w:val="bullet"/>
      <w:lvlText w:val="•"/>
      <w:lvlJc w:val="left"/>
      <w:pPr>
        <w:ind w:left="3855" w:hanging="303"/>
      </w:pPr>
      <w:rPr>
        <w:rFonts w:hint="default"/>
      </w:rPr>
    </w:lvl>
    <w:lvl w:ilvl="4">
      <w:start w:val="0"/>
      <w:numFmt w:val="bullet"/>
      <w:lvlText w:val="•"/>
      <w:lvlJc w:val="left"/>
      <w:pPr>
        <w:ind w:left="4654" w:hanging="303"/>
      </w:pPr>
      <w:rPr>
        <w:rFonts w:hint="default"/>
      </w:rPr>
    </w:lvl>
    <w:lvl w:ilvl="5">
      <w:start w:val="0"/>
      <w:numFmt w:val="bullet"/>
      <w:lvlText w:val="•"/>
      <w:lvlJc w:val="left"/>
      <w:pPr>
        <w:ind w:left="5453" w:hanging="303"/>
      </w:pPr>
      <w:rPr>
        <w:rFonts w:hint="default"/>
      </w:rPr>
    </w:lvl>
    <w:lvl w:ilvl="6">
      <w:start w:val="0"/>
      <w:numFmt w:val="bullet"/>
      <w:lvlText w:val="•"/>
      <w:lvlJc w:val="left"/>
      <w:pPr>
        <w:ind w:left="6251" w:hanging="303"/>
      </w:pPr>
      <w:rPr>
        <w:rFonts w:hint="default"/>
      </w:rPr>
    </w:lvl>
    <w:lvl w:ilvl="7">
      <w:start w:val="0"/>
      <w:numFmt w:val="bullet"/>
      <w:lvlText w:val="•"/>
      <w:lvlJc w:val="left"/>
      <w:pPr>
        <w:ind w:left="7050" w:hanging="303"/>
      </w:pPr>
      <w:rPr>
        <w:rFonts w:hint="default"/>
      </w:rPr>
    </w:lvl>
    <w:lvl w:ilvl="8">
      <w:start w:val="0"/>
      <w:numFmt w:val="bullet"/>
      <w:lvlText w:val="•"/>
      <w:lvlJc w:val="left"/>
      <w:pPr>
        <w:ind w:left="7848" w:hanging="303"/>
      </w:pPr>
      <w:rPr>
        <w:rFonts w:hint="default"/>
      </w:rPr>
    </w:lvl>
  </w:abstractNum>
  <w:abstractNum w:abstractNumId="11">
    <w:multiLevelType w:val="hybridMultilevel"/>
    <w:lvl w:ilvl="0">
      <w:start w:val="1"/>
      <w:numFmt w:val="decimal"/>
      <w:lvlText w:val="%1."/>
      <w:lvlJc w:val="left"/>
      <w:pPr>
        <w:ind w:left="1283" w:hanging="241"/>
        <w:jc w:val="left"/>
      </w:pPr>
      <w:rPr>
        <w:rFonts w:hint="default" w:ascii="仿宋" w:hAnsi="仿宋" w:eastAsia="仿宋" w:cs="仿宋"/>
        <w:w w:val="100"/>
        <w:sz w:val="22"/>
        <w:szCs w:val="22"/>
      </w:rPr>
    </w:lvl>
    <w:lvl w:ilvl="1">
      <w:start w:val="1"/>
      <w:numFmt w:val="decimal"/>
      <w:lvlText w:val="%2."/>
      <w:lvlJc w:val="left"/>
      <w:pPr>
        <w:ind w:left="1462" w:hanging="303"/>
        <w:jc w:val="left"/>
      </w:pPr>
      <w:rPr>
        <w:rFonts w:hint="default" w:ascii="仿宋" w:hAnsi="仿宋" w:eastAsia="仿宋" w:cs="仿宋"/>
        <w:b/>
        <w:bCs/>
        <w:spacing w:val="1"/>
        <w:w w:val="99"/>
        <w:sz w:val="28"/>
        <w:szCs w:val="28"/>
      </w:rPr>
    </w:lvl>
    <w:lvl w:ilvl="2">
      <w:start w:val="0"/>
      <w:numFmt w:val="bullet"/>
      <w:lvlText w:val="•"/>
      <w:lvlJc w:val="left"/>
      <w:pPr>
        <w:ind w:left="2347" w:hanging="303"/>
      </w:pPr>
      <w:rPr>
        <w:rFonts w:hint="default"/>
      </w:rPr>
    </w:lvl>
    <w:lvl w:ilvl="3">
      <w:start w:val="0"/>
      <w:numFmt w:val="bullet"/>
      <w:lvlText w:val="•"/>
      <w:lvlJc w:val="left"/>
      <w:pPr>
        <w:ind w:left="3234" w:hanging="303"/>
      </w:pPr>
      <w:rPr>
        <w:rFonts w:hint="default"/>
      </w:rPr>
    </w:lvl>
    <w:lvl w:ilvl="4">
      <w:start w:val="0"/>
      <w:numFmt w:val="bullet"/>
      <w:lvlText w:val="•"/>
      <w:lvlJc w:val="left"/>
      <w:pPr>
        <w:ind w:left="4122" w:hanging="303"/>
      </w:pPr>
      <w:rPr>
        <w:rFonts w:hint="default"/>
      </w:rPr>
    </w:lvl>
    <w:lvl w:ilvl="5">
      <w:start w:val="0"/>
      <w:numFmt w:val="bullet"/>
      <w:lvlText w:val="•"/>
      <w:lvlJc w:val="left"/>
      <w:pPr>
        <w:ind w:left="5009" w:hanging="303"/>
      </w:pPr>
      <w:rPr>
        <w:rFonts w:hint="default"/>
      </w:rPr>
    </w:lvl>
    <w:lvl w:ilvl="6">
      <w:start w:val="0"/>
      <w:numFmt w:val="bullet"/>
      <w:lvlText w:val="•"/>
      <w:lvlJc w:val="left"/>
      <w:pPr>
        <w:ind w:left="5896" w:hanging="303"/>
      </w:pPr>
      <w:rPr>
        <w:rFonts w:hint="default"/>
      </w:rPr>
    </w:lvl>
    <w:lvl w:ilvl="7">
      <w:start w:val="0"/>
      <w:numFmt w:val="bullet"/>
      <w:lvlText w:val="•"/>
      <w:lvlJc w:val="left"/>
      <w:pPr>
        <w:ind w:left="6784" w:hanging="303"/>
      </w:pPr>
      <w:rPr>
        <w:rFonts w:hint="default"/>
      </w:rPr>
    </w:lvl>
    <w:lvl w:ilvl="8">
      <w:start w:val="0"/>
      <w:numFmt w:val="bullet"/>
      <w:lvlText w:val="•"/>
      <w:lvlJc w:val="left"/>
      <w:pPr>
        <w:ind w:left="7671" w:hanging="303"/>
      </w:pPr>
      <w:rPr>
        <w:rFonts w:hint="default"/>
      </w:rPr>
    </w:lvl>
  </w:abstractNum>
  <w:abstractNum w:abstractNumId="10">
    <w:multiLevelType w:val="hybridMultilevel"/>
    <w:lvl w:ilvl="0">
      <w:start w:val="1"/>
      <w:numFmt w:val="decimal"/>
      <w:lvlText w:val="%1."/>
      <w:lvlJc w:val="left"/>
      <w:pPr>
        <w:ind w:left="1283" w:hanging="241"/>
        <w:jc w:val="left"/>
      </w:pPr>
      <w:rPr>
        <w:rFonts w:hint="default" w:ascii="仿宋" w:hAnsi="仿宋" w:eastAsia="仿宋" w:cs="仿宋"/>
        <w:w w:val="100"/>
        <w:sz w:val="22"/>
        <w:szCs w:val="22"/>
      </w:rPr>
    </w:lvl>
    <w:lvl w:ilvl="1">
      <w:start w:val="0"/>
      <w:numFmt w:val="bullet"/>
      <w:lvlText w:val="•"/>
      <w:lvlJc w:val="left"/>
      <w:pPr>
        <w:ind w:left="2096" w:hanging="241"/>
      </w:pPr>
      <w:rPr>
        <w:rFonts w:hint="default"/>
      </w:rPr>
    </w:lvl>
    <w:lvl w:ilvl="2">
      <w:start w:val="0"/>
      <w:numFmt w:val="bullet"/>
      <w:lvlText w:val="•"/>
      <w:lvlJc w:val="left"/>
      <w:pPr>
        <w:ind w:left="2913" w:hanging="241"/>
      </w:pPr>
      <w:rPr>
        <w:rFonts w:hint="default"/>
      </w:rPr>
    </w:lvl>
    <w:lvl w:ilvl="3">
      <w:start w:val="0"/>
      <w:numFmt w:val="bullet"/>
      <w:lvlText w:val="•"/>
      <w:lvlJc w:val="left"/>
      <w:pPr>
        <w:ind w:left="3729" w:hanging="241"/>
      </w:pPr>
      <w:rPr>
        <w:rFonts w:hint="default"/>
      </w:rPr>
    </w:lvl>
    <w:lvl w:ilvl="4">
      <w:start w:val="0"/>
      <w:numFmt w:val="bullet"/>
      <w:lvlText w:val="•"/>
      <w:lvlJc w:val="left"/>
      <w:pPr>
        <w:ind w:left="4546" w:hanging="241"/>
      </w:pPr>
      <w:rPr>
        <w:rFonts w:hint="default"/>
      </w:rPr>
    </w:lvl>
    <w:lvl w:ilvl="5">
      <w:start w:val="0"/>
      <w:numFmt w:val="bullet"/>
      <w:lvlText w:val="•"/>
      <w:lvlJc w:val="left"/>
      <w:pPr>
        <w:ind w:left="5363" w:hanging="241"/>
      </w:pPr>
      <w:rPr>
        <w:rFonts w:hint="default"/>
      </w:rPr>
    </w:lvl>
    <w:lvl w:ilvl="6">
      <w:start w:val="0"/>
      <w:numFmt w:val="bullet"/>
      <w:lvlText w:val="•"/>
      <w:lvlJc w:val="left"/>
      <w:pPr>
        <w:ind w:left="6179" w:hanging="241"/>
      </w:pPr>
      <w:rPr>
        <w:rFonts w:hint="default"/>
      </w:rPr>
    </w:lvl>
    <w:lvl w:ilvl="7">
      <w:start w:val="0"/>
      <w:numFmt w:val="bullet"/>
      <w:lvlText w:val="•"/>
      <w:lvlJc w:val="left"/>
      <w:pPr>
        <w:ind w:left="6996" w:hanging="241"/>
      </w:pPr>
      <w:rPr>
        <w:rFonts w:hint="default"/>
      </w:rPr>
    </w:lvl>
    <w:lvl w:ilvl="8">
      <w:start w:val="0"/>
      <w:numFmt w:val="bullet"/>
      <w:lvlText w:val="•"/>
      <w:lvlJc w:val="left"/>
      <w:pPr>
        <w:ind w:left="7812" w:hanging="241"/>
      </w:pPr>
      <w:rPr>
        <w:rFonts w:hint="default"/>
      </w:rPr>
    </w:lvl>
  </w:abstractNum>
  <w:abstractNum w:abstractNumId="9">
    <w:multiLevelType w:val="hybridMultilevel"/>
    <w:lvl w:ilvl="0">
      <w:start w:val="1"/>
      <w:numFmt w:val="decimal"/>
      <w:lvlText w:val="%1."/>
      <w:lvlJc w:val="left"/>
      <w:pPr>
        <w:ind w:left="1283" w:hanging="241"/>
        <w:jc w:val="left"/>
      </w:pPr>
      <w:rPr>
        <w:rFonts w:hint="default" w:ascii="仿宋" w:hAnsi="仿宋" w:eastAsia="仿宋" w:cs="仿宋"/>
        <w:w w:val="100"/>
        <w:sz w:val="22"/>
        <w:szCs w:val="22"/>
      </w:rPr>
    </w:lvl>
    <w:lvl w:ilvl="1">
      <w:start w:val="0"/>
      <w:numFmt w:val="bullet"/>
      <w:lvlText w:val="•"/>
      <w:lvlJc w:val="left"/>
      <w:pPr>
        <w:ind w:left="2096" w:hanging="241"/>
      </w:pPr>
      <w:rPr>
        <w:rFonts w:hint="default"/>
      </w:rPr>
    </w:lvl>
    <w:lvl w:ilvl="2">
      <w:start w:val="0"/>
      <w:numFmt w:val="bullet"/>
      <w:lvlText w:val="•"/>
      <w:lvlJc w:val="left"/>
      <w:pPr>
        <w:ind w:left="2913" w:hanging="241"/>
      </w:pPr>
      <w:rPr>
        <w:rFonts w:hint="default"/>
      </w:rPr>
    </w:lvl>
    <w:lvl w:ilvl="3">
      <w:start w:val="0"/>
      <w:numFmt w:val="bullet"/>
      <w:lvlText w:val="•"/>
      <w:lvlJc w:val="left"/>
      <w:pPr>
        <w:ind w:left="3729" w:hanging="241"/>
      </w:pPr>
      <w:rPr>
        <w:rFonts w:hint="default"/>
      </w:rPr>
    </w:lvl>
    <w:lvl w:ilvl="4">
      <w:start w:val="0"/>
      <w:numFmt w:val="bullet"/>
      <w:lvlText w:val="•"/>
      <w:lvlJc w:val="left"/>
      <w:pPr>
        <w:ind w:left="4546" w:hanging="241"/>
      </w:pPr>
      <w:rPr>
        <w:rFonts w:hint="default"/>
      </w:rPr>
    </w:lvl>
    <w:lvl w:ilvl="5">
      <w:start w:val="0"/>
      <w:numFmt w:val="bullet"/>
      <w:lvlText w:val="•"/>
      <w:lvlJc w:val="left"/>
      <w:pPr>
        <w:ind w:left="5363" w:hanging="241"/>
      </w:pPr>
      <w:rPr>
        <w:rFonts w:hint="default"/>
      </w:rPr>
    </w:lvl>
    <w:lvl w:ilvl="6">
      <w:start w:val="0"/>
      <w:numFmt w:val="bullet"/>
      <w:lvlText w:val="•"/>
      <w:lvlJc w:val="left"/>
      <w:pPr>
        <w:ind w:left="6179" w:hanging="241"/>
      </w:pPr>
      <w:rPr>
        <w:rFonts w:hint="default"/>
      </w:rPr>
    </w:lvl>
    <w:lvl w:ilvl="7">
      <w:start w:val="0"/>
      <w:numFmt w:val="bullet"/>
      <w:lvlText w:val="•"/>
      <w:lvlJc w:val="left"/>
      <w:pPr>
        <w:ind w:left="6996" w:hanging="241"/>
      </w:pPr>
      <w:rPr>
        <w:rFonts w:hint="default"/>
      </w:rPr>
    </w:lvl>
    <w:lvl w:ilvl="8">
      <w:start w:val="0"/>
      <w:numFmt w:val="bullet"/>
      <w:lvlText w:val="•"/>
      <w:lvlJc w:val="left"/>
      <w:pPr>
        <w:ind w:left="7812" w:hanging="241"/>
      </w:pPr>
      <w:rPr>
        <w:rFonts w:hint="default"/>
      </w:rPr>
    </w:lvl>
  </w:abstractNum>
  <w:abstractNum w:abstractNumId="8">
    <w:multiLevelType w:val="hybridMultilevel"/>
    <w:lvl w:ilvl="0">
      <w:start w:val="1"/>
      <w:numFmt w:val="decimal"/>
      <w:lvlText w:val="%1."/>
      <w:lvlJc w:val="left"/>
      <w:pPr>
        <w:ind w:left="1283" w:hanging="241"/>
        <w:jc w:val="left"/>
      </w:pPr>
      <w:rPr>
        <w:rFonts w:hint="default" w:ascii="仿宋" w:hAnsi="仿宋" w:eastAsia="仿宋" w:cs="仿宋"/>
        <w:w w:val="100"/>
        <w:sz w:val="22"/>
        <w:szCs w:val="22"/>
      </w:rPr>
    </w:lvl>
    <w:lvl w:ilvl="1">
      <w:start w:val="0"/>
      <w:numFmt w:val="bullet"/>
      <w:lvlText w:val="•"/>
      <w:lvlJc w:val="left"/>
      <w:pPr>
        <w:ind w:left="2096" w:hanging="241"/>
      </w:pPr>
      <w:rPr>
        <w:rFonts w:hint="default"/>
      </w:rPr>
    </w:lvl>
    <w:lvl w:ilvl="2">
      <w:start w:val="0"/>
      <w:numFmt w:val="bullet"/>
      <w:lvlText w:val="•"/>
      <w:lvlJc w:val="left"/>
      <w:pPr>
        <w:ind w:left="2913" w:hanging="241"/>
      </w:pPr>
      <w:rPr>
        <w:rFonts w:hint="default"/>
      </w:rPr>
    </w:lvl>
    <w:lvl w:ilvl="3">
      <w:start w:val="0"/>
      <w:numFmt w:val="bullet"/>
      <w:lvlText w:val="•"/>
      <w:lvlJc w:val="left"/>
      <w:pPr>
        <w:ind w:left="3729" w:hanging="241"/>
      </w:pPr>
      <w:rPr>
        <w:rFonts w:hint="default"/>
      </w:rPr>
    </w:lvl>
    <w:lvl w:ilvl="4">
      <w:start w:val="0"/>
      <w:numFmt w:val="bullet"/>
      <w:lvlText w:val="•"/>
      <w:lvlJc w:val="left"/>
      <w:pPr>
        <w:ind w:left="4546" w:hanging="241"/>
      </w:pPr>
      <w:rPr>
        <w:rFonts w:hint="default"/>
      </w:rPr>
    </w:lvl>
    <w:lvl w:ilvl="5">
      <w:start w:val="0"/>
      <w:numFmt w:val="bullet"/>
      <w:lvlText w:val="•"/>
      <w:lvlJc w:val="left"/>
      <w:pPr>
        <w:ind w:left="5363" w:hanging="241"/>
      </w:pPr>
      <w:rPr>
        <w:rFonts w:hint="default"/>
      </w:rPr>
    </w:lvl>
    <w:lvl w:ilvl="6">
      <w:start w:val="0"/>
      <w:numFmt w:val="bullet"/>
      <w:lvlText w:val="•"/>
      <w:lvlJc w:val="left"/>
      <w:pPr>
        <w:ind w:left="6179" w:hanging="241"/>
      </w:pPr>
      <w:rPr>
        <w:rFonts w:hint="default"/>
      </w:rPr>
    </w:lvl>
    <w:lvl w:ilvl="7">
      <w:start w:val="0"/>
      <w:numFmt w:val="bullet"/>
      <w:lvlText w:val="•"/>
      <w:lvlJc w:val="left"/>
      <w:pPr>
        <w:ind w:left="6996" w:hanging="241"/>
      </w:pPr>
      <w:rPr>
        <w:rFonts w:hint="default"/>
      </w:rPr>
    </w:lvl>
    <w:lvl w:ilvl="8">
      <w:start w:val="0"/>
      <w:numFmt w:val="bullet"/>
      <w:lvlText w:val="•"/>
      <w:lvlJc w:val="left"/>
      <w:pPr>
        <w:ind w:left="7812" w:hanging="241"/>
      </w:pPr>
      <w:rPr>
        <w:rFonts w:hint="default"/>
      </w:rPr>
    </w:lvl>
  </w:abstractNum>
  <w:abstractNum w:abstractNumId="7">
    <w:multiLevelType w:val="hybridMultilevel"/>
    <w:lvl w:ilvl="0">
      <w:start w:val="1"/>
      <w:numFmt w:val="decimal"/>
      <w:lvlText w:val="%1."/>
      <w:lvlJc w:val="left"/>
      <w:pPr>
        <w:ind w:left="1283" w:hanging="241"/>
        <w:jc w:val="left"/>
      </w:pPr>
      <w:rPr>
        <w:rFonts w:hint="default" w:ascii="仿宋" w:hAnsi="仿宋" w:eastAsia="仿宋" w:cs="仿宋"/>
        <w:w w:val="100"/>
        <w:sz w:val="22"/>
        <w:szCs w:val="22"/>
      </w:rPr>
    </w:lvl>
    <w:lvl w:ilvl="1">
      <w:start w:val="0"/>
      <w:numFmt w:val="bullet"/>
      <w:lvlText w:val="•"/>
      <w:lvlJc w:val="left"/>
      <w:pPr>
        <w:ind w:left="2096" w:hanging="241"/>
      </w:pPr>
      <w:rPr>
        <w:rFonts w:hint="default"/>
      </w:rPr>
    </w:lvl>
    <w:lvl w:ilvl="2">
      <w:start w:val="0"/>
      <w:numFmt w:val="bullet"/>
      <w:lvlText w:val="•"/>
      <w:lvlJc w:val="left"/>
      <w:pPr>
        <w:ind w:left="2913" w:hanging="241"/>
      </w:pPr>
      <w:rPr>
        <w:rFonts w:hint="default"/>
      </w:rPr>
    </w:lvl>
    <w:lvl w:ilvl="3">
      <w:start w:val="0"/>
      <w:numFmt w:val="bullet"/>
      <w:lvlText w:val="•"/>
      <w:lvlJc w:val="left"/>
      <w:pPr>
        <w:ind w:left="3729" w:hanging="241"/>
      </w:pPr>
      <w:rPr>
        <w:rFonts w:hint="default"/>
      </w:rPr>
    </w:lvl>
    <w:lvl w:ilvl="4">
      <w:start w:val="0"/>
      <w:numFmt w:val="bullet"/>
      <w:lvlText w:val="•"/>
      <w:lvlJc w:val="left"/>
      <w:pPr>
        <w:ind w:left="4546" w:hanging="241"/>
      </w:pPr>
      <w:rPr>
        <w:rFonts w:hint="default"/>
      </w:rPr>
    </w:lvl>
    <w:lvl w:ilvl="5">
      <w:start w:val="0"/>
      <w:numFmt w:val="bullet"/>
      <w:lvlText w:val="•"/>
      <w:lvlJc w:val="left"/>
      <w:pPr>
        <w:ind w:left="5363" w:hanging="241"/>
      </w:pPr>
      <w:rPr>
        <w:rFonts w:hint="default"/>
      </w:rPr>
    </w:lvl>
    <w:lvl w:ilvl="6">
      <w:start w:val="0"/>
      <w:numFmt w:val="bullet"/>
      <w:lvlText w:val="•"/>
      <w:lvlJc w:val="left"/>
      <w:pPr>
        <w:ind w:left="6179" w:hanging="241"/>
      </w:pPr>
      <w:rPr>
        <w:rFonts w:hint="default"/>
      </w:rPr>
    </w:lvl>
    <w:lvl w:ilvl="7">
      <w:start w:val="0"/>
      <w:numFmt w:val="bullet"/>
      <w:lvlText w:val="•"/>
      <w:lvlJc w:val="left"/>
      <w:pPr>
        <w:ind w:left="6996" w:hanging="241"/>
      </w:pPr>
      <w:rPr>
        <w:rFonts w:hint="default"/>
      </w:rPr>
    </w:lvl>
    <w:lvl w:ilvl="8">
      <w:start w:val="0"/>
      <w:numFmt w:val="bullet"/>
      <w:lvlText w:val="•"/>
      <w:lvlJc w:val="left"/>
      <w:pPr>
        <w:ind w:left="7812" w:hanging="241"/>
      </w:pPr>
      <w:rPr>
        <w:rFonts w:hint="default"/>
      </w:rPr>
    </w:lvl>
  </w:abstractNum>
  <w:abstractNum w:abstractNumId="6">
    <w:multiLevelType w:val="hybridMultilevel"/>
    <w:lvl w:ilvl="0">
      <w:start w:val="1"/>
      <w:numFmt w:val="decimal"/>
      <w:lvlText w:val="%1."/>
      <w:lvlJc w:val="left"/>
      <w:pPr>
        <w:ind w:left="1283" w:hanging="241"/>
        <w:jc w:val="left"/>
      </w:pPr>
      <w:rPr>
        <w:rFonts w:hint="default" w:ascii="仿宋" w:hAnsi="仿宋" w:eastAsia="仿宋" w:cs="仿宋"/>
        <w:w w:val="100"/>
        <w:sz w:val="22"/>
        <w:szCs w:val="22"/>
      </w:rPr>
    </w:lvl>
    <w:lvl w:ilvl="1">
      <w:start w:val="0"/>
      <w:numFmt w:val="bullet"/>
      <w:lvlText w:val="•"/>
      <w:lvlJc w:val="left"/>
      <w:pPr>
        <w:ind w:left="2096" w:hanging="241"/>
      </w:pPr>
      <w:rPr>
        <w:rFonts w:hint="default"/>
      </w:rPr>
    </w:lvl>
    <w:lvl w:ilvl="2">
      <w:start w:val="0"/>
      <w:numFmt w:val="bullet"/>
      <w:lvlText w:val="•"/>
      <w:lvlJc w:val="left"/>
      <w:pPr>
        <w:ind w:left="2913" w:hanging="241"/>
      </w:pPr>
      <w:rPr>
        <w:rFonts w:hint="default"/>
      </w:rPr>
    </w:lvl>
    <w:lvl w:ilvl="3">
      <w:start w:val="0"/>
      <w:numFmt w:val="bullet"/>
      <w:lvlText w:val="•"/>
      <w:lvlJc w:val="left"/>
      <w:pPr>
        <w:ind w:left="3729" w:hanging="241"/>
      </w:pPr>
      <w:rPr>
        <w:rFonts w:hint="default"/>
      </w:rPr>
    </w:lvl>
    <w:lvl w:ilvl="4">
      <w:start w:val="0"/>
      <w:numFmt w:val="bullet"/>
      <w:lvlText w:val="•"/>
      <w:lvlJc w:val="left"/>
      <w:pPr>
        <w:ind w:left="4546" w:hanging="241"/>
      </w:pPr>
      <w:rPr>
        <w:rFonts w:hint="default"/>
      </w:rPr>
    </w:lvl>
    <w:lvl w:ilvl="5">
      <w:start w:val="0"/>
      <w:numFmt w:val="bullet"/>
      <w:lvlText w:val="•"/>
      <w:lvlJc w:val="left"/>
      <w:pPr>
        <w:ind w:left="5363" w:hanging="241"/>
      </w:pPr>
      <w:rPr>
        <w:rFonts w:hint="default"/>
      </w:rPr>
    </w:lvl>
    <w:lvl w:ilvl="6">
      <w:start w:val="0"/>
      <w:numFmt w:val="bullet"/>
      <w:lvlText w:val="•"/>
      <w:lvlJc w:val="left"/>
      <w:pPr>
        <w:ind w:left="6179" w:hanging="241"/>
      </w:pPr>
      <w:rPr>
        <w:rFonts w:hint="default"/>
      </w:rPr>
    </w:lvl>
    <w:lvl w:ilvl="7">
      <w:start w:val="0"/>
      <w:numFmt w:val="bullet"/>
      <w:lvlText w:val="•"/>
      <w:lvlJc w:val="left"/>
      <w:pPr>
        <w:ind w:left="6996" w:hanging="241"/>
      </w:pPr>
      <w:rPr>
        <w:rFonts w:hint="default"/>
      </w:rPr>
    </w:lvl>
    <w:lvl w:ilvl="8">
      <w:start w:val="0"/>
      <w:numFmt w:val="bullet"/>
      <w:lvlText w:val="•"/>
      <w:lvlJc w:val="left"/>
      <w:pPr>
        <w:ind w:left="7812" w:hanging="241"/>
      </w:pPr>
      <w:rPr>
        <w:rFonts w:hint="default"/>
      </w:rPr>
    </w:lvl>
  </w:abstractNum>
  <w:abstractNum w:abstractNumId="5">
    <w:multiLevelType w:val="hybridMultilevel"/>
    <w:lvl w:ilvl="0">
      <w:start w:val="1"/>
      <w:numFmt w:val="decimal"/>
      <w:lvlText w:val="%1."/>
      <w:lvlJc w:val="left"/>
      <w:pPr>
        <w:ind w:left="1283" w:hanging="241"/>
        <w:jc w:val="left"/>
      </w:pPr>
      <w:rPr>
        <w:rFonts w:hint="default"/>
        <w:w w:val="100"/>
      </w:rPr>
    </w:lvl>
    <w:lvl w:ilvl="1">
      <w:start w:val="0"/>
      <w:numFmt w:val="bullet"/>
      <w:lvlText w:val="•"/>
      <w:lvlJc w:val="left"/>
      <w:pPr>
        <w:ind w:left="2096" w:hanging="241"/>
      </w:pPr>
      <w:rPr>
        <w:rFonts w:hint="default"/>
      </w:rPr>
    </w:lvl>
    <w:lvl w:ilvl="2">
      <w:start w:val="0"/>
      <w:numFmt w:val="bullet"/>
      <w:lvlText w:val="•"/>
      <w:lvlJc w:val="left"/>
      <w:pPr>
        <w:ind w:left="2913" w:hanging="241"/>
      </w:pPr>
      <w:rPr>
        <w:rFonts w:hint="default"/>
      </w:rPr>
    </w:lvl>
    <w:lvl w:ilvl="3">
      <w:start w:val="0"/>
      <w:numFmt w:val="bullet"/>
      <w:lvlText w:val="•"/>
      <w:lvlJc w:val="left"/>
      <w:pPr>
        <w:ind w:left="3729" w:hanging="241"/>
      </w:pPr>
      <w:rPr>
        <w:rFonts w:hint="default"/>
      </w:rPr>
    </w:lvl>
    <w:lvl w:ilvl="4">
      <w:start w:val="0"/>
      <w:numFmt w:val="bullet"/>
      <w:lvlText w:val="•"/>
      <w:lvlJc w:val="left"/>
      <w:pPr>
        <w:ind w:left="4546" w:hanging="241"/>
      </w:pPr>
      <w:rPr>
        <w:rFonts w:hint="default"/>
      </w:rPr>
    </w:lvl>
    <w:lvl w:ilvl="5">
      <w:start w:val="0"/>
      <w:numFmt w:val="bullet"/>
      <w:lvlText w:val="•"/>
      <w:lvlJc w:val="left"/>
      <w:pPr>
        <w:ind w:left="5363" w:hanging="241"/>
      </w:pPr>
      <w:rPr>
        <w:rFonts w:hint="default"/>
      </w:rPr>
    </w:lvl>
    <w:lvl w:ilvl="6">
      <w:start w:val="0"/>
      <w:numFmt w:val="bullet"/>
      <w:lvlText w:val="•"/>
      <w:lvlJc w:val="left"/>
      <w:pPr>
        <w:ind w:left="6179" w:hanging="241"/>
      </w:pPr>
      <w:rPr>
        <w:rFonts w:hint="default"/>
      </w:rPr>
    </w:lvl>
    <w:lvl w:ilvl="7">
      <w:start w:val="0"/>
      <w:numFmt w:val="bullet"/>
      <w:lvlText w:val="•"/>
      <w:lvlJc w:val="left"/>
      <w:pPr>
        <w:ind w:left="6996" w:hanging="241"/>
      </w:pPr>
      <w:rPr>
        <w:rFonts w:hint="default"/>
      </w:rPr>
    </w:lvl>
    <w:lvl w:ilvl="8">
      <w:start w:val="0"/>
      <w:numFmt w:val="bullet"/>
      <w:lvlText w:val="•"/>
      <w:lvlJc w:val="left"/>
      <w:pPr>
        <w:ind w:left="7812" w:hanging="241"/>
      </w:pPr>
      <w:rPr>
        <w:rFonts w:hint="default"/>
      </w:rPr>
    </w:lvl>
  </w:abstractNum>
  <w:abstractNum w:abstractNumId="4">
    <w:multiLevelType w:val="hybridMultilevel"/>
    <w:lvl w:ilvl="0">
      <w:start w:val="1"/>
      <w:numFmt w:val="decimal"/>
      <w:lvlText w:val="%1."/>
      <w:lvlJc w:val="left"/>
      <w:pPr>
        <w:ind w:left="1283" w:hanging="241"/>
        <w:jc w:val="left"/>
      </w:pPr>
      <w:rPr>
        <w:rFonts w:hint="default" w:ascii="仿宋" w:hAnsi="仿宋" w:eastAsia="仿宋" w:cs="仿宋"/>
        <w:w w:val="100"/>
        <w:sz w:val="22"/>
        <w:szCs w:val="22"/>
      </w:rPr>
    </w:lvl>
    <w:lvl w:ilvl="1">
      <w:start w:val="0"/>
      <w:numFmt w:val="bullet"/>
      <w:lvlText w:val="•"/>
      <w:lvlJc w:val="left"/>
      <w:pPr>
        <w:ind w:left="2096" w:hanging="241"/>
      </w:pPr>
      <w:rPr>
        <w:rFonts w:hint="default"/>
      </w:rPr>
    </w:lvl>
    <w:lvl w:ilvl="2">
      <w:start w:val="0"/>
      <w:numFmt w:val="bullet"/>
      <w:lvlText w:val="•"/>
      <w:lvlJc w:val="left"/>
      <w:pPr>
        <w:ind w:left="2913" w:hanging="241"/>
      </w:pPr>
      <w:rPr>
        <w:rFonts w:hint="default"/>
      </w:rPr>
    </w:lvl>
    <w:lvl w:ilvl="3">
      <w:start w:val="0"/>
      <w:numFmt w:val="bullet"/>
      <w:lvlText w:val="•"/>
      <w:lvlJc w:val="left"/>
      <w:pPr>
        <w:ind w:left="3729" w:hanging="241"/>
      </w:pPr>
      <w:rPr>
        <w:rFonts w:hint="default"/>
      </w:rPr>
    </w:lvl>
    <w:lvl w:ilvl="4">
      <w:start w:val="0"/>
      <w:numFmt w:val="bullet"/>
      <w:lvlText w:val="•"/>
      <w:lvlJc w:val="left"/>
      <w:pPr>
        <w:ind w:left="4546" w:hanging="241"/>
      </w:pPr>
      <w:rPr>
        <w:rFonts w:hint="default"/>
      </w:rPr>
    </w:lvl>
    <w:lvl w:ilvl="5">
      <w:start w:val="0"/>
      <w:numFmt w:val="bullet"/>
      <w:lvlText w:val="•"/>
      <w:lvlJc w:val="left"/>
      <w:pPr>
        <w:ind w:left="5363" w:hanging="241"/>
      </w:pPr>
      <w:rPr>
        <w:rFonts w:hint="default"/>
      </w:rPr>
    </w:lvl>
    <w:lvl w:ilvl="6">
      <w:start w:val="0"/>
      <w:numFmt w:val="bullet"/>
      <w:lvlText w:val="•"/>
      <w:lvlJc w:val="left"/>
      <w:pPr>
        <w:ind w:left="6179" w:hanging="241"/>
      </w:pPr>
      <w:rPr>
        <w:rFonts w:hint="default"/>
      </w:rPr>
    </w:lvl>
    <w:lvl w:ilvl="7">
      <w:start w:val="0"/>
      <w:numFmt w:val="bullet"/>
      <w:lvlText w:val="•"/>
      <w:lvlJc w:val="left"/>
      <w:pPr>
        <w:ind w:left="6996" w:hanging="241"/>
      </w:pPr>
      <w:rPr>
        <w:rFonts w:hint="default"/>
      </w:rPr>
    </w:lvl>
    <w:lvl w:ilvl="8">
      <w:start w:val="0"/>
      <w:numFmt w:val="bullet"/>
      <w:lvlText w:val="•"/>
      <w:lvlJc w:val="left"/>
      <w:pPr>
        <w:ind w:left="7812" w:hanging="241"/>
      </w:pPr>
      <w:rPr>
        <w:rFonts w:hint="default"/>
      </w:rPr>
    </w:lvl>
  </w:abstractNum>
  <w:abstractNum w:abstractNumId="3">
    <w:multiLevelType w:val="hybridMultilevel"/>
    <w:lvl w:ilvl="0">
      <w:start w:val="1"/>
      <w:numFmt w:val="decimal"/>
      <w:lvlText w:val="%1."/>
      <w:lvlJc w:val="left"/>
      <w:pPr>
        <w:ind w:left="1283" w:hanging="241"/>
        <w:jc w:val="left"/>
      </w:pPr>
      <w:rPr>
        <w:rFonts w:hint="default" w:ascii="仿宋" w:hAnsi="仿宋" w:eastAsia="仿宋" w:cs="仿宋"/>
        <w:w w:val="100"/>
        <w:sz w:val="22"/>
        <w:szCs w:val="22"/>
      </w:rPr>
    </w:lvl>
    <w:lvl w:ilvl="1">
      <w:start w:val="0"/>
      <w:numFmt w:val="bullet"/>
      <w:lvlText w:val="•"/>
      <w:lvlJc w:val="left"/>
      <w:pPr>
        <w:ind w:left="2096" w:hanging="241"/>
      </w:pPr>
      <w:rPr>
        <w:rFonts w:hint="default"/>
      </w:rPr>
    </w:lvl>
    <w:lvl w:ilvl="2">
      <w:start w:val="0"/>
      <w:numFmt w:val="bullet"/>
      <w:lvlText w:val="•"/>
      <w:lvlJc w:val="left"/>
      <w:pPr>
        <w:ind w:left="2913" w:hanging="241"/>
      </w:pPr>
      <w:rPr>
        <w:rFonts w:hint="default"/>
      </w:rPr>
    </w:lvl>
    <w:lvl w:ilvl="3">
      <w:start w:val="0"/>
      <w:numFmt w:val="bullet"/>
      <w:lvlText w:val="•"/>
      <w:lvlJc w:val="left"/>
      <w:pPr>
        <w:ind w:left="3729" w:hanging="241"/>
      </w:pPr>
      <w:rPr>
        <w:rFonts w:hint="default"/>
      </w:rPr>
    </w:lvl>
    <w:lvl w:ilvl="4">
      <w:start w:val="0"/>
      <w:numFmt w:val="bullet"/>
      <w:lvlText w:val="•"/>
      <w:lvlJc w:val="left"/>
      <w:pPr>
        <w:ind w:left="4546" w:hanging="241"/>
      </w:pPr>
      <w:rPr>
        <w:rFonts w:hint="default"/>
      </w:rPr>
    </w:lvl>
    <w:lvl w:ilvl="5">
      <w:start w:val="0"/>
      <w:numFmt w:val="bullet"/>
      <w:lvlText w:val="•"/>
      <w:lvlJc w:val="left"/>
      <w:pPr>
        <w:ind w:left="5363" w:hanging="241"/>
      </w:pPr>
      <w:rPr>
        <w:rFonts w:hint="default"/>
      </w:rPr>
    </w:lvl>
    <w:lvl w:ilvl="6">
      <w:start w:val="0"/>
      <w:numFmt w:val="bullet"/>
      <w:lvlText w:val="•"/>
      <w:lvlJc w:val="left"/>
      <w:pPr>
        <w:ind w:left="6179" w:hanging="241"/>
      </w:pPr>
      <w:rPr>
        <w:rFonts w:hint="default"/>
      </w:rPr>
    </w:lvl>
    <w:lvl w:ilvl="7">
      <w:start w:val="0"/>
      <w:numFmt w:val="bullet"/>
      <w:lvlText w:val="•"/>
      <w:lvlJc w:val="left"/>
      <w:pPr>
        <w:ind w:left="6996" w:hanging="241"/>
      </w:pPr>
      <w:rPr>
        <w:rFonts w:hint="default"/>
      </w:rPr>
    </w:lvl>
    <w:lvl w:ilvl="8">
      <w:start w:val="0"/>
      <w:numFmt w:val="bullet"/>
      <w:lvlText w:val="•"/>
      <w:lvlJc w:val="left"/>
      <w:pPr>
        <w:ind w:left="7812" w:hanging="241"/>
      </w:pPr>
      <w:rPr>
        <w:rFonts w:hint="default"/>
      </w:rPr>
    </w:lvl>
  </w:abstractNum>
  <w:abstractNum w:abstractNumId="2">
    <w:multiLevelType w:val="hybridMultilevel"/>
    <w:lvl w:ilvl="0">
      <w:start w:val="1"/>
      <w:numFmt w:val="decimal"/>
      <w:lvlText w:val="%1."/>
      <w:lvlJc w:val="left"/>
      <w:pPr>
        <w:ind w:left="1283" w:hanging="241"/>
        <w:jc w:val="left"/>
      </w:pPr>
      <w:rPr>
        <w:rFonts w:hint="default" w:ascii="仿宋" w:hAnsi="仿宋" w:eastAsia="仿宋" w:cs="仿宋"/>
        <w:w w:val="100"/>
        <w:sz w:val="22"/>
        <w:szCs w:val="22"/>
      </w:rPr>
    </w:lvl>
    <w:lvl w:ilvl="1">
      <w:start w:val="0"/>
      <w:numFmt w:val="bullet"/>
      <w:lvlText w:val="•"/>
      <w:lvlJc w:val="left"/>
      <w:pPr>
        <w:ind w:left="2096" w:hanging="241"/>
      </w:pPr>
      <w:rPr>
        <w:rFonts w:hint="default"/>
      </w:rPr>
    </w:lvl>
    <w:lvl w:ilvl="2">
      <w:start w:val="0"/>
      <w:numFmt w:val="bullet"/>
      <w:lvlText w:val="•"/>
      <w:lvlJc w:val="left"/>
      <w:pPr>
        <w:ind w:left="2913" w:hanging="241"/>
      </w:pPr>
      <w:rPr>
        <w:rFonts w:hint="default"/>
      </w:rPr>
    </w:lvl>
    <w:lvl w:ilvl="3">
      <w:start w:val="0"/>
      <w:numFmt w:val="bullet"/>
      <w:lvlText w:val="•"/>
      <w:lvlJc w:val="left"/>
      <w:pPr>
        <w:ind w:left="3729" w:hanging="241"/>
      </w:pPr>
      <w:rPr>
        <w:rFonts w:hint="default"/>
      </w:rPr>
    </w:lvl>
    <w:lvl w:ilvl="4">
      <w:start w:val="0"/>
      <w:numFmt w:val="bullet"/>
      <w:lvlText w:val="•"/>
      <w:lvlJc w:val="left"/>
      <w:pPr>
        <w:ind w:left="4546" w:hanging="241"/>
      </w:pPr>
      <w:rPr>
        <w:rFonts w:hint="default"/>
      </w:rPr>
    </w:lvl>
    <w:lvl w:ilvl="5">
      <w:start w:val="0"/>
      <w:numFmt w:val="bullet"/>
      <w:lvlText w:val="•"/>
      <w:lvlJc w:val="left"/>
      <w:pPr>
        <w:ind w:left="5363" w:hanging="241"/>
      </w:pPr>
      <w:rPr>
        <w:rFonts w:hint="default"/>
      </w:rPr>
    </w:lvl>
    <w:lvl w:ilvl="6">
      <w:start w:val="0"/>
      <w:numFmt w:val="bullet"/>
      <w:lvlText w:val="•"/>
      <w:lvlJc w:val="left"/>
      <w:pPr>
        <w:ind w:left="6179" w:hanging="241"/>
      </w:pPr>
      <w:rPr>
        <w:rFonts w:hint="default"/>
      </w:rPr>
    </w:lvl>
    <w:lvl w:ilvl="7">
      <w:start w:val="0"/>
      <w:numFmt w:val="bullet"/>
      <w:lvlText w:val="•"/>
      <w:lvlJc w:val="left"/>
      <w:pPr>
        <w:ind w:left="6996" w:hanging="241"/>
      </w:pPr>
      <w:rPr>
        <w:rFonts w:hint="default"/>
      </w:rPr>
    </w:lvl>
    <w:lvl w:ilvl="8">
      <w:start w:val="0"/>
      <w:numFmt w:val="bullet"/>
      <w:lvlText w:val="•"/>
      <w:lvlJc w:val="left"/>
      <w:pPr>
        <w:ind w:left="7812" w:hanging="241"/>
      </w:pPr>
      <w:rPr>
        <w:rFonts w:hint="default"/>
      </w:rPr>
    </w:lvl>
  </w:abstractNum>
  <w:abstractNum w:abstractNumId="1">
    <w:multiLevelType w:val="hybridMultilevel"/>
    <w:lvl w:ilvl="0">
      <w:start w:val="1"/>
      <w:numFmt w:val="decimal"/>
      <w:lvlText w:val="%1."/>
      <w:lvlJc w:val="left"/>
      <w:pPr>
        <w:ind w:left="1283" w:hanging="241"/>
        <w:jc w:val="left"/>
      </w:pPr>
      <w:rPr>
        <w:rFonts w:hint="default" w:ascii="仿宋" w:hAnsi="仿宋" w:eastAsia="仿宋" w:cs="仿宋"/>
        <w:w w:val="100"/>
        <w:sz w:val="22"/>
        <w:szCs w:val="22"/>
      </w:rPr>
    </w:lvl>
    <w:lvl w:ilvl="1">
      <w:start w:val="0"/>
      <w:numFmt w:val="bullet"/>
      <w:lvlText w:val="•"/>
      <w:lvlJc w:val="left"/>
      <w:pPr>
        <w:ind w:left="2096" w:hanging="241"/>
      </w:pPr>
      <w:rPr>
        <w:rFonts w:hint="default"/>
      </w:rPr>
    </w:lvl>
    <w:lvl w:ilvl="2">
      <w:start w:val="0"/>
      <w:numFmt w:val="bullet"/>
      <w:lvlText w:val="•"/>
      <w:lvlJc w:val="left"/>
      <w:pPr>
        <w:ind w:left="2913" w:hanging="241"/>
      </w:pPr>
      <w:rPr>
        <w:rFonts w:hint="default"/>
      </w:rPr>
    </w:lvl>
    <w:lvl w:ilvl="3">
      <w:start w:val="0"/>
      <w:numFmt w:val="bullet"/>
      <w:lvlText w:val="•"/>
      <w:lvlJc w:val="left"/>
      <w:pPr>
        <w:ind w:left="3729" w:hanging="241"/>
      </w:pPr>
      <w:rPr>
        <w:rFonts w:hint="default"/>
      </w:rPr>
    </w:lvl>
    <w:lvl w:ilvl="4">
      <w:start w:val="0"/>
      <w:numFmt w:val="bullet"/>
      <w:lvlText w:val="•"/>
      <w:lvlJc w:val="left"/>
      <w:pPr>
        <w:ind w:left="4546" w:hanging="241"/>
      </w:pPr>
      <w:rPr>
        <w:rFonts w:hint="default"/>
      </w:rPr>
    </w:lvl>
    <w:lvl w:ilvl="5">
      <w:start w:val="0"/>
      <w:numFmt w:val="bullet"/>
      <w:lvlText w:val="•"/>
      <w:lvlJc w:val="left"/>
      <w:pPr>
        <w:ind w:left="5363" w:hanging="241"/>
      </w:pPr>
      <w:rPr>
        <w:rFonts w:hint="default"/>
      </w:rPr>
    </w:lvl>
    <w:lvl w:ilvl="6">
      <w:start w:val="0"/>
      <w:numFmt w:val="bullet"/>
      <w:lvlText w:val="•"/>
      <w:lvlJc w:val="left"/>
      <w:pPr>
        <w:ind w:left="6179" w:hanging="241"/>
      </w:pPr>
      <w:rPr>
        <w:rFonts w:hint="default"/>
      </w:rPr>
    </w:lvl>
    <w:lvl w:ilvl="7">
      <w:start w:val="0"/>
      <w:numFmt w:val="bullet"/>
      <w:lvlText w:val="•"/>
      <w:lvlJc w:val="left"/>
      <w:pPr>
        <w:ind w:left="6996" w:hanging="241"/>
      </w:pPr>
      <w:rPr>
        <w:rFonts w:hint="default"/>
      </w:rPr>
    </w:lvl>
    <w:lvl w:ilvl="8">
      <w:start w:val="0"/>
      <w:numFmt w:val="bullet"/>
      <w:lvlText w:val="•"/>
      <w:lvlJc w:val="left"/>
      <w:pPr>
        <w:ind w:left="7812" w:hanging="241"/>
      </w:pPr>
      <w:rPr>
        <w:rFonts w:hint="default"/>
      </w:rPr>
    </w:lvl>
  </w:abstractNum>
  <w:abstractNum w:abstractNumId="0">
    <w:multiLevelType w:val="hybridMultilevel"/>
    <w:lvl w:ilvl="0">
      <w:start w:val="1"/>
      <w:numFmt w:val="decimal"/>
      <w:lvlText w:val="%1."/>
      <w:lvlJc w:val="left"/>
      <w:pPr>
        <w:ind w:left="1283" w:hanging="241"/>
        <w:jc w:val="left"/>
      </w:pPr>
      <w:rPr>
        <w:rFonts w:hint="default" w:ascii="仿宋" w:hAnsi="仿宋" w:eastAsia="仿宋" w:cs="仿宋"/>
        <w:w w:val="100"/>
        <w:sz w:val="22"/>
        <w:szCs w:val="22"/>
      </w:rPr>
    </w:lvl>
    <w:lvl w:ilvl="1">
      <w:start w:val="0"/>
      <w:numFmt w:val="bullet"/>
      <w:lvlText w:val="•"/>
      <w:lvlJc w:val="left"/>
      <w:pPr>
        <w:ind w:left="2096" w:hanging="241"/>
      </w:pPr>
      <w:rPr>
        <w:rFonts w:hint="default"/>
      </w:rPr>
    </w:lvl>
    <w:lvl w:ilvl="2">
      <w:start w:val="0"/>
      <w:numFmt w:val="bullet"/>
      <w:lvlText w:val="•"/>
      <w:lvlJc w:val="left"/>
      <w:pPr>
        <w:ind w:left="2913" w:hanging="241"/>
      </w:pPr>
      <w:rPr>
        <w:rFonts w:hint="default"/>
      </w:rPr>
    </w:lvl>
    <w:lvl w:ilvl="3">
      <w:start w:val="0"/>
      <w:numFmt w:val="bullet"/>
      <w:lvlText w:val="•"/>
      <w:lvlJc w:val="left"/>
      <w:pPr>
        <w:ind w:left="3729" w:hanging="241"/>
      </w:pPr>
      <w:rPr>
        <w:rFonts w:hint="default"/>
      </w:rPr>
    </w:lvl>
    <w:lvl w:ilvl="4">
      <w:start w:val="0"/>
      <w:numFmt w:val="bullet"/>
      <w:lvlText w:val="•"/>
      <w:lvlJc w:val="left"/>
      <w:pPr>
        <w:ind w:left="4546" w:hanging="241"/>
      </w:pPr>
      <w:rPr>
        <w:rFonts w:hint="default"/>
      </w:rPr>
    </w:lvl>
    <w:lvl w:ilvl="5">
      <w:start w:val="0"/>
      <w:numFmt w:val="bullet"/>
      <w:lvlText w:val="•"/>
      <w:lvlJc w:val="left"/>
      <w:pPr>
        <w:ind w:left="5363" w:hanging="241"/>
      </w:pPr>
      <w:rPr>
        <w:rFonts w:hint="default"/>
      </w:rPr>
    </w:lvl>
    <w:lvl w:ilvl="6">
      <w:start w:val="0"/>
      <w:numFmt w:val="bullet"/>
      <w:lvlText w:val="•"/>
      <w:lvlJc w:val="left"/>
      <w:pPr>
        <w:ind w:left="6179" w:hanging="241"/>
      </w:pPr>
      <w:rPr>
        <w:rFonts w:hint="default"/>
      </w:rPr>
    </w:lvl>
    <w:lvl w:ilvl="7">
      <w:start w:val="0"/>
      <w:numFmt w:val="bullet"/>
      <w:lvlText w:val="•"/>
      <w:lvlJc w:val="left"/>
      <w:pPr>
        <w:ind w:left="6996" w:hanging="241"/>
      </w:pPr>
      <w:rPr>
        <w:rFonts w:hint="default"/>
      </w:rPr>
    </w:lvl>
    <w:lvl w:ilvl="8">
      <w:start w:val="0"/>
      <w:numFmt w:val="bullet"/>
      <w:lvlText w:val="•"/>
      <w:lvlJc w:val="left"/>
      <w:pPr>
        <w:ind w:left="7812" w:hanging="241"/>
      </w:pPr>
      <w:rPr>
        <w:rFonts w:hint="default"/>
      </w:rPr>
    </w:lvl>
  </w:abstract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仿宋" w:hAnsi="仿宋" w:eastAsia="仿宋" w:cs="仿宋"/>
    </w:rPr>
  </w:style>
  <w:style w:styleId="TOC1" w:type="paragraph">
    <w:name w:val="TOC 1"/>
    <w:basedOn w:val="Normal"/>
    <w:uiPriority w:val="1"/>
    <w:qFormat/>
    <w:pPr>
      <w:spacing w:before="357"/>
      <w:ind w:right="17"/>
      <w:jc w:val="center"/>
    </w:pPr>
    <w:rPr>
      <w:rFonts w:ascii="黑体" w:hAnsi="黑体" w:eastAsia="黑体" w:cs="黑体"/>
      <w:sz w:val="24"/>
      <w:szCs w:val="24"/>
    </w:rPr>
  </w:style>
  <w:style w:styleId="TOC2" w:type="paragraph">
    <w:name w:val="TOC 2"/>
    <w:basedOn w:val="Normal"/>
    <w:uiPriority w:val="1"/>
    <w:qFormat/>
    <w:pPr>
      <w:spacing w:before="158"/>
      <w:ind w:left="560"/>
    </w:pPr>
    <w:rPr>
      <w:rFonts w:ascii="黑体" w:hAnsi="黑体" w:eastAsia="黑体" w:cs="黑体"/>
      <w:sz w:val="24"/>
      <w:szCs w:val="24"/>
    </w:rPr>
  </w:style>
  <w:style w:styleId="TOC3" w:type="paragraph">
    <w:name w:val="TOC 3"/>
    <w:basedOn w:val="Normal"/>
    <w:uiPriority w:val="1"/>
    <w:qFormat/>
    <w:pPr>
      <w:spacing w:before="158"/>
      <w:ind w:left="797"/>
    </w:pPr>
    <w:rPr>
      <w:rFonts w:ascii="仿宋" w:hAnsi="仿宋" w:eastAsia="仿宋" w:cs="仿宋"/>
      <w:b/>
      <w:bCs/>
      <w:sz w:val="24"/>
      <w:szCs w:val="24"/>
    </w:rPr>
  </w:style>
  <w:style w:styleId="TOC4" w:type="paragraph">
    <w:name w:val="TOC 4"/>
    <w:basedOn w:val="Normal"/>
    <w:uiPriority w:val="1"/>
    <w:qFormat/>
    <w:pPr>
      <w:spacing w:before="158"/>
      <w:ind w:left="1283" w:hanging="242"/>
    </w:pPr>
    <w:rPr>
      <w:rFonts w:ascii="仿宋" w:hAnsi="仿宋" w:eastAsia="仿宋" w:cs="仿宋"/>
      <w:sz w:val="24"/>
      <w:szCs w:val="24"/>
    </w:rPr>
  </w:style>
  <w:style w:styleId="BodyText" w:type="paragraph">
    <w:name w:val="Body Text"/>
    <w:basedOn w:val="Normal"/>
    <w:uiPriority w:val="1"/>
    <w:qFormat/>
    <w:pPr>
      <w:ind w:left="560"/>
    </w:pPr>
    <w:rPr>
      <w:rFonts w:ascii="仿宋" w:hAnsi="仿宋" w:eastAsia="仿宋" w:cs="仿宋"/>
      <w:sz w:val="32"/>
      <w:szCs w:val="32"/>
    </w:rPr>
  </w:style>
  <w:style w:styleId="Heading1" w:type="paragraph">
    <w:name w:val="Heading 1"/>
    <w:basedOn w:val="Normal"/>
    <w:uiPriority w:val="1"/>
    <w:qFormat/>
    <w:pPr>
      <w:spacing w:before="115"/>
      <w:ind w:left="1200"/>
      <w:outlineLvl w:val="1"/>
    </w:pPr>
    <w:rPr>
      <w:rFonts w:ascii="仿宋" w:hAnsi="仿宋" w:eastAsia="仿宋" w:cs="仿宋"/>
      <w:b/>
      <w:bCs/>
      <w:sz w:val="32"/>
      <w:szCs w:val="32"/>
    </w:rPr>
  </w:style>
  <w:style w:styleId="ListParagraph" w:type="paragraph">
    <w:name w:val="List Paragraph"/>
    <w:basedOn w:val="Normal"/>
    <w:uiPriority w:val="1"/>
    <w:qFormat/>
    <w:pPr>
      <w:spacing w:before="158"/>
      <w:ind w:left="1283" w:hanging="242"/>
    </w:pPr>
    <w:rPr>
      <w:rFonts w:ascii="仿宋" w:hAnsi="仿宋" w:eastAsia="仿宋" w:cs="仿宋"/>
    </w:rPr>
  </w:style>
  <w:style w:styleId="TableParagraph" w:type="paragraph">
    <w:name w:val="Table Paragraph"/>
    <w:basedOn w:val="Normal"/>
    <w:uiPriority w:val="1"/>
    <w:qFormat/>
    <w:pPr/>
    <w:rPr>
      <w:rFonts w:ascii="仿宋" w:hAnsi="仿宋" w:eastAsia="仿宋" w:cs="仿宋"/>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hyperlink" Target="https://baike.baidu.com/item/%E9%9B%86%E8%A3%85%E7%AE%B1/919222" TargetMode="External"/><Relationship Id="rId12" Type="http://schemas.openxmlformats.org/officeDocument/2006/relationships/hyperlink" Target="https://baike.baidu.com/item/%E8%B5%84%E6%BA%90%E5%8E%BF/7183066" TargetMode="External"/><Relationship Id="rId13" Type="http://schemas.openxmlformats.org/officeDocument/2006/relationships/hyperlink" Target="https://baike.baidu.com/item/%E7%81%8C%E9%98%B3%E5%8E%BF/7183177" TargetMode="External"/><Relationship Id="rId14" Type="http://schemas.openxmlformats.org/officeDocument/2006/relationships/image" Target="media/image5.jpeg"/><Relationship Id="rId15" Type="http://schemas.openxmlformats.org/officeDocument/2006/relationships/hyperlink" Target="http://www.56888.net/news/soft/" TargetMode="External"/><Relationship Id="rId1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yanguang</dc:creator>
  <dcterms:created xsi:type="dcterms:W3CDTF">2021-04-13T16:18:58Z</dcterms:created>
  <dcterms:modified xsi:type="dcterms:W3CDTF">2021-04-13T16:18:58Z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2020-10-23T00:00:00Z</vt:filetime>
  </property>
  <property fmtid="{D5CDD505-2E9C-101B-9397-08002B2CF9AE}" pid="3" name="Creator">
    <vt:lpwstr>WPS 文字</vt:lpwstr>
  </property>
  <property fmtid="{D5CDD505-2E9C-101B-9397-08002B2CF9AE}" pid="4" name="LastSaved">
    <vt:filetime>2021-04-13T00:00:00Z</vt:filetime>
  </property>
</Properties>
</file>