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2A4A"/>
          <w:sz w:val="44"/>
          <w:szCs w:val="44"/>
        </w:rPr>
        <w:t xml:space="preserve">STRATEGIC ARCHITECTURAL REVIEW</w:t>
      </w:r>
    </w:p>
    <w:p>
      <w:pPr>
        <w:pBdr>
          <w:bottom w:val="single" w:color="C0392B" w:sz="6" w:space="12"/>
        </w:pBdr>
        <w:spacing w:after="60"/>
        <w:jc w:val="center"/>
      </w:pPr>
      <w:r>
        <w:rPr>
          <w:rFonts w:ascii="Arial" w:cs="Arial" w:eastAsia="Arial" w:hAnsi="Arial"/>
          <w:color w:val="555555"/>
          <w:sz w:val="32"/>
          <w:szCs w:val="32"/>
        </w:rPr>
        <w:t xml:space="preserve">MissionMed Revenue Intelligence System</w:t>
      </w:r>
    </w:p>
    <w:p>
      <w:pPr>
        <w:spacing w:before="400"/>
        <w:jc w:val="center"/>
      </w:pPr>
      <w:r>
        <w:rPr>
          <w:rFonts w:ascii="Arial" w:cs="Arial" w:eastAsia="Arial" w:hAnsi="Arial"/>
          <w:i/>
          <w:iCs/>
          <w:color w:val="777777"/>
          <w:sz w:val="22"/>
          <w:szCs w:val="22"/>
        </w:rPr>
        <w:t xml:space="preserve">Prepared under Strategic Integrity Protocol</w:t>
      </w:r>
    </w:p>
    <w:p>
      <w:pPr>
        <w:spacing w:after="120"/>
        <w:jc w:val="center"/>
      </w:pPr>
      <w:r>
        <w:rPr>
          <w:rFonts w:ascii="Arial" w:cs="Arial" w:eastAsia="Arial" w:hAnsi="Arial"/>
          <w:color w:val="777777"/>
          <w:sz w:val="22"/>
          <w:szCs w:val="22"/>
        </w:rPr>
        <w:t xml:space="preserve">March 7, 2026</w:t>
      </w:r>
    </w:p>
    <w:p>
      <w:pPr>
        <w:spacing w:before="600"/>
        <w:jc w:val="center"/>
      </w:pPr>
      <w:r>
        <w:rPr>
          <w:rFonts w:ascii="Arial" w:cs="Arial" w:eastAsia="Arial" w:hAnsi="Arial"/>
          <w:color w:val="999999"/>
          <w:sz w:val="18"/>
          <w:szCs w:val="18"/>
        </w:rPr>
        <w:t xml:space="preserve">PROMPT #387  |  Classification: Internal Strategy</w:t>
      </w:r>
    </w:p>
    <w:p>
      <w:r>
        <w:br w:type="page"/>
      </w:r>
    </w:p>
    <w:p>
      <w:pPr>
        <w:pStyle w:val="Heading1"/>
        <w:spacing w:after="150" w:before="300"/>
      </w:pPr>
      <w:r>
        <w:rPr>
          <w:rFonts w:ascii="Arial" w:cs="Arial" w:eastAsia="Arial" w:hAnsi="Arial"/>
          <w:b/>
          <w:bCs/>
        </w:rPr>
        <w:t xml:space="preserve">Executive Summary</w:t>
      </w:r>
    </w:p>
    <w:p>
      <w:pPr>
        <w:spacing w:after="180" w:line="276"/>
      </w:pPr>
      <w:r>
        <w:rPr>
          <w:rFonts w:ascii="Arial" w:cs="Arial" w:eastAsia="Arial" w:hAnsi="Arial"/>
          <w:color w:val="333333"/>
          <w:sz w:val="22"/>
          <w:szCs w:val="22"/>
        </w:rPr>
        <w:t xml:space="preserve">This review applies the Strategic Integrity Protocol to the proposed MissionMed Revenue Intelligence System. The review is based on examination of all existing system components, the master student database (558 records), the lead pipeline (1 active lead), the conversion signal model (301 threads, 33 signals), and the pricing data available in MissionMed system context files.</w:t>
      </w:r>
    </w:p>
    <w:p>
      <w:pPr>
        <w:spacing w:after="180" w:line="276"/>
      </w:pPr>
      <w:r>
        <w:rPr>
          <w:rFonts w:ascii="Arial" w:cs="Arial" w:eastAsia="Arial" w:hAnsi="Arial"/>
          <w:b/>
          <w:bCs/>
          <w:color w:val="333333"/>
          <w:sz w:val="22"/>
          <w:szCs w:val="22"/>
        </w:rPr>
        <w:t xml:space="preserve">Bottom line: </w:t>
      </w:r>
      <w:r>
        <w:rPr>
          <w:rFonts w:ascii="Arial" w:cs="Arial" w:eastAsia="Arial" w:hAnsi="Arial"/>
          <w:color w:val="333333"/>
          <w:sz w:val="22"/>
          <w:szCs w:val="22"/>
        </w:rPr>
        <w:t xml:space="preserve">The concept is sound and the existing infrastructure provides a strong foundation. However, the revenue model as currently specified has </w:t>
      </w:r>
      <w:r>
        <w:rPr>
          <w:rFonts w:ascii="Arial" w:cs="Arial" w:eastAsia="Arial" w:hAnsi="Arial"/>
          <w:b/>
          <w:bCs/>
          <w:color w:val="333333"/>
          <w:sz w:val="22"/>
          <w:szCs w:val="22"/>
        </w:rPr>
        <w:t xml:space="preserve">three critical gaps</w:t>
      </w:r>
      <w:r>
        <w:rPr>
          <w:rFonts w:ascii="Arial" w:cs="Arial" w:eastAsia="Arial" w:hAnsi="Arial"/>
          <w:color w:val="333333"/>
          <w:sz w:val="22"/>
          <w:szCs w:val="22"/>
        </w:rPr>
        <w:t xml:space="preserve"> that will produce unreliable forecasts if not addressed: the pricing model is incomplete (covers only 2 of 6+ revenue streams), the session-letter-to-program mapping is fragile (85% of historical students lack session letters), and the conversion probability model has not yet been validated on prospective leads (only retrospective). These are fixable problems, but they must be fixed before the revenue numbers can be trusted.</w:t>
      </w:r>
    </w:p>
    <w:p>
      <w:pPr>
        <w:pBdr>
          <w:bottom w:val="single" w:color="1B2A4A" w:sz="4" w:space="8"/>
        </w:pBdr>
        <w:spacing w:after="200" w:before="200"/>
      </w:pPr>
    </w:p>
    <w:p>
      <w:pPr>
        <w:pStyle w:val="Heading1"/>
        <w:spacing w:after="150" w:before="300"/>
      </w:pPr>
      <w:r>
        <w:rPr>
          <w:rFonts w:ascii="Arial" w:cs="Arial" w:eastAsia="Arial" w:hAnsi="Arial"/>
          <w:b/>
          <w:bCs/>
        </w:rPr>
        <w:t xml:space="preserve">1. Strengths of the Current System</w:t>
      </w:r>
    </w:p>
    <w:p>
      <w:pPr>
        <w:spacing w:after="180" w:line="276"/>
      </w:pPr>
      <w:r>
        <w:rPr>
          <w:rFonts w:ascii="Arial" w:cs="Arial" w:eastAsia="Arial" w:hAnsi="Arial"/>
          <w:color w:val="333333"/>
          <w:sz w:val="22"/>
          <w:szCs w:val="22"/>
        </w:rPr>
        <w:t xml:space="preserve">The existing MissionMed AI ecosystem has real structural advantages that most small education businesses never build.</w:t>
      </w:r>
    </w:p>
    <w:p>
      <w:pPr>
        <w:pStyle w:val="Heading2"/>
        <w:spacing w:after="150" w:before="300"/>
      </w:pPr>
      <w:r>
        <w:rPr>
          <w:rFonts w:ascii="Arial" w:cs="Arial" w:eastAsia="Arial" w:hAnsi="Arial"/>
          <w:b/>
          <w:bCs/>
        </w:rPr>
        <w:t xml:space="preserve">Data-Driven Foundation</w:t>
      </w:r>
    </w:p>
    <w:p>
      <w:pPr>
        <w:pStyle w:val="ListParagraph"/>
        <w:numPr>
          <w:ilvl w:val="0"/>
          <w:numId w:val="2"/>
        </w:numPr>
        <w:spacing w:after="100" w:line="276"/>
      </w:pPr>
      <w:r>
        <w:rPr>
          <w:rFonts w:ascii="Arial" w:cs="Arial" w:eastAsia="Arial" w:hAnsi="Arial"/>
          <w:color w:val="333333"/>
          <w:sz w:val="22"/>
          <w:szCs w:val="22"/>
        </w:rPr>
        <w:t xml:space="preserve">The conversion signal model is calibrated against 301 real email threads with 71 confirmed conversions. This is not guesswork — these are actual behavioral patterns derived from actual enrollment outcomes. Most comparable businesses operate entirely on intuition.</w:t>
      </w:r>
    </w:p>
    <w:p>
      <w:pPr>
        <w:pStyle w:val="ListParagraph"/>
        <w:numPr>
          <w:ilvl w:val="0"/>
          <w:numId w:val="2"/>
        </w:numPr>
        <w:spacing w:after="100" w:line="276"/>
      </w:pPr>
      <w:r>
        <w:rPr>
          <w:rFonts w:ascii="Arial" w:cs="Arial" w:eastAsia="Arial" w:hAnsi="Arial"/>
          <w:color w:val="333333"/>
          <w:sz w:val="22"/>
          <w:szCs w:val="22"/>
        </w:rPr>
        <w:t xml:space="preserve">The 33-signal scoring pipeline with lift-weighted scoring is genuinely sophisticated for a V1 system. The finding that price concern is a buying signal (65.2% conversion, 1.49x lift) is the kind of counterintuitive insight that only emerges from data.</w:t>
      </w:r>
    </w:p>
    <w:p>
      <w:pPr>
        <w:pStyle w:val="ListParagraph"/>
        <w:numPr>
          <w:ilvl w:val="0"/>
          <w:numId w:val="2"/>
        </w:numPr>
        <w:spacing w:after="100" w:line="276"/>
      </w:pPr>
      <w:r>
        <w:rPr>
          <w:rFonts w:ascii="Arial" w:cs="Arial" w:eastAsia="Arial" w:hAnsi="Arial"/>
          <w:color w:val="333333"/>
          <w:sz w:val="22"/>
          <w:szCs w:val="22"/>
        </w:rPr>
        <w:t xml:space="preserve">100% retrospective accuracy on confirmed threads and 2.3x discrimination on Possible threads provides a solid starting point for probability-weighted revenue forecasting.</w:t>
      </w:r>
    </w:p>
    <w:p>
      <w:pPr>
        <w:pStyle w:val="Heading2"/>
        <w:spacing w:after="150" w:before="300"/>
      </w:pPr>
      <w:r>
        <w:rPr>
          <w:rFonts w:ascii="Arial" w:cs="Arial" w:eastAsia="Arial" w:hAnsi="Arial"/>
          <w:b/>
          <w:bCs/>
        </w:rPr>
        <w:t xml:space="preserve">Integrated Architecture</w:t>
      </w:r>
    </w:p>
    <w:p>
      <w:pPr>
        <w:pStyle w:val="ListParagraph"/>
        <w:numPr>
          <w:ilvl w:val="0"/>
          <w:numId w:val="2"/>
        </w:numPr>
        <w:spacing w:after="100" w:line="276"/>
      </w:pPr>
      <w:r>
        <w:rPr>
          <w:rFonts w:ascii="Arial" w:cs="Arial" w:eastAsia="Arial" w:hAnsi="Arial"/>
          <w:color w:val="333333"/>
          <w:sz w:val="22"/>
          <w:szCs w:val="22"/>
        </w:rPr>
        <w:t xml:space="preserve">The system state engine creates a genuine single source of truth across modules. Email classification, lead pipeline, conversion scoring, and the dashboard all read/write through system_state.json. This is the correct architecture for eventually layering revenue calculations on top.</w:t>
      </w:r>
    </w:p>
    <w:p>
      <w:pPr>
        <w:pStyle w:val="ListParagraph"/>
        <w:numPr>
          <w:ilvl w:val="0"/>
          <w:numId w:val="2"/>
        </w:numPr>
        <w:spacing w:after="100" w:line="276"/>
      </w:pPr>
      <w:r>
        <w:rPr>
          <w:rFonts w:ascii="Arial" w:cs="Arial" w:eastAsia="Arial" w:hAnsi="Arial"/>
          <w:color w:val="333333"/>
          <w:sz w:val="22"/>
          <w:szCs w:val="22"/>
        </w:rPr>
        <w:t xml:space="preserve">The event-driven pattern (onEmailProcessed, onLeadStageChanged, onProbabilityUpdated) means revenue projections can update in real time as leads move through the pipeline. This is a meaningful operational advantage over batch-calculated reports.</w:t>
      </w:r>
    </w:p>
    <w:p>
      <w:pPr>
        <w:pStyle w:val="Heading2"/>
        <w:spacing w:after="150" w:before="300"/>
      </w:pPr>
      <w:r>
        <w:rPr>
          <w:rFonts w:ascii="Arial" w:cs="Arial" w:eastAsia="Arial" w:hAnsi="Arial"/>
          <w:b/>
          <w:bCs/>
        </w:rPr>
        <w:t xml:space="preserve">Operational Value</w:t>
      </w:r>
    </w:p>
    <w:p>
      <w:pPr>
        <w:pStyle w:val="ListParagraph"/>
        <w:numPr>
          <w:ilvl w:val="0"/>
          <w:numId w:val="2"/>
        </w:numPr>
        <w:spacing w:after="100" w:line="276"/>
      </w:pPr>
      <w:r>
        <w:rPr>
          <w:rFonts w:ascii="Arial" w:cs="Arial" w:eastAsia="Arial" w:hAnsi="Arial"/>
          <w:color w:val="333333"/>
          <w:sz w:val="22"/>
          <w:szCs w:val="22"/>
        </w:rPr>
        <w:t xml:space="preserve">The pipeline board with drag-and-drop, the email classification engine, and the conversion scoring together create a workflow that does not exist in off-the-shelf CRMs for medical education. The system is genuinely custom to MissionMed’s specific process.</w:t>
      </w:r>
    </w:p>
    <w:p>
      <w:pPr>
        <w:pStyle w:val="ListParagraph"/>
        <w:numPr>
          <w:ilvl w:val="0"/>
          <w:numId w:val="2"/>
        </w:numPr>
        <w:spacing w:after="100" w:line="276"/>
      </w:pPr>
      <w:r>
        <w:rPr>
          <w:rFonts w:ascii="Arial" w:cs="Arial" w:eastAsia="Arial" w:hAnsi="Arial"/>
          <w:color w:val="333333"/>
          <w:sz w:val="22"/>
          <w:szCs w:val="22"/>
        </w:rPr>
        <w:t xml:space="preserve">Owner routing (Brian/Dr J/Phil) maps directly to division ownership. Revenue attribution by division is architecturally possible because the classification layer already exists.</w:t>
      </w:r>
    </w:p>
    <w:p>
      <w:pPr>
        <w:pBdr>
          <w:bottom w:val="single" w:color="1B2A4A" w:sz="4" w:space="8"/>
        </w:pBdr>
        <w:spacing w:after="200" w:before="200"/>
      </w:pPr>
    </w:p>
    <w:p>
      <w:pPr>
        <w:pStyle w:val="Heading1"/>
        <w:spacing w:after="150" w:before="300"/>
      </w:pPr>
      <w:r>
        <w:rPr>
          <w:rFonts w:ascii="Arial" w:cs="Arial" w:eastAsia="Arial" w:hAnsi="Arial"/>
          <w:b/>
          <w:bCs/>
        </w:rPr>
        <w:t xml:space="preserve">2. Weaknesses and Risks</w:t>
      </w:r>
    </w:p>
    <w:p>
      <w:pPr>
        <w:spacing w:after="180" w:line="276"/>
      </w:pPr>
      <w:r>
        <w:rPr>
          <w:rFonts w:ascii="Arial" w:cs="Arial" w:eastAsia="Arial" w:hAnsi="Arial"/>
          <w:color w:val="333333"/>
          <w:sz w:val="22"/>
          <w:szCs w:val="22"/>
        </w:rPr>
        <w:t xml:space="preserve">Applying the Red Team Protocol to the proposed system surfaces several issues that need honest assessment.</w:t>
      </w:r>
    </w:p>
    <w:p>
      <w:pPr>
        <w:pStyle w:val="Heading2"/>
        <w:spacing w:after="150" w:before="300"/>
      </w:pPr>
      <w:r>
        <w:rPr>
          <w:rFonts w:ascii="Arial" w:cs="Arial" w:eastAsia="Arial" w:hAnsi="Arial"/>
          <w:b/>
          <w:bCs/>
        </w:rPr>
        <w:t xml:space="preserve">Critical Issue #1: The Pricing Model Is Incomplete</w:t>
      </w:r>
    </w:p>
    <w:p>
      <w:pPr>
        <w:spacing w:after="180" w:line="276"/>
      </w:pPr>
      <w:r>
        <w:rPr>
          <w:rFonts w:ascii="Arial" w:cs="Arial" w:eastAsia="Arial" w:hAnsi="Arial"/>
          <w:color w:val="333333"/>
          <w:sz w:val="22"/>
          <w:szCs w:val="22"/>
        </w:rPr>
        <w:t xml:space="preserve">The proposed model maps session letters to only two programs: 360 Match Mentorship ($4,500) for Sessions A/B and IV Prep Complete ($3,499) for Sessions C–K. This covers only </w:t>
      </w:r>
      <w:r>
        <w:rPr>
          <w:rFonts w:ascii="Arial" w:cs="Arial" w:eastAsia="Arial" w:hAnsi="Arial"/>
          <w:b/>
          <w:bCs/>
          <w:color w:val="333333"/>
          <w:sz w:val="22"/>
          <w:szCs w:val="22"/>
        </w:rPr>
        <w:t xml:space="preserve">two of MissionMed’s six or more active revenue streams.</w:t>
      </w:r>
    </w:p>
    <w:p>
      <w:pPr>
        <w:spacing w:after="180" w:line="276"/>
      </w:pPr>
      <w:r>
        <w:rPr>
          <w:rFonts w:ascii="Arial" w:cs="Arial" w:eastAsia="Arial" w:hAnsi="Arial"/>
          <w:color w:val="333333"/>
          <w:sz w:val="22"/>
          <w:szCs w:val="22"/>
        </w:rPr>
        <w:t xml:space="preserve">Programs and revenue streams not captured by this model include: IV BootCamp (Level 1), which has its own price point (legacy pricing shows $1,499 for IV Prep Essentials); USCE/Clinical Rotation placements managed by Phil, which are a separate revenue stream entirely; USMLE Drills and tutoring sessions run by Dr J ($99–$150/hour, bundles from $350–$995); Membership tiers (Basic $49/mo, Premium $99/mo, Elite $199/mo) currently in development; and RankListIQ if it moves to a paid model. A revenue intelligence system that only models Mission Residency program enrollments will undercount total revenue and, more dangerously, will create the impression that USCE and USMLE are not generating revenue when they may be.</w:t>
      </w:r>
    </w:p>
    <w:p>
      <w:pPr>
        <w:pStyle w:val="Heading2"/>
        <w:spacing w:after="150" w:before="300"/>
      </w:pPr>
      <w:r>
        <w:rPr>
          <w:rFonts w:ascii="Arial" w:cs="Arial" w:eastAsia="Arial" w:hAnsi="Arial"/>
          <w:b/>
          <w:bCs/>
        </w:rPr>
        <w:t xml:space="preserve">Critical Issue #2: Session Letter Data Is Sparse</w:t>
      </w:r>
    </w:p>
    <w:p>
      <w:pPr>
        <w:spacing w:after="180" w:line="276"/>
      </w:pPr>
      <w:r>
        <w:rPr>
          <w:rFonts w:ascii="Arial" w:cs="Arial" w:eastAsia="Arial" w:hAnsi="Arial"/>
          <w:color w:val="333333"/>
          <w:sz w:val="22"/>
          <w:szCs w:val="22"/>
        </w:rPr>
        <w:t xml:space="preserve">I examined the master student database directly. Of 558 student records, only 85 (15.2%) have a session letter assigned. The remaining 473 records (84.8%) have no session letter. This means the session-letter-to-program mapping rule cannot be applied to the vast majority of historical students.</w:t>
      </w:r>
    </w:p>
    <w:p>
      <w:pPr>
        <w:spacing w:after="180" w:line="276"/>
      </w:pPr>
      <w:r>
        <w:rPr>
          <w:rFonts w:ascii="Arial" w:cs="Arial" w:eastAsia="Arial" w:hAnsi="Arial"/>
          <w:color w:val="333333"/>
          <w:sz w:val="22"/>
          <w:szCs w:val="22"/>
        </w:rPr>
        <w:t xml:space="preserve">Furthermore, the session letter field has data quality issues. Some records have CSV parsing artifacts (commas inside quoted fields creating misaligned columns). The Program Type column shows at least 30 distinct values including “Match,” “Mission Residency,” “Mission Roster,” “360,” “IV Prep Complete,” “Match Class,” “360 Advanced,” “360 A AccentsOff,” and others. Collapsing this into two price points discards meaningful program-level revenue variation.</w:t>
      </w:r>
    </w:p>
    <w:p>
      <w:pPr>
        <w:spacing w:after="180" w:line="276"/>
      </w:pPr>
      <w:r>
        <w:rPr>
          <w:rFonts w:ascii="Arial" w:cs="Arial" w:eastAsia="Arial" w:hAnsi="Arial"/>
          <w:b/>
          <w:bCs/>
          <w:color w:val="333333"/>
          <w:sz w:val="22"/>
          <w:szCs w:val="22"/>
        </w:rPr>
        <w:t xml:space="preserve">The more reliable revenue mapping would use the Program Type column directly</w:t>
      </w:r>
      <w:r>
        <w:rPr>
          <w:rFonts w:ascii="Arial" w:cs="Arial" w:eastAsia="Arial" w:hAnsi="Arial"/>
          <w:color w:val="333333"/>
          <w:sz w:val="22"/>
          <w:szCs w:val="22"/>
        </w:rPr>
        <w:t xml:space="preserve"> (after cleaning and standardization) rather than session letters as a proxy. Session letters are a scheduling artifact, not a product identifier.</w:t>
      </w:r>
    </w:p>
    <w:p>
      <w:pPr>
        <w:pStyle w:val="Heading2"/>
        <w:spacing w:after="150" w:before="300"/>
      </w:pPr>
      <w:r>
        <w:rPr>
          <w:rFonts w:ascii="Arial" w:cs="Arial" w:eastAsia="Arial" w:hAnsi="Arial"/>
          <w:b/>
          <w:bCs/>
        </w:rPr>
        <w:t xml:space="preserve">Critical Issue #3: Prospective Validation Gap</w:t>
      </w:r>
    </w:p>
    <w:p>
      <w:pPr>
        <w:spacing w:after="180" w:line="276"/>
      </w:pPr>
      <w:r>
        <w:rPr>
          <w:rFonts w:ascii="Arial" w:cs="Arial" w:eastAsia="Arial" w:hAnsi="Arial"/>
          <w:color w:val="333333"/>
          <w:sz w:val="22"/>
          <w:szCs w:val="22"/>
        </w:rPr>
        <w:t xml:space="preserve">The conversion probability model achieved 100% accuracy retrospectively, which is impressive but expected: the model was built from the same data it was validated against. The commitment signals ("I paid," "I enrolled") are definitionally post-hoc — they only appear after the student has already converted. These signals will never be present in a prospective lead’s early emails.</w:t>
      </w:r>
    </w:p>
    <w:p>
      <w:pPr>
        <w:spacing w:after="180" w:line="276"/>
      </w:pPr>
      <w:r>
        <w:rPr>
          <w:rFonts w:ascii="Arial" w:cs="Arial" w:eastAsia="Arial" w:hAnsi="Arial"/>
          <w:color w:val="333333"/>
          <w:sz w:val="22"/>
          <w:szCs w:val="22"/>
        </w:rPr>
        <w:t xml:space="preserve">For revenue forecasting, what matters is the model’s accuracy on active pipeline leads who have NOT yet converted. The validation report shows the model scores Possible threads (neither confirmed Yes nor No) with a mean of 42.4 for later-confirmed enrollments vs. 31.8 for non-enrollments. That’s a 10.6-point gap — meaningful, but not the 70-point gap seen on confirmed threads. Revenue projections built on prospective scores will have wider confidence intervals than the retrospective validation implies.</w:t>
      </w:r>
    </w:p>
    <w:p>
      <w:pPr>
        <w:pStyle w:val="Heading2"/>
        <w:spacing w:after="150" w:before="300"/>
      </w:pPr>
      <w:r>
        <w:rPr>
          <w:rFonts w:ascii="Arial" w:cs="Arial" w:eastAsia="Arial" w:hAnsi="Arial"/>
          <w:b/>
          <w:bCs/>
        </w:rPr>
        <w:t xml:space="preserve">Additional Risks</w:t>
      </w:r>
    </w:p>
    <w:p>
      <w:pPr>
        <w:pStyle w:val="ListParagraph"/>
        <w:numPr>
          <w:ilvl w:val="0"/>
          <w:numId w:val="3"/>
        </w:numPr>
        <w:spacing w:after="100" w:line="276"/>
      </w:pPr>
      <w:r>
        <w:rPr>
          <w:rFonts w:ascii="Arial" w:cs="Arial" w:eastAsia="Arial" w:hAnsi="Arial"/>
          <w:color w:val="333333"/>
          <w:sz w:val="22"/>
          <w:szCs w:val="22"/>
        </w:rPr>
        <w:t xml:space="preserve">Single-lead pipeline: The current pipeline contains exactly 1 lead (L-001, probability 30, USCE Rotations). Forecasting revenue from a sample of 1 is not forecasting — it is guessing. The system architecture is ready, but the data is not.</w:t>
      </w:r>
    </w:p>
    <w:p>
      <w:pPr>
        <w:pStyle w:val="ListParagraph"/>
        <w:numPr>
          <w:ilvl w:val="0"/>
          <w:numId w:val="3"/>
        </w:numPr>
        <w:spacing w:after="100" w:line="276"/>
      </w:pPr>
      <w:r>
        <w:rPr>
          <w:rFonts w:ascii="Arial" w:cs="Arial" w:eastAsia="Arial" w:hAnsi="Arial"/>
          <w:color w:val="333333"/>
          <w:sz w:val="22"/>
          <w:szCs w:val="22"/>
        </w:rPr>
        <w:t xml:space="preserve">No temporal dimension: The current model treats all leads as static snapshots. It does not account for score decay (a lead who was interested 3 months ago and went silent should score lower over time) or seasonal enrollment patterns (MissionMed’s revenue is almost certainly seasonal, tied to the NRMP Match cycle).</w:t>
      </w:r>
    </w:p>
    <w:p>
      <w:pPr>
        <w:pStyle w:val="ListParagraph"/>
        <w:numPr>
          <w:ilvl w:val="0"/>
          <w:numId w:val="3"/>
        </w:numPr>
        <w:spacing w:after="100" w:line="276"/>
      </w:pPr>
      <w:r>
        <w:rPr>
          <w:rFonts w:ascii="Arial" w:cs="Arial" w:eastAsia="Arial" w:hAnsi="Arial"/>
          <w:color w:val="333333"/>
          <w:sz w:val="22"/>
          <w:szCs w:val="22"/>
        </w:rPr>
        <w:t xml:space="preserve">Browser-only persistence: System state lives in sessionStorage. Revenue calculations that reset on page reload are not suitable for financial reporting or trend analysis.</w:t>
      </w:r>
    </w:p>
    <w:p>
      <w:pPr>
        <w:pBdr>
          <w:bottom w:val="single" w:color="1B2A4A" w:sz="4" w:space="8"/>
        </w:pBdr>
        <w:spacing w:after="200" w:before="200"/>
      </w:pPr>
    </w:p>
    <w:p>
      <w:pPr>
        <w:pStyle w:val="Heading1"/>
        <w:spacing w:after="150" w:before="300"/>
      </w:pPr>
      <w:r>
        <w:rPr>
          <w:rFonts w:ascii="Arial" w:cs="Arial" w:eastAsia="Arial" w:hAnsi="Arial"/>
          <w:b/>
          <w:bCs/>
        </w:rPr>
        <w:t xml:space="preserve">3. Missing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Complete Product/Price Catalog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Cannot forecast revenue without knowing all products and their current prices. Legacy prices ($1,499/$3,499/$4,999) may be outdated.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 — Must have before V1</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Program Type Standardization</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Master DB has 30+ program type variants. Need canonical mapping (e.g., "360 Advanced" = "360 A AccentsOff" = "360 Elite" = $4,500).</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C0392B"/>
                <w:sz w:val="20"/>
                <w:szCs w:val="20"/>
              </w:rPr>
              <w:t xml:space="preserve">CRITICAL — Must have before V1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Score Decay Function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Leads go stale. A lead scored at 65 three months ago with no activity is not a 65 today. Without decay, pipeline value is inflated.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760A"/>
                <w:sz w:val="20"/>
                <w:szCs w:val="20"/>
              </w:rPr>
              <w:t xml:space="preserve">HIGH — Needed for accuracy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Seasonal Revenue Model</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MissionMed revenue follows the NRMP cycle. Forecasts must account for enrollment spikes (Aug–Oct) and quiet periods (Jan–Apr post-Match).</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D4760A"/>
                <w:sz w:val="20"/>
                <w:szCs w:val="20"/>
              </w:rPr>
              <w:t xml:space="preserve">HIGH — Needed for accuracy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Historical Revenue Actuals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Need at least 2–3 years of actual revenue data (by program, by month) to calibrate forecasts against reality. Without ground truth, projections float untethered.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760A"/>
                <w:sz w:val="20"/>
                <w:szCs w:val="20"/>
              </w:rPr>
              <w:t xml:space="preserve">HIGH — Calibration data</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Multi-Service Lead Revenue</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 student who enrolls in 360 Elite AND buys a USCE placement AND does USMLE tutoring generates 2–3x the revenue of a single-program student. Multi-service detection exists but is not connected to revenue modeling.</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E75B6"/>
                <w:sz w:val="20"/>
                <w:szCs w:val="20"/>
              </w:rPr>
              <w:t xml:space="preserve">MEDIUM — Revenue uplift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Confidence Intervals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Expected revenue should be expressed as a range (e.g., $12,400–$18,600) not a point estimate. Single-number forecasts create false precision.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MEDIUM — Forecast integrity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Persistent Storage Layer</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Revenue data must survive browser sessions. Supabase migration is already planned; revenue module should be designed for it from the start.</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E75B6"/>
                <w:sz w:val="20"/>
                <w:szCs w:val="20"/>
              </w:rPr>
              <w:t xml:space="preserve">MEDIUM — Infrastructure</w:t>
            </w:r>
          </w:p>
        </w:tc>
      </w:tr>
    </w:tbl>
    <w:p>
      <w:pPr>
        <w:pBdr>
          <w:bottom w:val="single" w:color="1B2A4A" w:sz="4" w:space="8"/>
        </w:pBdr>
        <w:spacing w:after="200" w:before="200"/>
      </w:pPr>
    </w:p>
    <w:p>
      <w:pPr>
        <w:pStyle w:val="Heading1"/>
        <w:spacing w:after="150" w:before="300"/>
      </w:pPr>
      <w:r>
        <w:rPr>
          <w:rFonts w:ascii="Arial" w:cs="Arial" w:eastAsia="Arial" w:hAnsi="Arial"/>
          <w:b/>
          <w:bCs/>
        </w:rPr>
        <w:t xml:space="preserve">4. Ways to Improve Revenue Forecasting Accuracy</w:t>
      </w:r>
    </w:p>
    <w:p>
      <w:pPr>
        <w:pStyle w:val="Heading2"/>
        <w:spacing w:after="150" w:before="300"/>
      </w:pPr>
      <w:r>
        <w:rPr>
          <w:rFonts w:ascii="Arial" w:cs="Arial" w:eastAsia="Arial" w:hAnsi="Arial"/>
          <w:b/>
          <w:bCs/>
        </w:rPr>
        <w:t xml:space="preserve">Replace Session Letters with Program Type Mapping</w:t>
      </w:r>
    </w:p>
    <w:p>
      <w:pPr>
        <w:spacing w:after="180" w:line="276"/>
      </w:pPr>
      <w:r>
        <w:rPr>
          <w:rFonts w:ascii="Arial" w:cs="Arial" w:eastAsia="Arial" w:hAnsi="Arial"/>
          <w:color w:val="333333"/>
          <w:sz w:val="22"/>
          <w:szCs w:val="22"/>
        </w:rPr>
        <w:t xml:space="preserve">The session letter approach recovers revenue data for only 15% of historical students. Instead, clean and standardize the Program Type column in the master database. Create a canonical product catalog that maps every variant ("360," "360 Advanced," "360 A AccentsOff," "360 Elite") to a single product with a known price. This immediately recovers revenue data for the remaining 85%.</w:t>
      </w:r>
    </w:p>
    <w:p>
      <w:pPr>
        <w:pStyle w:val="Heading2"/>
        <w:spacing w:after="150" w:before="300"/>
      </w:pPr>
      <w:r>
        <w:rPr>
          <w:rFonts w:ascii="Arial" w:cs="Arial" w:eastAsia="Arial" w:hAnsi="Arial"/>
          <w:b/>
          <w:bCs/>
        </w:rPr>
        <w:t xml:space="preserve">Implement Bayesian Score Updating</w:t>
      </w:r>
    </w:p>
    <w:p>
      <w:pPr>
        <w:spacing w:after="180" w:line="276"/>
      </w:pPr>
      <w:r>
        <w:rPr>
          <w:rFonts w:ascii="Arial" w:cs="Arial" w:eastAsia="Arial" w:hAnsi="Arial"/>
          <w:color w:val="333333"/>
          <w:sz w:val="22"/>
          <w:szCs w:val="22"/>
        </w:rPr>
        <w:t xml:space="preserve">Instead of a single static score, track how the score changes over time. A lead who goes from 30 to 45 to 62 over three interactions is on a different trajectory than one who went from 62 to 45 to 30. The direction of score change is as important as the absolute value for revenue forecasting.</w:t>
      </w:r>
    </w:p>
    <w:p>
      <w:pPr>
        <w:pStyle w:val="Heading2"/>
        <w:spacing w:after="150" w:before="300"/>
      </w:pPr>
      <w:r>
        <w:rPr>
          <w:rFonts w:ascii="Arial" w:cs="Arial" w:eastAsia="Arial" w:hAnsi="Arial"/>
          <w:b/>
          <w:bCs/>
        </w:rPr>
        <w:t xml:space="preserve">Add Stage-Specific Conversion Rates</w:t>
      </w:r>
    </w:p>
    <w:p>
      <w:pPr>
        <w:spacing w:after="180" w:line="276"/>
      </w:pPr>
      <w:r>
        <w:rPr>
          <w:rFonts w:ascii="Arial" w:cs="Arial" w:eastAsia="Arial" w:hAnsi="Arial"/>
          <w:color w:val="333333"/>
          <w:sz w:val="22"/>
          <w:szCs w:val="22"/>
        </w:rPr>
        <w:t xml:space="preserve">The current model produces a single conversion probability. But the pipeline has 6 stages, and actual conversion rates vary dramatically by stage. A historical analysis showing that 80% of students who reach ENROLLMENT_READY actually enroll, while only 5% of NEW_INQUIRY students do, would allow stage-weighted revenue calculations that are more grounded than individual email signal scoring alone.</w:t>
      </w:r>
    </w:p>
    <w:p>
      <w:pPr>
        <w:pStyle w:val="Heading2"/>
        <w:spacing w:after="150" w:before="300"/>
      </w:pPr>
      <w:r>
        <w:rPr>
          <w:rFonts w:ascii="Arial" w:cs="Arial" w:eastAsia="Arial" w:hAnsi="Arial"/>
          <w:b/>
          <w:bCs/>
        </w:rPr>
        <w:t xml:space="preserve">Calibrate Against Actual Revenue</w:t>
      </w:r>
    </w:p>
    <w:p>
      <w:pPr>
        <w:spacing w:after="180" w:line="276"/>
      </w:pPr>
      <w:r>
        <w:rPr>
          <w:rFonts w:ascii="Arial" w:cs="Arial" w:eastAsia="Arial" w:hAnsi="Arial"/>
          <w:color w:val="333333"/>
          <w:sz w:val="22"/>
          <w:szCs w:val="22"/>
        </w:rPr>
        <w:t xml:space="preserve">The single most impactful improvement would be loading 2–3 years of actual enrollment and revenue data (from the enrollment portal or payment records) and running the conversion model retroactively. Compare projected revenue (sum of probability × price) against actual collected revenue. The ratio between projected and actual is your calibration factor. If the model consistently projects $50K but actual is $35K, the calibration factor is 0.70 and should be applied to all future projections.</w:t>
      </w:r>
    </w:p>
    <w:p>
      <w:pPr>
        <w:pStyle w:val="Heading2"/>
        <w:spacing w:after="150" w:before="300"/>
      </w:pPr>
      <w:r>
        <w:rPr>
          <w:rFonts w:ascii="Arial" w:cs="Arial" w:eastAsia="Arial" w:hAnsi="Arial"/>
          <w:b/>
          <w:bCs/>
        </w:rPr>
        <w:t xml:space="preserve">Account for Payment Realities</w:t>
      </w:r>
    </w:p>
    <w:p>
      <w:pPr>
        <w:spacing w:after="180" w:line="276"/>
      </w:pPr>
      <w:r>
        <w:rPr>
          <w:rFonts w:ascii="Arial" w:cs="Arial" w:eastAsia="Arial" w:hAnsi="Arial"/>
          <w:color w:val="333333"/>
          <w:sz w:val="22"/>
          <w:szCs w:val="22"/>
        </w:rPr>
        <w:t xml:space="preserve">Not all enrolled students pay the full listed price. MatchFirst students pay a deposit upfront and the balance contingent on matching. Early-bird discounts reduce effective price. Installment plans may have default rates. The revenue model should distinguish between projected enrollment revenue (probability × list price) and expected collected revenue (adjusted for discounts, payment plans, and historical collection rates).</w:t>
      </w:r>
    </w:p>
    <w:p>
      <w:pPr>
        <w:pBdr>
          <w:bottom w:val="single" w:color="1B2A4A" w:sz="4" w:space="8"/>
        </w:pBdr>
        <w:spacing w:after="200" w:before="200"/>
      </w:pPr>
    </w:p>
    <w:p>
      <w:pPr>
        <w:pStyle w:val="Heading1"/>
        <w:spacing w:after="150" w:before="300"/>
      </w:pPr>
      <w:r>
        <w:rPr>
          <w:rFonts w:ascii="Arial" w:cs="Arial" w:eastAsia="Arial" w:hAnsi="Arial"/>
          <w:b/>
          <w:bCs/>
        </w:rPr>
        <w:t xml:space="preserve">5. Whether the Pricing Model Assumptions Are Adequate</w:t>
      </w:r>
    </w:p>
    <w:p>
      <w:pPr>
        <w:spacing w:after="180" w:line="276"/>
      </w:pPr>
      <w:r>
        <w:rPr>
          <w:rFonts w:ascii="Arial" w:cs="Arial" w:eastAsia="Arial" w:hAnsi="Arial"/>
          <w:b/>
          <w:bCs/>
          <w:color w:val="333333"/>
          <w:sz w:val="22"/>
          <w:szCs w:val="22"/>
        </w:rPr>
        <w:t xml:space="preserve">No. The pricing model is inadequate in its current form.</w:t>
      </w:r>
      <w:r>
        <w:rPr>
          <w:rFonts w:ascii="Arial" w:cs="Arial" w:eastAsia="Arial" w:hAnsi="Arial"/>
          <w:color w:val="333333"/>
          <w:sz w:val="22"/>
          <w:szCs w:val="22"/>
        </w:rPr>
        <w:t xml:space="preserve"> Here is a specific accounting of the issues:</w:t>
      </w:r>
    </w:p>
    <w:p>
      <w:pPr>
        <w:pStyle w:val="ListParagraph"/>
        <w:numPr>
          <w:ilvl w:val="0"/>
          <w:numId w:val="4"/>
        </w:numPr>
        <w:spacing w:after="100" w:line="276"/>
      </w:pPr>
      <w:r>
        <w:rPr>
          <w:rFonts w:ascii="Arial" w:cs="Arial" w:eastAsia="Arial" w:hAnsi="Arial"/>
          <w:color w:val="333333"/>
          <w:sz w:val="22"/>
          <w:szCs w:val="22"/>
        </w:rPr>
        <w:t xml:space="preserve">The two prices cited ($4,500 for 360 Match Mentorship, $3,499 for IV Prep Complete) appear to be in the right range based on legacy FAQ data ($4,499–$4,999 for 360, $3,499–$3,999 for IV Prep Complete), but the exact current-season prices are flagged as "uncertain" in both MISSIONRESIDENCY_SYSTEM_CONTEXT.md and MISSIONMED_SYSTEM_CONTEXT.md. Revenue forecasts built on unconfirmed prices are unreliable.</w:t>
      </w:r>
    </w:p>
    <w:p>
      <w:pPr>
        <w:pStyle w:val="ListParagraph"/>
        <w:numPr>
          <w:ilvl w:val="0"/>
          <w:numId w:val="4"/>
        </w:numPr>
        <w:spacing w:after="100" w:line="276"/>
      </w:pPr>
      <w:r>
        <w:rPr>
          <w:rFonts w:ascii="Arial" w:cs="Arial" w:eastAsia="Arial" w:hAnsi="Arial"/>
          <w:color w:val="333333"/>
          <w:sz w:val="22"/>
          <w:szCs w:val="22"/>
        </w:rPr>
        <w:t xml:space="preserve">IV BootCamp (Level 1) is completely missing. Legacy pricing shows $1,499. If any pipeline leads are BootCamp candidates, their revenue contribution is zero in the current model.</w:t>
      </w:r>
    </w:p>
    <w:p>
      <w:pPr>
        <w:pStyle w:val="ListParagraph"/>
        <w:numPr>
          <w:ilvl w:val="0"/>
          <w:numId w:val="4"/>
        </w:numPr>
        <w:spacing w:after="100" w:line="276"/>
      </w:pPr>
      <w:r>
        <w:rPr>
          <w:rFonts w:ascii="Arial" w:cs="Arial" w:eastAsia="Arial" w:hAnsi="Arial"/>
          <w:color w:val="333333"/>
          <w:sz w:val="22"/>
          <w:szCs w:val="22"/>
        </w:rPr>
        <w:t xml:space="preserve">USCE placement revenue is absent. Phil manages clinical rotations as a distinct business line. The pipeline already tracks USCE_ROTATIONS as a service category, but the revenue model assigns no dollar value to these leads.</w:t>
      </w:r>
    </w:p>
    <w:p>
      <w:pPr>
        <w:pStyle w:val="ListParagraph"/>
        <w:numPr>
          <w:ilvl w:val="0"/>
          <w:numId w:val="4"/>
        </w:numPr>
        <w:spacing w:after="100" w:line="276"/>
      </w:pPr>
      <w:r>
        <w:rPr>
          <w:rFonts w:ascii="Arial" w:cs="Arial" w:eastAsia="Arial" w:hAnsi="Arial"/>
          <w:color w:val="333333"/>
          <w:sz w:val="22"/>
          <w:szCs w:val="22"/>
        </w:rPr>
        <w:t xml:space="preserve">USMLE tutoring and drills revenue is absent. Dr J’s tutoring bundles ($350–$995) and group sessions are a recurring revenue stream with no representation in the model.</w:t>
      </w:r>
    </w:p>
    <w:p>
      <w:pPr>
        <w:pStyle w:val="ListParagraph"/>
        <w:numPr>
          <w:ilvl w:val="0"/>
          <w:numId w:val="4"/>
        </w:numPr>
        <w:spacing w:after="100" w:line="276"/>
      </w:pPr>
      <w:r>
        <w:rPr>
          <w:rFonts w:ascii="Arial" w:cs="Arial" w:eastAsia="Arial" w:hAnsi="Arial"/>
          <w:color w:val="333333"/>
          <w:sz w:val="22"/>
          <w:szCs w:val="22"/>
        </w:rPr>
        <w:t xml:space="preserve">Membership tiers ($49–$199/month) represent recurring revenue that compounds over time. This is structurally different from one-time program enrollment and requires a different forecasting approach (monthly recurring revenue × expected retention).</w:t>
      </w:r>
    </w:p>
    <w:p>
      <w:pPr>
        <w:pStyle w:val="ListParagraph"/>
        <w:numPr>
          <w:ilvl w:val="0"/>
          <w:numId w:val="4"/>
        </w:numPr>
        <w:spacing w:after="100" w:line="276"/>
      </w:pPr>
      <w:r>
        <w:rPr>
          <w:rFonts w:ascii="Arial" w:cs="Arial" w:eastAsia="Arial" w:hAnsi="Arial"/>
          <w:color w:val="333333"/>
          <w:sz w:val="22"/>
          <w:szCs w:val="22"/>
        </w:rPr>
        <w:t xml:space="preserve">The model assumes each lead maps to exactly one program at one price. In practice, students often purchase multiple services (e.g., 360 Elite + USCE placement + tutoring hours). The system already detects MULTI_SERVICE leads but does not multiply the revenue calculation accordingly.</w:t>
      </w:r>
    </w:p>
    <w:p>
      <w:pPr>
        <w:pBdr>
          <w:bottom w:val="single" w:color="1B2A4A" w:sz="4" w:space="8"/>
        </w:pBdr>
        <w:spacing w:after="200" w:before="200"/>
      </w:pPr>
    </w:p>
    <w:p>
      <w:pPr>
        <w:pStyle w:val="Heading1"/>
        <w:spacing w:after="150" w:before="300"/>
      </w:pPr>
      <w:r>
        <w:rPr>
          <w:rFonts w:ascii="Arial" w:cs="Arial" w:eastAsia="Arial" w:hAnsi="Arial"/>
          <w:b/>
          <w:bCs/>
        </w:rPr>
        <w:t xml:space="preserve">6. Whether the Pipeline Probability Approach Is Sound</w:t>
      </w:r>
    </w:p>
    <w:p>
      <w:pPr>
        <w:spacing w:after="180" w:line="276"/>
      </w:pPr>
      <w:r>
        <w:rPr>
          <w:rFonts w:ascii="Arial" w:cs="Arial" w:eastAsia="Arial" w:hAnsi="Arial"/>
          <w:b/>
          <w:bCs/>
          <w:color w:val="333333"/>
          <w:sz w:val="22"/>
          <w:szCs w:val="22"/>
        </w:rPr>
        <w:t xml:space="preserve">The approach is conceptually sound but needs calibration before it can be trusted for financial decisions.</w:t>
      </w:r>
    </w:p>
    <w:p>
      <w:pPr>
        <w:spacing w:after="180" w:line="276"/>
      </w:pPr>
      <w:r>
        <w:rPr>
          <w:rFonts w:ascii="Arial" w:cs="Arial" w:eastAsia="Arial" w:hAnsi="Arial"/>
          <w:color w:val="333333"/>
          <w:sz w:val="22"/>
          <w:szCs w:val="22"/>
        </w:rPr>
        <w:t xml:space="preserve">The formula Expected Revenue = Sum(conversion_probability × program_price) is the standard approach used in sales pipeline management. It is the right framework. The question is whether the probability inputs are reliable enough for the revenue outputs to be actionable.</w:t>
      </w:r>
    </w:p>
    <w:p>
      <w:pPr>
        <w:pStyle w:val="Heading2"/>
        <w:spacing w:after="150" w:before="300"/>
      </w:pPr>
      <w:r>
        <w:rPr>
          <w:rFonts w:ascii="Arial" w:cs="Arial" w:eastAsia="Arial" w:hAnsi="Arial"/>
          <w:b/>
          <w:bCs/>
        </w:rPr>
        <w:t xml:space="preserve">What Works</w:t>
      </w:r>
    </w:p>
    <w:p>
      <w:pPr>
        <w:pStyle w:val="ListParagraph"/>
        <w:numPr>
          <w:ilvl w:val="0"/>
          <w:numId w:val="5"/>
        </w:numPr>
        <w:spacing w:after="100" w:line="276"/>
      </w:pPr>
      <w:r>
        <w:rPr>
          <w:rFonts w:ascii="Arial" w:cs="Arial" w:eastAsia="Arial" w:hAnsi="Arial"/>
          <w:color w:val="333333"/>
          <w:sz w:val="22"/>
          <w:szCs w:val="22"/>
        </w:rPr>
        <w:t xml:space="preserve">The 33-signal model produces a genuinely differentiated score. Leads with commitment signals score 85+, leads with only general inquiries score 15–25. This spread means the model is actually discriminating, not just producing noise around the mean.</w:t>
      </w:r>
    </w:p>
    <w:p>
      <w:pPr>
        <w:pStyle w:val="ListParagraph"/>
        <w:numPr>
          <w:ilvl w:val="0"/>
          <w:numId w:val="5"/>
        </w:numPr>
        <w:spacing w:after="100" w:line="276"/>
      </w:pPr>
      <w:r>
        <w:rPr>
          <w:rFonts w:ascii="Arial" w:cs="Arial" w:eastAsia="Arial" w:hAnsi="Arial"/>
          <w:color w:val="333333"/>
          <w:sz w:val="22"/>
          <w:szCs w:val="22"/>
        </w:rPr>
        <w:t xml:space="preserve">The lift-weighted scoring approach is statistically grounded. Signals with higher conversion lift contribute more points. This is a correct design.</w:t>
      </w:r>
    </w:p>
    <w:p>
      <w:pPr>
        <w:pStyle w:val="ListParagraph"/>
        <w:numPr>
          <w:ilvl w:val="0"/>
          <w:numId w:val="5"/>
        </w:numPr>
        <w:spacing w:after="100" w:line="276"/>
      </w:pPr>
      <w:r>
        <w:rPr>
          <w:rFonts w:ascii="Arial" w:cs="Arial" w:eastAsia="Arial" w:hAnsi="Arial"/>
          <w:color w:val="333333"/>
          <w:sz w:val="22"/>
          <w:szCs w:val="22"/>
        </w:rPr>
        <w:t xml:space="preserve">The 9-step pipeline (detect commitment, classify intent, detect objections, analyze behavior, apply timing, detect archetype, calculate composite, assign confidence, generate evidence) is thorough and produces interpretable scores.</w:t>
      </w:r>
    </w:p>
    <w:p>
      <w:pPr>
        <w:pStyle w:val="Heading2"/>
        <w:spacing w:after="150" w:before="300"/>
      </w:pPr>
      <w:r>
        <w:rPr>
          <w:rFonts w:ascii="Arial" w:cs="Arial" w:eastAsia="Arial" w:hAnsi="Arial"/>
          <w:b/>
          <w:bCs/>
        </w:rPr>
        <w:t xml:space="preserve">What Needs Work</w:t>
      </w:r>
    </w:p>
    <w:p>
      <w:pPr>
        <w:pStyle w:val="ListParagraph"/>
        <w:numPr>
          <w:ilvl w:val="0"/>
          <w:numId w:val="5"/>
        </w:numPr>
        <w:spacing w:after="100" w:line="276"/>
      </w:pPr>
      <w:r>
        <w:rPr>
          <w:rFonts w:ascii="Arial" w:cs="Arial" w:eastAsia="Arial" w:hAnsi="Arial"/>
          <w:color w:val="333333"/>
          <w:sz w:val="22"/>
          <w:szCs w:val="22"/>
        </w:rPr>
        <w:t xml:space="preserve">Prospective accuracy is unknown. The model has never scored a lead before they converted and then checked whether the score predicted the outcome correctly. Until this happens with at least 30–50 leads, the probability numbers should be treated as relative rankings ("this lead is more promising than that one"), not as absolute probabilities ("there is a 74% chance this person enrolls").</w:t>
      </w:r>
    </w:p>
    <w:p>
      <w:pPr>
        <w:pStyle w:val="ListParagraph"/>
        <w:numPr>
          <w:ilvl w:val="0"/>
          <w:numId w:val="5"/>
        </w:numPr>
        <w:spacing w:after="100" w:line="276"/>
      </w:pPr>
      <w:r>
        <w:rPr>
          <w:rFonts w:ascii="Arial" w:cs="Arial" w:eastAsia="Arial" w:hAnsi="Arial"/>
          <w:color w:val="333333"/>
          <w:sz w:val="22"/>
          <w:szCs w:val="22"/>
        </w:rPr>
        <w:t xml:space="preserve">The base score of 25 (reflecting 26.6% historical conversion rate) is derived from the email dataset, not from the full inquiry population. The actual conversion rate from first-contact to enrollment across all channels (website forms, phone calls, referrals, walk-ins) may be significantly lower. If the true rate is 10%, the model is systematically overscoring every lead by 15 points, which inflates pipeline revenue by approximately 60%.</w:t>
      </w:r>
    </w:p>
    <w:p>
      <w:pPr>
        <w:pStyle w:val="ListParagraph"/>
        <w:numPr>
          <w:ilvl w:val="0"/>
          <w:numId w:val="5"/>
        </w:numPr>
        <w:spacing w:after="100" w:line="276"/>
      </w:pPr>
      <w:r>
        <w:rPr>
          <w:rFonts w:ascii="Arial" w:cs="Arial" w:eastAsia="Arial" w:hAnsi="Arial"/>
          <w:color w:val="333333"/>
          <w:sz w:val="22"/>
          <w:szCs w:val="22"/>
        </w:rPr>
        <w:t xml:space="preserve">Revenue projections will be biased upward until calibrated. This is the most important warning in this entire review: probability-weighted revenue forecasts feel precise but can be deeply wrong if the probabilities are miscalibrated. A 10-point systematic overestimate across a 20-lead pipeline at $4,000 average price creates an $8,000 phantom revenue figure.</w:t>
      </w:r>
    </w:p>
    <w:p>
      <w:pPr>
        <w:pBdr>
          <w:bottom w:val="single" w:color="1B2A4A" w:sz="4" w:space="8"/>
        </w:pBdr>
        <w:spacing w:after="200" w:before="200"/>
      </w:pPr>
    </w:p>
    <w:p>
      <w:pPr>
        <w:pStyle w:val="Heading1"/>
        <w:spacing w:after="150" w:before="300"/>
      </w:pPr>
      <w:r>
        <w:rPr>
          <w:rFonts w:ascii="Arial" w:cs="Arial" w:eastAsia="Arial" w:hAnsi="Arial"/>
          <w:b/>
          <w:bCs/>
        </w:rPr>
        <w:t xml:space="preserve">7. Recommended Architecture</w:t>
      </w:r>
    </w:p>
    <w:p>
      <w:pPr>
        <w:spacing w:after="180" w:line="276"/>
      </w:pPr>
      <w:r>
        <w:rPr>
          <w:rFonts w:ascii="Arial" w:cs="Arial" w:eastAsia="Arial" w:hAnsi="Arial"/>
          <w:color w:val="333333"/>
          <w:sz w:val="22"/>
          <w:szCs w:val="22"/>
        </w:rPr>
        <w:t xml:space="preserve">Rather than building a standalone revenue calculation module, I recommend extending the existing system state engine with a revenue layer that inherits the integration patterns already established. Here is the architecture I would build.</w:t>
      </w:r>
    </w:p>
    <w:p>
      <w:pPr>
        <w:pStyle w:val="Heading2"/>
        <w:spacing w:after="150" w:before="300"/>
      </w:pPr>
      <w:r>
        <w:rPr>
          <w:rFonts w:ascii="Arial" w:cs="Arial" w:eastAsia="Arial" w:hAnsi="Arial"/>
          <w:b/>
          <w:bCs/>
        </w:rPr>
        <w:t xml:space="preserve">Layer 1: Product Catalog (New)</w:t>
      </w:r>
    </w:p>
    <w:p>
      <w:pPr>
        <w:spacing w:after="180" w:line="276"/>
      </w:pPr>
      <w:r>
        <w:rPr>
          <w:rFonts w:ascii="Arial" w:cs="Arial" w:eastAsia="Arial" w:hAnsi="Arial"/>
          <w:color w:val="333333"/>
          <w:sz w:val="22"/>
          <w:szCs w:val="22"/>
        </w:rPr>
        <w:t xml:space="preserve">Create a canonical product_catalog.json that defines every MissionMed product with its current price, price type (one-time vs. recurring), associated service category, and historical price changes. This becomes the single source of truth for all pricing and replaces hardcoded price assumptions.</w:t>
      </w:r>
    </w:p>
    <w:p>
      <w:pPr>
        <w:pStyle w:val="Heading2"/>
        <w:spacing w:after="150" w:before="300"/>
      </w:pPr>
      <w:r>
        <w:rPr>
          <w:rFonts w:ascii="Arial" w:cs="Arial" w:eastAsia="Arial" w:hAnsi="Arial"/>
          <w:b/>
          <w:bCs/>
        </w:rPr>
        <w:t xml:space="preserve">Layer 2: Lead-to-Revenue Mapping (New)</w:t>
      </w:r>
    </w:p>
    <w:p>
      <w:pPr>
        <w:spacing w:after="180" w:line="276"/>
      </w:pPr>
      <w:r>
        <w:rPr>
          <w:rFonts w:ascii="Arial" w:cs="Arial" w:eastAsia="Arial" w:hAnsi="Arial"/>
          <w:color w:val="333333"/>
          <w:sz w:val="22"/>
          <w:szCs w:val="22"/>
        </w:rPr>
        <w:t xml:space="preserve">Each lead in the pipeline gets a revenue_estimate object calculated from: their primary service category mapped to product catalog price, their conversion probability from the scoring engine, a stage-weight modifier (e.g., ENROLLMENT_READY leads get a 1.2x multiplier, NEW_INQUIRY gets 0.6x), and a confidence-adjusted range (low/mid/high) rather than a single point estimate.</w:t>
      </w:r>
    </w:p>
    <w:p>
      <w:pPr>
        <w:pStyle w:val="Heading2"/>
        <w:spacing w:after="150" w:before="300"/>
      </w:pPr>
      <w:r>
        <w:rPr>
          <w:rFonts w:ascii="Arial" w:cs="Arial" w:eastAsia="Arial" w:hAnsi="Arial"/>
          <w:b/>
          <w:bCs/>
        </w:rPr>
        <w:t xml:space="preserve">Layer 3: Revenue Aggregation (New)</w:t>
      </w:r>
    </w:p>
    <w:p>
      <w:pPr>
        <w:spacing w:after="180" w:line="276"/>
      </w:pPr>
      <w:r>
        <w:rPr>
          <w:rFonts w:ascii="Arial" w:cs="Arial" w:eastAsia="Arial" w:hAnsi="Arial"/>
          <w:color w:val="333333"/>
          <w:sz w:val="22"/>
          <w:szCs w:val="22"/>
        </w:rPr>
        <w:t xml:space="preserve">System state engine gets new aggregation functions: getProjectedRevenue() returns total expected revenue across all active leads, getRevenueByDivision() breaks out Mission Residency vs. USMLE vs. USCE, getRevenueByStage() shows where pipeline value concentrates, and getRevenueTimeline() uses decision latency data to project when revenue will materialize.</w:t>
      </w:r>
    </w:p>
    <w:p>
      <w:pPr>
        <w:pStyle w:val="Heading2"/>
        <w:spacing w:after="150" w:before="300"/>
      </w:pPr>
      <w:r>
        <w:rPr>
          <w:rFonts w:ascii="Arial" w:cs="Arial" w:eastAsia="Arial" w:hAnsi="Arial"/>
          <w:b/>
          <w:bCs/>
        </w:rPr>
        <w:t xml:space="preserve">Layer 4: Dashboard Integration (Extend Existing)</w:t>
      </w:r>
    </w:p>
    <w:p>
      <w:pPr>
        <w:spacing w:after="180" w:line="276"/>
      </w:pPr>
      <w:r>
        <w:rPr>
          <w:rFonts w:ascii="Arial" w:cs="Arial" w:eastAsia="Arial" w:hAnsi="Arial"/>
          <w:color w:val="333333"/>
          <w:sz w:val="22"/>
          <w:szCs w:val="22"/>
        </w:rPr>
        <w:t xml:space="preserve">Add a Revenue section to the Command Center dashboard showing: total pipeline value (sum of all leads × price × probability), expected monthly revenue (based on average decision latency), revenue by division, and high-value leads (top 5 by expected value). This extends the existing dashboard rather than creating a separate revenue dashboard.</w:t>
      </w:r>
    </w:p>
    <w:p>
      <w:pPr>
        <w:pStyle w:val="Heading2"/>
        <w:spacing w:after="150" w:before="300"/>
      </w:pPr>
      <w:r>
        <w:rPr>
          <w:rFonts w:ascii="Arial" w:cs="Arial" w:eastAsia="Arial" w:hAnsi="Arial"/>
          <w:b/>
          <w:bCs/>
        </w:rPr>
        <w:t xml:space="preserve">Layer 5: Calibration Engine (V2)</w:t>
      </w:r>
    </w:p>
    <w:p>
      <w:pPr>
        <w:spacing w:after="180" w:line="276"/>
      </w:pPr>
      <w:r>
        <w:rPr>
          <w:rFonts w:ascii="Arial" w:cs="Arial" w:eastAsia="Arial" w:hAnsi="Arial"/>
          <w:color w:val="333333"/>
          <w:sz w:val="22"/>
          <w:szCs w:val="22"/>
        </w:rPr>
        <w:t xml:space="preserve">Once 30+ leads have moved through the pipeline to a terminal state (enrolled or lost), build a calibration layer that compares projected probability-weighted revenue against actual collected revenue. This produces a calibration factor that adjusts all future projections. Until this layer exists, all revenue figures should carry a disclaimer: "Uncalibrated — based on retrospective model, not yet validated on prospective leads."</w:t>
      </w:r>
    </w:p>
    <w:p>
      <w:pPr>
        <w:pBdr>
          <w:bottom w:val="single" w:color="1B2A4A" w:sz="4" w:space="8"/>
        </w:pBdr>
        <w:spacing w:after="200" w:before="200"/>
      </w:pPr>
    </w:p>
    <w:p>
      <w:pPr>
        <w:pStyle w:val="Heading1"/>
        <w:spacing w:after="150" w:before="300"/>
      </w:pPr>
      <w:r>
        <w:rPr>
          <w:rFonts w:ascii="Arial" w:cs="Arial" w:eastAsia="Arial" w:hAnsi="Arial"/>
          <w:b/>
          <w:bCs/>
        </w:rPr>
        <w:t xml:space="preserve">8. System Name Recommendation</w:t>
      </w:r>
    </w:p>
    <w:p>
      <w:pPr>
        <w:spacing w:after="180" w:line="276"/>
      </w:pPr>
      <w:r>
        <w:rPr>
          <w:rFonts w:ascii="Arial" w:cs="Arial" w:eastAsia="Arial" w:hAnsi="Arial"/>
          <w:color w:val="333333"/>
          <w:sz w:val="22"/>
          <w:szCs w:val="22"/>
        </w:rPr>
        <w:t xml:space="preserve">The name should reflect what the system actually does at maturity: it combines email intelligence, conversion modeling, lead pipeline management, and revenue forecasting into a unified operational system. Here are my recommendations, ranked by fit.</w:t>
      </w:r>
    </w:p>
    <w:p>
      <w:pPr>
        <w:pStyle w:val="ListParagraph"/>
        <w:numPr>
          <w:ilvl w:val="0"/>
          <w:numId w:val="6"/>
        </w:numPr>
        <w:spacing w:after="100" w:line="276"/>
      </w:pPr>
      <w:r>
        <w:rPr>
          <w:rFonts w:ascii="Arial" w:cs="Arial" w:eastAsia="Arial" w:hAnsi="Arial"/>
          <w:b/>
          <w:bCs/>
          <w:sz w:val="22"/>
          <w:szCs w:val="22"/>
        </w:rPr>
        <w:t xml:space="preserve">MissionMed Enrollment Intelligence Engine</w:t>
      </w:r>
      <w:r>
        <w:rPr>
          <w:rFonts w:ascii="Arial" w:cs="Arial" w:eastAsia="Arial" w:hAnsi="Arial"/>
          <w:color w:val="333333"/>
          <w:sz w:val="22"/>
          <w:szCs w:val="22"/>
        </w:rPr>
        <w:t xml:space="preserve"> — Recommended. "Enrollment" is what you actually measure and optimize. "Intelligence" captures the AI/data layer. "Engine" signals that it is operational, not passive. It is specific to MissionMed’s actual business (enrollment) rather than generic ("revenue").</w:t>
      </w:r>
    </w:p>
    <w:p>
      <w:pPr>
        <w:pStyle w:val="ListParagraph"/>
        <w:numPr>
          <w:ilvl w:val="0"/>
          <w:numId w:val="6"/>
        </w:numPr>
        <w:spacing w:after="100" w:line="276"/>
      </w:pPr>
      <w:r>
        <w:rPr>
          <w:rFonts w:ascii="Arial" w:cs="Arial" w:eastAsia="Arial" w:hAnsi="Arial"/>
          <w:b/>
          <w:bCs/>
          <w:sz w:val="22"/>
          <w:szCs w:val="22"/>
        </w:rPr>
        <w:t xml:space="preserve">MissionMed Admissions Operating System</w:t>
      </w:r>
      <w:r>
        <w:rPr>
          <w:rFonts w:ascii="Arial" w:cs="Arial" w:eastAsia="Arial" w:hAnsi="Arial"/>
          <w:color w:val="333333"/>
          <w:sz w:val="22"/>
          <w:szCs w:val="22"/>
        </w:rPr>
        <w:t xml:space="preserve"> — Strong alternative. "Operating System" conveys that this is the central nervous system of the business, not just a report. "Admissions" is the domain.</w:t>
      </w:r>
    </w:p>
    <w:p>
      <w:pPr>
        <w:pStyle w:val="ListParagraph"/>
        <w:numPr>
          <w:ilvl w:val="0"/>
          <w:numId w:val="6"/>
        </w:numPr>
        <w:spacing w:after="100" w:line="276"/>
      </w:pPr>
      <w:r>
        <w:rPr>
          <w:rFonts w:ascii="Arial" w:cs="Arial" w:eastAsia="Arial" w:hAnsi="Arial"/>
          <w:b/>
          <w:bCs/>
          <w:sz w:val="22"/>
          <w:szCs w:val="22"/>
        </w:rPr>
        <w:t xml:space="preserve">MissionMed Revenue Intelligence Platform</w:t>
      </w:r>
      <w:r>
        <w:rPr>
          <w:rFonts w:ascii="Arial" w:cs="Arial" w:eastAsia="Arial" w:hAnsi="Arial"/>
          <w:color w:val="333333"/>
          <w:sz w:val="22"/>
          <w:szCs w:val="22"/>
        </w:rPr>
        <w:t xml:space="preserve"> — Acceptable but slightly premature. "Revenue" is aspirational until the pricing model is complete and calibrated. Using this name before the revenue layer is validated risks anchoring the team to uncalibrated numbers.</w:t>
      </w:r>
    </w:p>
    <w:p>
      <w:pPr>
        <w:pStyle w:val="ListParagraph"/>
        <w:numPr>
          <w:ilvl w:val="0"/>
          <w:numId w:val="6"/>
        </w:numPr>
        <w:spacing w:after="100" w:line="276"/>
      </w:pPr>
      <w:r>
        <w:rPr>
          <w:rFonts w:ascii="Arial" w:cs="Arial" w:eastAsia="Arial" w:hAnsi="Arial"/>
          <w:b/>
          <w:bCs/>
          <w:sz w:val="22"/>
          <w:szCs w:val="22"/>
        </w:rPr>
        <w:t xml:space="preserve">Meridian</w:t>
      </w:r>
      <w:r>
        <w:rPr>
          <w:rFonts w:ascii="Arial" w:cs="Arial" w:eastAsia="Arial" w:hAnsi="Arial"/>
          <w:color w:val="333333"/>
          <w:sz w:val="22"/>
          <w:szCs w:val="22"/>
        </w:rPr>
        <w:t xml:space="preserve"> — A codename option. Short, memorable, evokes navigation and direction. "Meridian" could work as an internal codename with the descriptive name (Enrollment Intelligence Engine) as the formal title.</w:t>
      </w:r>
    </w:p>
    <w:p>
      <w:pPr>
        <w:pBdr>
          <w:bottom w:val="single" w:color="1B2A4A" w:sz="4" w:space="8"/>
        </w:pBdr>
        <w:spacing w:after="200" w:before="200"/>
      </w:pPr>
    </w:p>
    <w:p>
      <w:pPr>
        <w:pStyle w:val="Heading1"/>
        <w:spacing w:after="150" w:before="300"/>
      </w:pPr>
      <w:r>
        <w:rPr>
          <w:rFonts w:ascii="Arial" w:cs="Arial" w:eastAsia="Arial" w:hAnsi="Arial"/>
          <w:b/>
          <w:bCs/>
        </w:rPr>
        <w:t xml:space="preserve">Final Assessment</w:t>
      </w:r>
    </w:p>
    <w:p>
      <w:pPr>
        <w:spacing w:after="180" w:line="276"/>
      </w:pPr>
      <w:r>
        <w:rPr>
          <w:rFonts w:ascii="Arial" w:cs="Arial" w:eastAsia="Arial" w:hAnsi="Arial"/>
          <w:color w:val="333333"/>
          <w:sz w:val="22"/>
          <w:szCs w:val="22"/>
        </w:rPr>
        <w:t xml:space="preserve">The MissionMed AI ecosystem you have built is architecturally sound and genuinely differentiated. The email classification, conversion scoring, pipeline management, and system state synchronization form a real operational platform that most businesses at this scale never achieve. The foundation is strong.</w:t>
      </w:r>
    </w:p>
    <w:p>
      <w:pPr>
        <w:spacing w:after="180" w:line="276"/>
      </w:pPr>
      <w:r>
        <w:rPr>
          <w:rFonts w:ascii="Arial" w:cs="Arial" w:eastAsia="Arial" w:hAnsi="Arial"/>
          <w:color w:val="333333"/>
          <w:sz w:val="22"/>
          <w:szCs w:val="22"/>
        </w:rPr>
        <w:t xml:space="preserve">The revenue intelligence layer is the right next step. But it needs to be built on complete data (all products, all prices, all revenue streams) rather than a simplified two-product model. The conversion probability scores are valuable for relative lead prioritization today, and they will become valuable for absolute revenue forecasting after prospective calibration against 30–50 real outcomes.</w:t>
      </w:r>
    </w:p>
    <w:p>
      <w:pPr>
        <w:spacing w:after="180" w:line="276"/>
      </w:pPr>
      <w:r>
        <w:rPr>
          <w:rFonts w:ascii="Arial" w:cs="Arial" w:eastAsia="Arial" w:hAnsi="Arial"/>
          <w:b/>
          <w:bCs/>
          <w:color w:val="333333"/>
          <w:sz w:val="22"/>
          <w:szCs w:val="22"/>
        </w:rPr>
        <w:t xml:space="preserve">My recommendation: </w:t>
      </w:r>
      <w:r>
        <w:rPr>
          <w:rFonts w:ascii="Arial" w:cs="Arial" w:eastAsia="Arial" w:hAnsi="Arial"/>
          <w:color w:val="333333"/>
          <w:sz w:val="22"/>
          <w:szCs w:val="22"/>
        </w:rPr>
        <w:t xml:space="preserve">Build the product catalog and program type standardization first. These are data cleanup tasks that take one session and immediately unlock accurate historical revenue analysis across all 558 students. Then build the revenue layer on top of clean data rather than approximations. The architecture I outlined in Section 7 can be implemented incrementally — Layers 1–4 in the next build cycle, Layer 5 after sufficient prospective data accumulates.</w:t>
      </w:r>
    </w:p>
    <w:p>
      <w:pPr>
        <w:spacing w:after="400" w:line="276"/>
      </w:pPr>
      <w:r>
        <w:rPr>
          <w:rFonts w:ascii="Arial" w:cs="Arial" w:eastAsia="Arial" w:hAnsi="Arial"/>
          <w:color w:val="333333"/>
          <w:sz w:val="22"/>
          <w:szCs w:val="22"/>
        </w:rPr>
        <w:t xml:space="preserve">The system has real potential. The path from here to reliable revenue forecasting is a data quality problem, not an architecture problem. That is a good position to be in.</w:t>
      </w:r>
    </w:p>
    <w:p>
      <w:pPr>
        <w:pBdr>
          <w:top w:val="single" w:color="CCCCCC" w:sz="2" w:space="8"/>
        </w:pBdr>
        <w:spacing w:before="400"/>
      </w:pPr>
      <w:r>
        <w:rPr>
          <w:rFonts w:ascii="Arial" w:cs="Arial" w:eastAsia="Arial" w:hAnsi="Arial"/>
          <w:b/>
          <w:bCs/>
          <w:color w:val="999999"/>
          <w:sz w:val="18"/>
          <w:szCs w:val="18"/>
        </w:rPr>
        <w:t xml:space="preserve">Protocol Compliance</w:t>
      </w:r>
    </w:p>
    <w:p>
      <w:pPr>
        <w:spacing w:after="60"/>
      </w:pPr>
      <w:r>
        <w:rPr>
          <w:rFonts w:ascii="Arial" w:cs="Arial" w:eastAsia="Arial" w:hAnsi="Arial"/>
          <w:i/>
          <w:iCs/>
          <w:color w:val="999999"/>
          <w:sz w:val="18"/>
          <w:szCs w:val="18"/>
        </w:rPr>
        <w:t xml:space="preserve">Strategic Integrity Protocol: Applied — findings include disagreements with proposed approach</w:t>
      </w:r>
    </w:p>
    <w:p>
      <w:pPr>
        <w:spacing w:after="60"/>
      </w:pPr>
      <w:r>
        <w:rPr>
          <w:rFonts w:ascii="Arial" w:cs="Arial" w:eastAsia="Arial" w:hAnsi="Arial"/>
          <w:i/>
          <w:iCs/>
          <w:color w:val="999999"/>
          <w:sz w:val="18"/>
          <w:szCs w:val="18"/>
        </w:rPr>
        <w:t xml:space="preserve">Red Team Protocol: Applied — 3 critical issues, 3 additional risks identified</w:t>
      </w:r>
    </w:p>
    <w:p>
      <w:pPr>
        <w:spacing w:after="60"/>
      </w:pPr>
      <w:r>
        <w:rPr>
          <w:rFonts w:ascii="Arial" w:cs="Arial" w:eastAsia="Arial" w:hAnsi="Arial"/>
          <w:i/>
          <w:iCs/>
          <w:color w:val="999999"/>
          <w:sz w:val="18"/>
          <w:szCs w:val="18"/>
        </w:rPr>
        <w:t xml:space="preserve">Evidence Ladder: All claims grounded in system file examination (master DB, lead CSV, signal model, system context)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MissionMed Revenue Intelligence System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2" w:space="4"/>
      </w:pBdr>
      <w:jc w:val="right"/>
    </w:pPr>
    <w:r>
      <w:rPr>
        <w:rFonts w:ascii="Arial" w:cs="Arial" w:eastAsia="Arial" w:hAnsi="Arial"/>
        <w:i/>
        <w:iCs/>
        <w:color w:val="888888"/>
        <w:sz w:val="16"/>
        <w:szCs w:val="16"/>
      </w:rPr>
      <w:t xml:space="preserve">STRATEGIC REVIEW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7"/>
    <w:lvlOverride w:ilvl="0">
      <w:startOverride w:val="1"/>
    </w:lvlOverride>
  </w:num>
  <w:num w:numId="5">
    <w:abstractNumId w:val="8"/>
    <w:lvlOverride w:ilvl="0">
      <w:startOverride w:val="1"/>
    </w:lvlOverride>
  </w:num>
  <w:num w:numId="6">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2026-03-08T03:02:28.244Z</dcterms:created>
  <dcterms:modified xsi:type="dcterms:W3CDTF">2026-03-08T03:02:28.244Z</dcterms:modified>
</cp:coreProperties>
</file>

<file path=docProps/custom.xml><?xml version="1.0" encoding="utf-8"?>
<Properties xmlns="http://schemas.openxmlformats.org/officeDocument/2006/custom-properties" xmlns:vt="http://schemas.openxmlformats.org/officeDocument/2006/docPropsVTypes"/>
</file>