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48"/>
          <w:szCs w:val="48"/>
        </w:rPr>
        <w:t xml:space="preserve">MR-040</w:t>
      </w:r>
    </w:p>
    <w:p>
      <w:pPr>
        <w:spacing w:after="400"/>
        <w:jc w:val="center"/>
      </w:pPr>
      <w:r>
        <w:rPr>
          <w:rFonts w:ascii="Arial" w:cs="Arial" w:eastAsia="Arial" w:hAnsi="Arial"/>
          <w:b/>
          <w:bCs/>
          <w:color w:val="1A1A2E"/>
          <w:sz w:val="40"/>
          <w:szCs w:val="40"/>
        </w:rPr>
        <w:t xml:space="preserve">Red Team Audit</w:t>
      </w:r>
    </w:p>
    <w:p>
      <w:pPr>
        <w:spacing w:after="100"/>
        <w:jc w:val="center"/>
      </w:pPr>
      <w:r>
        <w:rPr>
          <w:rFonts w:ascii="Arial" w:cs="Arial" w:eastAsia="Arial" w:hAnsi="Arial"/>
          <w:color w:val="1A1A2E"/>
          <w:sz w:val="28"/>
          <w:szCs w:val="28"/>
        </w:rPr>
        <w:t xml:space="preserve">Mission Residency Page</w:t>
      </w:r>
    </w:p>
    <w:p>
      <w:pPr>
        <w:spacing w:after="100"/>
        <w:jc w:val="center"/>
      </w:pPr>
      <w:r>
        <w:rPr>
          <w:rFonts w:ascii="Arial" w:cs="Arial" w:eastAsia="Arial" w:hAnsi="Arial"/>
          <w:color w:val="666666"/>
          <w:sz w:val="24"/>
          <w:szCs w:val="24"/>
        </w:rPr>
        <w:t xml:space="preserve">Funnel, UX, and Conversion Analysis</w:t>
      </w:r>
    </w:p>
    <w:p>
      <w:pPr>
        <w:spacing w:after="600"/>
        <w:jc w:val="center"/>
      </w:pPr>
      <w:r>
        <w:rPr>
          <w:rFonts w:ascii="Arial" w:cs="Arial" w:eastAsia="Arial" w:hAnsi="Arial"/>
          <w:color w:val="2E75B6"/>
          <w:sz w:val="20"/>
          <w:szCs w:val="20"/>
        </w:rPr>
        <w:t xml:space="preserve">missionmedinstitute.com/mission-residency</w:t>
      </w:r>
    </w:p>
    <w:p>
      <w:pPr>
        <w:jc w:val="center"/>
      </w:pPr>
      <w:r>
        <w:rPr>
          <w:rFonts w:ascii="Arial" w:cs="Arial" w:eastAsia="Arial" w:hAnsi="Arial"/>
          <w:color w:val="666666"/>
          <w:sz w:val="22"/>
          <w:szCs w:val="22"/>
        </w:rPr>
        <w:t xml:space="preserve">Prepared for Dr. Brian Mark  |  March 13, 2026</w:t>
      </w:r>
    </w:p>
    <w:p>
      <w:r>
        <w:br w:type="page"/>
      </w:r>
    </w:p>
    <w:p>
      <w:pPr>
        <w:pStyle w:val="Heading1"/>
      </w:pPr>
      <w:r>
        <w:rPr>
          <w:rFonts w:ascii="Arial" w:cs="Arial" w:eastAsia="Arial" w:hAnsi="Arial"/>
        </w:rPr>
        <w:t xml:space="preserve">Executive Summary</w:t>
      </w:r>
    </w:p>
    <w:p>
      <w:pPr>
        <w:spacing w:after="200"/>
      </w:pPr>
      <w:r>
        <w:rPr>
          <w:rFonts w:ascii="Arial" w:cs="Arial" w:eastAsia="Arial" w:hAnsi="Arial"/>
          <w:sz w:val="22"/>
          <w:szCs w:val="22"/>
        </w:rPr>
        <w:t xml:space="preserve">This audit evaluates the Mission Residency sales page at missionmedinstitute.com/mission-residency through the lens of a conversion-focused Red Team exercise. The page targets medical graduates seeking residency match mentorship, a high-stakes decision with significant emotional and financial weight.</w:t>
      </w:r>
    </w:p>
    <w:p>
      <w:pPr>
        <w:spacing w:after="200"/>
      </w:pPr>
      <w:r>
        <w:rPr>
          <w:rFonts w:ascii="Arial" w:cs="Arial" w:eastAsia="Arial" w:hAnsi="Arial"/>
          <w:sz w:val="22"/>
          <w:szCs w:val="22"/>
        </w:rPr>
        <w:t xml:space="preserve">The page has strong foundational content: compelling testimonials, a clear problem-solution narrative, and an effective hero section. However, several structural and tactical issues are limiting its conversion potential.</w:t>
      </w:r>
    </w:p>
    <w:p>
      <w:pPr>
        <w:spacing w:after="200"/>
      </w:pPr>
      <w:r>
        <w:rPr>
          <w:rFonts w:ascii="Arial" w:cs="Arial" w:eastAsia="Arial" w:hAnsi="Arial"/>
          <w:b/>
          <w:bCs/>
          <w:sz w:val="22"/>
          <w:szCs w:val="22"/>
        </w:rPr>
        <w:t xml:space="preserve">Top 3 Critical Issues:</w:t>
      </w:r>
      <w:r>
        <w:rPr>
          <w:rFonts w:ascii="Arial" w:cs="Arial" w:eastAsia="Arial" w:hAnsi="Arial"/>
          <w:sz w:val="22"/>
          <w:szCs w:val="22"/>
        </w:rPr>
        <w:t xml:space="preserve"/>
      </w:r>
    </w:p>
    <w:p>
      <w:pPr>
        <w:pStyle w:val="ListParagraph"/>
        <w:numPr>
          <w:ilvl w:val="0"/>
          <w:numId w:val="2"/>
        </w:numPr>
        <w:spacing w:after="120"/>
      </w:pPr>
      <w:r>
        <w:rPr>
          <w:rFonts w:ascii="Arial" w:cs="Arial" w:eastAsia="Arial" w:hAnsi="Arial"/>
          <w:sz w:val="22"/>
          <w:szCs w:val="22"/>
        </w:rPr>
        <w:t xml:space="preserve">Placeholder pricing ($X,XXX) in the Investment section destroys trust at the exact moment a prospect is ready to commit.</w:t>
      </w:r>
    </w:p>
    <w:p>
      <w:pPr>
        <w:pStyle w:val="ListParagraph"/>
        <w:numPr>
          <w:ilvl w:val="0"/>
          <w:numId w:val="2"/>
        </w:numPr>
        <w:spacing w:after="120"/>
      </w:pPr>
      <w:r>
        <w:rPr>
          <w:rFonts w:ascii="Arial" w:cs="Arial" w:eastAsia="Arial" w:hAnsi="Arial"/>
          <w:sz w:val="22"/>
          <w:szCs w:val="22"/>
        </w:rPr>
        <w:t xml:space="preserve">No Dr. Brian authority section exists despite every testimonial referencing him by name. Visitors have no way to evaluate the mentor.</w:t>
      </w:r>
    </w:p>
    <w:p>
      <w:pPr>
        <w:pStyle w:val="ListParagraph"/>
        <w:numPr>
          <w:ilvl w:val="0"/>
          <w:numId w:val="2"/>
        </w:numPr>
        <w:spacing w:after="120"/>
      </w:pPr>
      <w:r>
        <w:rPr>
          <w:rFonts w:ascii="Arial" w:cs="Arial" w:eastAsia="Arial" w:hAnsi="Arial"/>
          <w:sz w:val="22"/>
          <w:szCs w:val="22"/>
        </w:rPr>
        <w:t xml:space="preserve">Seven CTA buttons use four different labels for the same action, creating decision fatigue instead of a clear conversion path.</w:t>
      </w:r>
    </w:p>
    <w:p>
      <w:pPr>
        <w:spacing w:after="200"/>
      </w:pPr>
      <w:r>
        <w:rPr>
          <w:rFonts w:ascii="Arial" w:cs="Arial" w:eastAsia="Arial" w:hAnsi="Arial"/>
          <w:sz w:val="22"/>
          <w:szCs w:val="22"/>
        </w:rPr>
        <w:t xml:space="preserve">This report details all findings across eight audit categories and concludes with a prioritized fix list and a proposed implementation prompt (MR-041).</w:t>
      </w:r>
    </w:p>
    <w:p>
      <w:r>
        <w:br w:type="page"/>
      </w:r>
    </w:p>
    <w:p>
      <w:pPr>
        <w:pStyle w:val="Heading1"/>
      </w:pPr>
      <w:r>
        <w:rPr>
          <w:rFonts w:ascii="Arial" w:cs="Arial" w:eastAsia="Arial" w:hAnsi="Arial"/>
        </w:rPr>
        <w:t xml:space="preserve">1. Funnel Structure Audit</w:t>
      </w:r>
    </w:p>
    <w:p>
      <w:pPr>
        <w:spacing w:after="200"/>
      </w:pPr>
      <w:r>
        <w:rPr>
          <w:rFonts w:ascii="Arial" w:cs="Arial" w:eastAsia="Arial" w:hAnsi="Arial"/>
          <w:sz w:val="22"/>
          <w:szCs w:val="22"/>
        </w:rPr>
        <w:t xml:space="preserve">The page follows a 10-section layout. Below is the current section map with funnel stage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360"/>
        <w:gridCol w:w="30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 Title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Funnel Role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Hero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Attention + CTA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Strong. Patch image, clear headline, dual CTA.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Why Good Applicants Go Unmatched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Problem Agitation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Good structure. Stats bar uses vague labels instead of numbers.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Proof That Strategy Changes Outcomes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Social Proof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testimonials are strong. No aggregate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How Mission Residency Works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Solution / Process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Clear 4-step method. Missing expected outcomes per step.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Why MR Is Different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Differentiation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Comparison table works but could use named competitors.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Find Your Situation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Segmentation / Empathy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Excellent tabbed design. Best section on the page.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Investment in Your Match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Pricing / Conversion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CRITICAL: $X,XXX placeholder. Destroys credibility.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Not Sure Where to Start?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Objection Handler / CTA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Good fallback CTA. Redundant with sections 8-9.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FAQ</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Objection Handler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Standard. Content cut off mid-sentence.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Book Your Free Strategy Session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Final CTA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Calendly embed renders as placeholder/code block.</w:t>
            </w:r>
          </w:p>
        </w:tc>
      </w:tr>
    </w:tbl>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Funnel Diagnosis: </w:t>
      </w:r>
      <w:r>
        <w:rPr>
          <w:rFonts w:ascii="Arial" w:cs="Arial" w:eastAsia="Arial" w:hAnsi="Arial"/>
          <w:sz w:val="22"/>
          <w:szCs w:val="22"/>
        </w:rPr>
        <w:t xml:space="preserve">The page follows a recognizable Problem → Proof → Solution → Differentiation → Price → CTA funnel. The core sequence (sections 0–5) is well-structured. The breakdown occurs in sections 6–9, where three consecutive CTA-adjacent sections create fatigue, the pricing section contains placeholder data, and the final Calendly embed fails to render.</w:t>
      </w:r>
    </w:p>
    <w:p>
      <w:r>
        <w:br w:type="page"/>
      </w:r>
    </w:p>
    <w:p>
      <w:pPr>
        <w:pStyle w:val="Heading1"/>
      </w:pPr>
      <w:r>
        <w:rPr>
          <w:rFonts w:ascii="Arial" w:cs="Arial" w:eastAsia="Arial" w:hAnsi="Arial"/>
        </w:rPr>
        <w:t xml:space="preserve">2. Conversion Friction Analysis</w:t>
      </w:r>
    </w:p>
    <w:p>
      <w:pPr>
        <w:pStyle w:val="Heading2"/>
      </w:pPr>
      <w:r>
        <w:rPr>
          <w:rFonts w:ascii="Arial" w:cs="Arial" w:eastAsia="Arial" w:hAnsi="Arial"/>
        </w:rPr>
        <w:t xml:space="preserve">2.1 CTA Inconsistency</w:t>
      </w:r>
    </w:p>
    <w:p>
      <w:pPr>
        <w:spacing w:after="200"/>
      </w:pPr>
      <w:r>
        <w:rPr>
          <w:rFonts w:ascii="Arial" w:cs="Arial" w:eastAsia="Arial" w:hAnsi="Arial"/>
          <w:sz w:val="22"/>
          <w:szCs w:val="22"/>
        </w:rPr>
        <w:t xml:space="preserve">The page contains 7+ CTA buttons using 4 different labels, all pointing to the same Calendly routing form. This forces the visitor to re-evaluate whether each button leads somewhere different, creating micro-friction at every decision point.</w:t>
      </w:r>
    </w:p>
    <w:p>
      <w:pPr>
        <w:pStyle w:val="ListParagraph"/>
        <w:numPr>
          <w:ilvl w:val="0"/>
          <w:numId w:val="3"/>
        </w:numPr>
        <w:spacing w:after="120"/>
      </w:pPr>
      <w:r>
        <w:rPr>
          <w:rFonts w:ascii="Arial" w:cs="Arial" w:eastAsia="Arial" w:hAnsi="Arial"/>
          <w:sz w:val="22"/>
          <w:szCs w:val="22"/>
        </w:rPr>
        <w:t xml:space="preserve">"START YOUR MATCH JOURNEY" (Hero primary)</w:t>
      </w:r>
    </w:p>
    <w:p>
      <w:pPr>
        <w:pStyle w:val="ListParagraph"/>
        <w:numPr>
          <w:ilvl w:val="0"/>
          <w:numId w:val="3"/>
        </w:numPr>
        <w:spacing w:after="120"/>
      </w:pPr>
      <w:r>
        <w:rPr>
          <w:rFonts w:ascii="Arial" w:cs="Arial" w:eastAsia="Arial" w:hAnsi="Arial"/>
          <w:sz w:val="22"/>
          <w:szCs w:val="22"/>
        </w:rPr>
        <w:t xml:space="preserve">"SEE OUR MATCH RESULTS" (Hero secondary, links to #results)</w:t>
      </w:r>
    </w:p>
    <w:p>
      <w:pPr>
        <w:pStyle w:val="ListParagraph"/>
        <w:numPr>
          <w:ilvl w:val="0"/>
          <w:numId w:val="3"/>
        </w:numPr>
        <w:spacing w:after="120"/>
      </w:pPr>
      <w:r>
        <w:rPr>
          <w:rFonts w:ascii="Arial" w:cs="Arial" w:eastAsia="Arial" w:hAnsi="Arial"/>
          <w:sz w:val="22"/>
          <w:szCs w:val="22"/>
        </w:rPr>
        <w:t xml:space="preserve">"Start Your Strategy Session" (Pricing section)</w:t>
      </w:r>
    </w:p>
    <w:p>
      <w:pPr>
        <w:pStyle w:val="ListParagraph"/>
        <w:numPr>
          <w:ilvl w:val="0"/>
          <w:numId w:val="3"/>
        </w:numPr>
        <w:spacing w:after="120"/>
      </w:pPr>
      <w:r>
        <w:rPr>
          <w:rFonts w:ascii="Arial" w:cs="Arial" w:eastAsia="Arial" w:hAnsi="Arial"/>
          <w:sz w:val="22"/>
          <w:szCs w:val="22"/>
        </w:rPr>
        <w:t xml:space="preserve">"Schedule Your Strategy Consultation" (Section 7)</w:t>
      </w:r>
    </w:p>
    <w:p>
      <w:pPr>
        <w:pStyle w:val="ListParagraph"/>
        <w:numPr>
          <w:ilvl w:val="0"/>
          <w:numId w:val="3"/>
        </w:numPr>
        <w:spacing w:after="120"/>
      </w:pPr>
      <w:r>
        <w:rPr>
          <w:rFonts w:ascii="Arial" w:cs="Arial" w:eastAsia="Arial" w:hAnsi="Arial"/>
          <w:sz w:val="22"/>
          <w:szCs w:val="22"/>
        </w:rPr>
        <w:t xml:space="preserve">"Book Your Free Strategy Session" (Section 9 heading)</w:t>
      </w:r>
    </w:p>
    <w:p>
      <w:pPr>
        <w:spacing w:after="200"/>
      </w:pPr>
      <w:r>
        <w:rPr>
          <w:rFonts w:ascii="Arial" w:cs="Arial" w:eastAsia="Arial" w:hAnsi="Arial"/>
          <w:sz w:val="22"/>
          <w:szCs w:val="22"/>
        </w:rPr>
        <w:t xml:space="preserve">Recommendation: Standardize on one primary CTA label (e.g., "Book Your Free Strategy Session") and one secondary label (e.g., "See Match Results"). Use the primary label consistently on all conversion buttons.</w:t>
      </w:r>
    </w:p>
    <w:p>
      <w:pPr>
        <w:pStyle w:val="Heading2"/>
      </w:pPr>
      <w:r>
        <w:rPr>
          <w:rFonts w:ascii="Arial" w:cs="Arial" w:eastAsia="Arial" w:hAnsi="Arial"/>
        </w:rPr>
        <w:t xml:space="preserve">2.2 Placeholder Pricing</w:t>
      </w:r>
    </w:p>
    <w:p>
      <w:pPr>
        <w:spacing w:after="200"/>
      </w:pPr>
      <w:r>
        <w:rPr>
          <w:rFonts w:ascii="Arial" w:cs="Arial" w:eastAsia="Arial" w:hAnsi="Arial"/>
          <w:sz w:val="22"/>
          <w:szCs w:val="22"/>
        </w:rPr>
        <w:t xml:space="preserve">Section 6 displays "$X,XXX" as the price. This is the single highest-friction element on the page. At the exact moment a prospect is emotionally ready to commit, they encounter what looks like an unfinished page. This signals either that the price is being hidden intentionally or that the page is not maintained, both of which erode trust.</w:t>
      </w:r>
    </w:p>
    <w:p>
      <w:pPr>
        <w:spacing w:after="200"/>
      </w:pPr>
      <w:r>
        <w:rPr>
          <w:rFonts w:ascii="Arial" w:cs="Arial" w:eastAsia="Arial" w:hAnsi="Arial"/>
          <w:b/>
          <w:bCs/>
          <w:sz w:val="22"/>
          <w:szCs w:val="22"/>
        </w:rPr>
        <w:t xml:space="preserve">Options: </w:t>
      </w:r>
      <w:r>
        <w:rPr>
          <w:rFonts w:ascii="Arial" w:cs="Arial" w:eastAsia="Arial" w:hAnsi="Arial"/>
          <w:sz w:val="22"/>
          <w:szCs w:val="22"/>
        </w:rPr>
        <w:t xml:space="preserve">Display the actual price, display a price range ("$2,000–$4,000 depending on your situation"), or remove the pricing section entirely and let the consultation call handle pricing.</w:t>
      </w:r>
    </w:p>
    <w:p>
      <w:pPr>
        <w:pStyle w:val="Heading2"/>
      </w:pPr>
      <w:r>
        <w:rPr>
          <w:rFonts w:ascii="Arial" w:cs="Arial" w:eastAsia="Arial" w:hAnsi="Arial"/>
        </w:rPr>
        <w:t xml:space="preserve">2.3 CTA Fatigue at Page Bottom</w:t>
      </w:r>
    </w:p>
    <w:p>
      <w:pPr>
        <w:spacing w:after="200"/>
      </w:pPr>
      <w:r>
        <w:rPr>
          <w:rFonts w:ascii="Arial" w:cs="Arial" w:eastAsia="Arial" w:hAnsi="Arial"/>
          <w:sz w:val="22"/>
          <w:szCs w:val="22"/>
        </w:rPr>
        <w:t xml:space="preserve">Sections 7, 8, and 9 are all CTA-adjacent: a consultation pitch, FAQ, and another consultation pitch with a Calendly embed. A visitor scrolling through these encounters three consecutive asks to book a call. After the first, each additional ask feels pushy rather than helpful.</w:t>
      </w:r>
    </w:p>
    <w:p>
      <w:pPr>
        <w:spacing w:after="200"/>
      </w:pPr>
      <w:r>
        <w:rPr>
          <w:rFonts w:ascii="Arial" w:cs="Arial" w:eastAsia="Arial" w:hAnsi="Arial"/>
          <w:b/>
          <w:bCs/>
          <w:sz w:val="22"/>
          <w:szCs w:val="22"/>
        </w:rPr>
        <w:t xml:space="preserve">Recommendation: </w:t>
      </w:r>
      <w:r>
        <w:rPr>
          <w:rFonts w:ascii="Arial" w:cs="Arial" w:eastAsia="Arial" w:hAnsi="Arial"/>
          <w:sz w:val="22"/>
          <w:szCs w:val="22"/>
        </w:rPr>
        <w:t xml:space="preserve">Consolidate sections 7 and 9 into one final CTA section. Place FAQ before it as an objection handler, then close with one clean booking section.</w:t>
      </w:r>
    </w:p>
    <w:p>
      <w:pPr>
        <w:pStyle w:val="Heading2"/>
      </w:pPr>
      <w:r>
        <w:rPr>
          <w:rFonts w:ascii="Arial" w:cs="Arial" w:eastAsia="Arial" w:hAnsi="Arial"/>
        </w:rPr>
        <w:t xml:space="preserve">2.4 Broken Calendly Embed</w:t>
      </w:r>
    </w:p>
    <w:p>
      <w:pPr>
        <w:spacing w:after="200"/>
      </w:pPr>
      <w:r>
        <w:rPr>
          <w:rFonts w:ascii="Arial" w:cs="Arial" w:eastAsia="Arial" w:hAnsi="Arial"/>
          <w:sz w:val="22"/>
          <w:szCs w:val="22"/>
        </w:rPr>
        <w:t xml:space="preserve">Section 9 contains a Calendly inline embed widget, but it renders as a code placeholder rather than an interactive booking form. This means the final CTA, the one designed to close the conversion, is non-functional. Visitors who scroll to the very bottom of the page and are ready to book see a broken widget.</w:t>
      </w:r>
    </w:p>
    <w:p>
      <w:r>
        <w:br w:type="page"/>
      </w:r>
    </w:p>
    <w:p>
      <w:pPr>
        <w:pStyle w:val="Heading1"/>
      </w:pPr>
      <w:r>
        <w:rPr>
          <w:rFonts w:ascii="Arial" w:cs="Arial" w:eastAsia="Arial" w:hAnsi="Arial"/>
        </w:rPr>
        <w:t xml:space="preserve">3. Trust and Authority Signals</w:t>
      </w:r>
    </w:p>
    <w:p>
      <w:pPr>
        <w:pStyle w:val="Heading2"/>
      </w:pPr>
      <w:r>
        <w:rPr>
          <w:rFonts w:ascii="Arial" w:cs="Arial" w:eastAsia="Arial" w:hAnsi="Arial"/>
        </w:rPr>
        <w:t xml:space="preserve">3.1 Missing Mentor Introduction</w:t>
      </w:r>
    </w:p>
    <w:p>
      <w:pPr>
        <w:spacing w:after="200"/>
      </w:pPr>
      <w:r>
        <w:rPr>
          <w:rFonts w:ascii="Arial" w:cs="Arial" w:eastAsia="Arial" w:hAnsi="Arial"/>
          <w:sz w:val="22"/>
          <w:szCs w:val="22"/>
        </w:rPr>
        <w:t xml:space="preserve">Every testimonial on the page references "Dr. Brian," "Dr. B," or "Dr. Brian Mark" by name. He is clearly the product. Yet there is no section introducing who he is, what his credentials are, or why he is uniquely qualified to mentor residency applicants. A visitor arriving from an ad or referral has no way to evaluate the mentor behind the program.</w:t>
      </w:r>
    </w:p>
    <w:p>
      <w:pPr>
        <w:spacing w:after="200"/>
      </w:pPr>
      <w:r>
        <w:rPr>
          <w:rFonts w:ascii="Arial" w:cs="Arial" w:eastAsia="Arial" w:hAnsi="Arial"/>
          <w:b/>
          <w:bCs/>
          <w:sz w:val="22"/>
          <w:szCs w:val="22"/>
        </w:rPr>
        <w:t xml:space="preserve">Recommendation: </w:t>
      </w:r>
      <w:r>
        <w:rPr>
          <w:rFonts w:ascii="Arial" w:cs="Arial" w:eastAsia="Arial" w:hAnsi="Arial"/>
          <w:sz w:val="22"/>
          <w:szCs w:val="22"/>
        </w:rPr>
        <w:t xml:space="preserve">Add a "Meet Dr. Brian" section between the methodology (section 3) and the differentiation comparison (section 4). Include a professional photo, brief bio, relevant credentials, and a short narrative about why he built Mission Residency.</w:t>
      </w:r>
    </w:p>
    <w:p>
      <w:pPr>
        <w:pStyle w:val="Heading2"/>
      </w:pPr>
      <w:r>
        <w:rPr>
          <w:rFonts w:ascii="Arial" w:cs="Arial" w:eastAsia="Arial" w:hAnsi="Arial"/>
        </w:rPr>
        <w:t xml:space="preserve">3.2 Vague Statistics</w:t>
      </w:r>
    </w:p>
    <w:p>
      <w:pPr>
        <w:spacing w:after="200"/>
      </w:pPr>
      <w:r>
        <w:rPr>
          <w:rFonts w:ascii="Arial" w:cs="Arial" w:eastAsia="Arial" w:hAnsi="Arial"/>
          <w:sz w:val="22"/>
          <w:szCs w:val="22"/>
        </w:rPr>
        <w:t xml:space="preserve">The stats bar in section 1 displays three metrics: "500+" (Students Mentored), "Multi-Cycle" (Applicants Matched), and "IMGs &amp; Caribbean" (Graduates Supported). Only the first is a real number. "Multi-Cycle" and "IMGs &amp; Caribbean" are descriptive labels, not quantifiable proof. These feel like placeholders rather than evidence.</w:t>
      </w:r>
    </w:p>
    <w:p>
      <w:pPr>
        <w:spacing w:after="200"/>
      </w:pPr>
      <w:r>
        <w:rPr>
          <w:rFonts w:ascii="Arial" w:cs="Arial" w:eastAsia="Arial" w:hAnsi="Arial"/>
          <w:b/>
          <w:bCs/>
          <w:sz w:val="22"/>
          <w:szCs w:val="22"/>
        </w:rPr>
        <w:t xml:space="preserve">Recommendation: </w:t>
      </w:r>
      <w:r>
        <w:rPr>
          <w:rFonts w:ascii="Arial" w:cs="Arial" w:eastAsia="Arial" w:hAnsi="Arial"/>
          <w:sz w:val="22"/>
          <w:szCs w:val="22"/>
        </w:rPr>
        <w:t xml:space="preserve">Replace with specific numbers. For example: "85%+ Match Rate," "200+ Multi-Cycle Applicants Matched," "300+ IMG Graduates Supported." If exact numbers are unavailable, use defensible ranges.</w:t>
      </w:r>
    </w:p>
    <w:p>
      <w:pPr>
        <w:pStyle w:val="Heading2"/>
      </w:pPr>
      <w:r>
        <w:rPr>
          <w:rFonts w:ascii="Arial" w:cs="Arial" w:eastAsia="Arial" w:hAnsi="Arial"/>
        </w:rPr>
        <w:t xml:space="preserve">3.3 No Outcome Data</w:t>
      </w:r>
    </w:p>
    <w:p>
      <w:pPr>
        <w:spacing w:after="200"/>
      </w:pPr>
      <w:r>
        <w:rPr>
          <w:rFonts w:ascii="Arial" w:cs="Arial" w:eastAsia="Arial" w:hAnsi="Arial"/>
          <w:sz w:val="22"/>
          <w:szCs w:val="22"/>
        </w:rPr>
        <w:t xml:space="preserve">The page claims 500+ students mentored but never states a match rate. For a high-stakes decision (residency match mentorship costing thousands of dollars), prospective clients need aggregate outcome data. Testimonials provide emotional proof; numbers provide rational justification.</w:t>
      </w:r>
    </w:p>
    <w:p>
      <w:pPr>
        <w:spacing w:after="200"/>
      </w:pPr>
      <w:r>
        <w:rPr>
          <w:rFonts w:ascii="Arial" w:cs="Arial" w:eastAsia="Arial" w:hAnsi="Arial"/>
          <w:b/>
          <w:bCs/>
          <w:sz w:val="22"/>
          <w:szCs w:val="22"/>
        </w:rPr>
        <w:t xml:space="preserve">Recommendation: </w:t>
      </w:r>
      <w:r>
        <w:rPr>
          <w:rFonts w:ascii="Arial" w:cs="Arial" w:eastAsia="Arial" w:hAnsi="Arial"/>
          <w:sz w:val="22"/>
          <w:szCs w:val="22"/>
        </w:rPr>
        <w:t xml:space="preserve">Add a match rate statistic, even if framed conservatively: "Over 85% of Mission Residency mentees have matched into residency programs."</w:t>
      </w:r>
    </w:p>
    <w:p>
      <w:pPr>
        <w:pStyle w:val="Heading2"/>
      </w:pPr>
      <w:r>
        <w:rPr>
          <w:rFonts w:ascii="Arial" w:cs="Arial" w:eastAsia="Arial" w:hAnsi="Arial"/>
        </w:rPr>
        <w:t xml:space="preserve">3.4 No External Validation</w:t>
      </w:r>
    </w:p>
    <w:p>
      <w:pPr>
        <w:spacing w:after="200"/>
      </w:pPr>
      <w:r>
        <w:rPr>
          <w:rFonts w:ascii="Arial" w:cs="Arial" w:eastAsia="Arial" w:hAnsi="Arial"/>
          <w:sz w:val="22"/>
          <w:szCs w:val="22"/>
        </w:rPr>
        <w:t xml:space="preserve">There are no logos, institutional affiliations, media mentions, or third-party endorsements. The page relies entirely on self-reported testimonials. Adding even one external signal (e.g., "Featured in...", "Trusted by graduates from 40+ medical schools") would meaningfully increase credibility.</w:t>
      </w:r>
    </w:p>
    <w:p>
      <w:r>
        <w:br w:type="page"/>
      </w:r>
    </w:p>
    <w:p>
      <w:pPr>
        <w:pStyle w:val="Heading1"/>
      </w:pPr>
      <w:r>
        <w:rPr>
          <w:rFonts w:ascii="Arial" w:cs="Arial" w:eastAsia="Arial" w:hAnsi="Arial"/>
        </w:rPr>
        <w:t xml:space="preserve">4. Messaging Quality</w:t>
      </w:r>
    </w:p>
    <w:p>
      <w:pPr>
        <w:pStyle w:val="Heading2"/>
      </w:pPr>
      <w:r>
        <w:rPr>
          <w:rFonts w:ascii="Arial" w:cs="Arial" w:eastAsia="Arial" w:hAnsi="Arial"/>
        </w:rPr>
        <w:t xml:space="preserve">4.1 Headline and Subheadline</w:t>
      </w:r>
    </w:p>
    <w:p>
      <w:pPr>
        <w:spacing w:after="200"/>
      </w:pPr>
      <w:r>
        <w:rPr>
          <w:rFonts w:ascii="Arial" w:cs="Arial" w:eastAsia="Arial" w:hAnsi="Arial"/>
          <w:sz w:val="22"/>
          <w:szCs w:val="22"/>
        </w:rPr>
        <w:t xml:space="preserve">The hero headline "Your Red Flags Don’t Define Your Match" is strong. It directly addresses the core fear of the target audience (IMGs, reapplicants, those with low scores or gaps) and reframes it as solvable. The subheadline effectively positions the product as a mentorship program that has helped 500+ graduates.</w:t>
      </w:r>
    </w:p>
    <w:p>
      <w:pPr>
        <w:spacing w:after="200"/>
      </w:pPr>
      <w:r>
        <w:rPr>
          <w:rFonts w:ascii="Arial" w:cs="Arial" w:eastAsia="Arial" w:hAnsi="Arial"/>
          <w:b/>
          <w:bCs/>
          <w:sz w:val="22"/>
          <w:szCs w:val="22"/>
        </w:rPr>
        <w:t xml:space="preserve">Assessment: </w:t>
      </w:r>
      <w:r>
        <w:rPr>
          <w:rFonts w:ascii="Arial" w:cs="Arial" w:eastAsia="Arial" w:hAnsi="Arial"/>
          <w:sz w:val="22"/>
          <w:szCs w:val="22"/>
        </w:rPr>
        <w:t xml:space="preserve">9/10. The headline does its job. No change needed.</w:t>
      </w:r>
    </w:p>
    <w:p>
      <w:pPr>
        <w:pStyle w:val="Heading2"/>
      </w:pPr>
      <w:r>
        <w:rPr>
          <w:rFonts w:ascii="Arial" w:cs="Arial" w:eastAsia="Arial" w:hAnsi="Arial"/>
        </w:rPr>
        <w:t xml:space="preserve">4.2 Problem Agitation (Section 1)</w:t>
      </w:r>
    </w:p>
    <w:p>
      <w:pPr>
        <w:spacing w:after="200"/>
      </w:pPr>
      <w:r>
        <w:rPr>
          <w:rFonts w:ascii="Arial" w:cs="Arial" w:eastAsia="Arial" w:hAnsi="Arial"/>
          <w:sz w:val="22"/>
          <w:szCs w:val="22"/>
        </w:rPr>
        <w:t xml:space="preserve">The three-problem framework (Weak Interview Positioning, Invisible Red Flags, No Strategic Mentor) is well-chosen and mirrors the actual pain points of the audience. The copy under each problem is specific without being overwhelming.</w:t>
      </w:r>
    </w:p>
    <w:p>
      <w:pPr>
        <w:spacing w:after="200"/>
      </w:pPr>
      <w:r>
        <w:rPr>
          <w:rFonts w:ascii="Arial" w:cs="Arial" w:eastAsia="Arial" w:hAnsi="Arial"/>
          <w:b/>
          <w:bCs/>
          <w:sz w:val="22"/>
          <w:szCs w:val="22"/>
        </w:rPr>
        <w:t xml:space="preserve">Assessment: </w:t>
      </w:r>
      <w:r>
        <w:rPr>
          <w:rFonts w:ascii="Arial" w:cs="Arial" w:eastAsia="Arial" w:hAnsi="Arial"/>
          <w:sz w:val="22"/>
          <w:szCs w:val="22"/>
        </w:rPr>
        <w:t xml:space="preserve">8/10. Could be strengthened with a specific data point (e.g., "40% of qualified applicants go unmatched each year").</w:t>
      </w:r>
    </w:p>
    <w:p>
      <w:pPr>
        <w:pStyle w:val="Heading2"/>
      </w:pPr>
      <w:r>
        <w:rPr>
          <w:rFonts w:ascii="Arial" w:cs="Arial" w:eastAsia="Arial" w:hAnsi="Arial"/>
        </w:rPr>
        <w:t xml:space="preserve">4.3 Testimonials</w:t>
      </w:r>
    </w:p>
    <w:p>
      <w:pPr>
        <w:spacing w:after="200"/>
      </w:pPr>
      <w:r>
        <w:rPr>
          <w:rFonts w:ascii="Arial" w:cs="Arial" w:eastAsia="Arial" w:hAnsi="Arial"/>
          <w:sz w:val="22"/>
          <w:szCs w:val="22"/>
        </w:rPr>
        <w:t xml:space="preserve">The testimonials are the strongest asset on the page. They are specific ("5 match cycles," "12-year YOG," "15-year YOG graduate from India"), emotional, and name real outcomes. Each includes the person’s name, specialty, and match year. This is best-practice social proof.</w:t>
      </w:r>
    </w:p>
    <w:p>
      <w:pPr>
        <w:spacing w:after="200"/>
      </w:pPr>
      <w:r>
        <w:rPr>
          <w:rFonts w:ascii="Arial" w:cs="Arial" w:eastAsia="Arial" w:hAnsi="Arial"/>
          <w:b/>
          <w:bCs/>
          <w:sz w:val="22"/>
          <w:szCs w:val="22"/>
        </w:rPr>
        <w:t xml:space="preserve">Assessment: </w:t>
      </w:r>
      <w:r>
        <w:rPr>
          <w:rFonts w:ascii="Arial" w:cs="Arial" w:eastAsia="Arial" w:hAnsi="Arial"/>
          <w:sz w:val="22"/>
          <w:szCs w:val="22"/>
        </w:rPr>
        <w:t xml:space="preserve">9/10. Consider adding one more from a US-MD applicant if available, to broaden perceived scope.</w:t>
      </w:r>
    </w:p>
    <w:p>
      <w:pPr>
        <w:pStyle w:val="Heading2"/>
      </w:pPr>
      <w:r>
        <w:rPr>
          <w:rFonts w:ascii="Arial" w:cs="Arial" w:eastAsia="Arial" w:hAnsi="Arial"/>
        </w:rPr>
        <w:t xml:space="preserve">4.4 Differentiation Copy</w:t>
      </w:r>
    </w:p>
    <w:p>
      <w:pPr>
        <w:spacing w:after="200"/>
      </w:pPr>
      <w:r>
        <w:rPr>
          <w:rFonts w:ascii="Arial" w:cs="Arial" w:eastAsia="Arial" w:hAnsi="Arial"/>
          <w:sz w:val="22"/>
          <w:szCs w:val="22"/>
        </w:rPr>
        <w:t xml:space="preserve">The Traditional Advising vs. Mission Residency comparison is effective conceptually but uses generic language on the traditional side ("Generic advice," "Application checklists," "Surface-level interview tips"). Naming actual competitor weaknesses or common advising formats would make the comparison more concrete.</w:t>
      </w:r>
    </w:p>
    <w:p>
      <w:pPr>
        <w:spacing w:after="200"/>
      </w:pPr>
      <w:r>
        <w:rPr>
          <w:rFonts w:ascii="Arial" w:cs="Arial" w:eastAsia="Arial" w:hAnsi="Arial"/>
          <w:b/>
          <w:bCs/>
          <w:sz w:val="22"/>
          <w:szCs w:val="22"/>
        </w:rPr>
        <w:t xml:space="preserve">Assessment: </w:t>
      </w:r>
      <w:r>
        <w:rPr>
          <w:rFonts w:ascii="Arial" w:cs="Arial" w:eastAsia="Arial" w:hAnsi="Arial"/>
          <w:sz w:val="22"/>
          <w:szCs w:val="22"/>
        </w:rPr>
        <w:t xml:space="preserve">6/10. Needs specificity to land. "Generic advice" is itself generic.</w:t>
      </w:r>
    </w:p>
    <w:p>
      <w:pPr>
        <w:pStyle w:val="Heading2"/>
      </w:pPr>
      <w:r>
        <w:rPr>
          <w:rFonts w:ascii="Arial" w:cs="Arial" w:eastAsia="Arial" w:hAnsi="Arial"/>
        </w:rPr>
        <w:t xml:space="preserve">4.5 Urgency and Scarcity</w:t>
      </w:r>
    </w:p>
    <w:p>
      <w:pPr>
        <w:spacing w:after="200"/>
      </w:pPr>
      <w:r>
        <w:rPr>
          <w:rFonts w:ascii="Arial" w:cs="Arial" w:eastAsia="Arial" w:hAnsi="Arial"/>
          <w:sz w:val="22"/>
          <w:szCs w:val="22"/>
        </w:rPr>
        <w:t xml:space="preserve">There are zero urgency signals on the page. No mention of Match cycle deadlines, limited mentorship spots, enrollment windows, or time-sensitive factors. Given that the Match process has a fixed annual timeline, this is a significant missed opportunity.</w:t>
      </w:r>
    </w:p>
    <w:p>
      <w:pPr>
        <w:spacing w:after="200"/>
      </w:pPr>
      <w:r>
        <w:rPr>
          <w:rFonts w:ascii="Arial" w:cs="Arial" w:eastAsia="Arial" w:hAnsi="Arial"/>
          <w:b/>
          <w:bCs/>
          <w:sz w:val="22"/>
          <w:szCs w:val="22"/>
        </w:rPr>
        <w:t xml:space="preserve">Recommendation: </w:t>
      </w:r>
      <w:r>
        <w:rPr>
          <w:rFonts w:ascii="Arial" w:cs="Arial" w:eastAsia="Arial" w:hAnsi="Arial"/>
          <w:sz w:val="22"/>
          <w:szCs w:val="22"/>
        </w:rPr>
        <w:t xml:space="preserve">Add a contextual urgency bar or callout: "The 2027 Match cycle application window opens in September. Preparation should begin now." Or: "Dr. Brian works with a limited number of applicants each season to ensure personalized mentorship."</w:t>
      </w:r>
    </w:p>
    <w:p>
      <w:r>
        <w:br w:type="page"/>
      </w:r>
    </w:p>
    <w:p>
      <w:pPr>
        <w:pStyle w:val="Heading1"/>
      </w:pPr>
      <w:r>
        <w:rPr>
          <w:rFonts w:ascii="Arial" w:cs="Arial" w:eastAsia="Arial" w:hAnsi="Arial"/>
        </w:rPr>
        <w:t xml:space="preserve">5. UX / Layout Audit</w:t>
      </w:r>
    </w:p>
    <w:p>
      <w:pPr>
        <w:pStyle w:val="Heading2"/>
      </w:pPr>
      <w:r>
        <w:rPr>
          <w:rFonts w:ascii="Arial" w:cs="Arial" w:eastAsia="Arial" w:hAnsi="Arial"/>
        </w:rPr>
        <w:t xml:space="preserve">5.1 Visual Flow</w:t>
      </w:r>
    </w:p>
    <w:p>
      <w:pPr>
        <w:spacing w:after="200"/>
      </w:pPr>
      <w:r>
        <w:rPr>
          <w:rFonts w:ascii="Arial" w:cs="Arial" w:eastAsia="Arial" w:hAnsi="Arial"/>
          <w:sz w:val="22"/>
          <w:szCs w:val="22"/>
        </w:rPr>
        <w:t xml:space="preserve">The page uses a dark theme (#1A1A2E background) throughout sections 0–5, then abruptly switches to a light background (#F8FAFC) for the pricing section (6), back to dark for section 7, and oscillates again. This inconsistency disrupts the visual rhythm and makes the pricing section feel disconnected from the rest of the page.</w:t>
      </w:r>
    </w:p>
    <w:p>
      <w:pPr>
        <w:spacing w:after="200"/>
      </w:pPr>
      <w:r>
        <w:rPr>
          <w:rFonts w:ascii="Arial" w:cs="Arial" w:eastAsia="Arial" w:hAnsi="Arial"/>
          <w:b/>
          <w:bCs/>
          <w:sz w:val="22"/>
          <w:szCs w:val="22"/>
        </w:rPr>
        <w:t xml:space="preserve">Recommendation: </w:t>
      </w:r>
      <w:r>
        <w:rPr>
          <w:rFonts w:ascii="Arial" w:cs="Arial" w:eastAsia="Arial" w:hAnsi="Arial"/>
          <w:sz w:val="22"/>
          <w:szCs w:val="22"/>
        </w:rPr>
        <w:t xml:space="preserve">Maintain the dark theme throughout, or use the light background strategically for one emphasis section only (such as the final CTA).</w:t>
      </w:r>
    </w:p>
    <w:p>
      <w:pPr>
        <w:pStyle w:val="Heading2"/>
      </w:pPr>
      <w:r>
        <w:rPr>
          <w:rFonts w:ascii="Arial" w:cs="Arial" w:eastAsia="Arial" w:hAnsi="Arial"/>
        </w:rPr>
        <w:t xml:space="preserve">5.2 Section Length</w:t>
      </w:r>
    </w:p>
    <w:p>
      <w:pPr>
        <w:spacing w:after="200"/>
      </w:pPr>
      <w:r>
        <w:rPr>
          <w:rFonts w:ascii="Arial" w:cs="Arial" w:eastAsia="Arial" w:hAnsi="Arial"/>
          <w:sz w:val="22"/>
          <w:szCs w:val="22"/>
        </w:rPr>
        <w:t xml:space="preserve">The page is very long (approximately 850 lines of rendered text across 10 sections). The bottom three sections (7, 8, 9) repeat the same message: book a consultation. This makes the page feel like it doesn’t know where to end. Most visitors will not scroll past the pricing section.</w:t>
      </w:r>
    </w:p>
    <w:p>
      <w:pPr>
        <w:spacing w:after="200"/>
      </w:pPr>
      <w:r>
        <w:rPr>
          <w:rFonts w:ascii="Arial" w:cs="Arial" w:eastAsia="Arial" w:hAnsi="Arial"/>
          <w:b/>
          <w:bCs/>
          <w:sz w:val="22"/>
          <w:szCs w:val="22"/>
        </w:rPr>
        <w:t xml:space="preserve">Recommendation: </w:t>
      </w:r>
      <w:r>
        <w:rPr>
          <w:rFonts w:ascii="Arial" w:cs="Arial" w:eastAsia="Arial" w:hAnsi="Arial"/>
          <w:sz w:val="22"/>
          <w:szCs w:val="22"/>
        </w:rPr>
        <w:t xml:space="preserve">Merge sections 7 and 9. Place FAQ (section 8) immediately after pricing, then close with one combined CTA + Calendly embed.</w:t>
      </w:r>
    </w:p>
    <w:p>
      <w:pPr>
        <w:pStyle w:val="Heading2"/>
      </w:pPr>
      <w:r>
        <w:rPr>
          <w:rFonts w:ascii="Arial" w:cs="Arial" w:eastAsia="Arial" w:hAnsi="Arial"/>
        </w:rPr>
        <w:t xml:space="preserve">5.3 Mobile Responsiveness</w:t>
      </w:r>
    </w:p>
    <w:p>
      <w:pPr>
        <w:spacing w:after="200"/>
      </w:pPr>
      <w:r>
        <w:rPr>
          <w:rFonts w:ascii="Arial" w:cs="Arial" w:eastAsia="Arial" w:hAnsi="Arial"/>
          <w:sz w:val="22"/>
          <w:szCs w:val="22"/>
        </w:rPr>
        <w:t xml:space="preserve">The hero section inherits responsive CSS from the ExamPrep template (42% container width, flex layout). However, mobile rendering was not fully verified during rebuild. The tabbed "Find Your Situation" section (5) may have usability issues on smaller screens if tabs stack vertically without clear affordances.</w:t>
      </w:r>
    </w:p>
    <w:p>
      <w:pPr>
        <w:spacing w:after="200"/>
      </w:pPr>
      <w:r>
        <w:rPr>
          <w:rFonts w:ascii="Arial" w:cs="Arial" w:eastAsia="Arial" w:hAnsi="Arial"/>
          <w:b/>
          <w:bCs/>
          <w:sz w:val="22"/>
          <w:szCs w:val="22"/>
        </w:rPr>
        <w:t xml:space="preserve">Recommendation: </w:t>
      </w:r>
      <w:r>
        <w:rPr>
          <w:rFonts w:ascii="Arial" w:cs="Arial" w:eastAsia="Arial" w:hAnsi="Arial"/>
          <w:sz w:val="22"/>
          <w:szCs w:val="22"/>
        </w:rPr>
        <w:t xml:space="preserve">Conduct a dedicated mobile audit (recommended for MR-042). Test hero, tabs, stats bar, and pricing section at 390px width.</w:t>
      </w:r>
    </w:p>
    <w:p>
      <w:pPr>
        <w:pStyle w:val="Heading2"/>
      </w:pPr>
      <w:r>
        <w:rPr>
          <w:rFonts w:ascii="Arial" w:cs="Arial" w:eastAsia="Arial" w:hAnsi="Arial"/>
        </w:rPr>
        <w:t xml:space="preserve">5.4 Anchor Navigation</w:t>
      </w:r>
    </w:p>
    <w:p>
      <w:pPr>
        <w:spacing w:after="200"/>
      </w:pPr>
      <w:r>
        <w:rPr>
          <w:rFonts w:ascii="Arial" w:cs="Arial" w:eastAsia="Arial" w:hAnsi="Arial"/>
          <w:sz w:val="22"/>
          <w:szCs w:val="22"/>
        </w:rPr>
        <w:t xml:space="preserve">The hero secondary CTA links to #results, which should scroll to the testimonials section. The #contact anchor (if used elsewhere) was found to not navigate correctly during testing. Anchor IDs should be verified across all sections.</w:t>
      </w:r>
    </w:p>
    <w:p>
      <w:r>
        <w:br w:type="page"/>
      </w:r>
    </w:p>
    <w:p>
      <w:pPr>
        <w:pStyle w:val="Heading1"/>
      </w:pPr>
      <w:r>
        <w:rPr>
          <w:rFonts w:ascii="Arial" w:cs="Arial" w:eastAsia="Arial" w:hAnsi="Arial"/>
        </w:rPr>
        <w:t xml:space="preserve">6. Competitor Benchmark</w:t>
      </w:r>
    </w:p>
    <w:p>
      <w:pPr>
        <w:spacing w:after="200"/>
      </w:pPr>
      <w:r>
        <w:rPr>
          <w:rFonts w:ascii="Arial" w:cs="Arial" w:eastAsia="Arial" w:hAnsi="Arial"/>
          <w:sz w:val="22"/>
          <w:szCs w:val="22"/>
        </w:rPr>
        <w:t xml:space="preserve">Mission Residency operates in the residency match mentorship space alongside several established competitors. The following comparison highlights where the page stands relative to common industry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Element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Mission Residency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Match A Resident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Industry Standard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Mentor Bio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C0392B"/>
                <w:sz w:val="20"/>
                <w:szCs w:val="20"/>
              </w:rPr>
              <w:t xml:space="preserve">Missing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Prominent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Match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C0392B"/>
                <w:sz w:val="20"/>
                <w:szCs w:val="20"/>
              </w:rPr>
              <w:t xml:space="preserve">Not stated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Prominently displayed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C0392B"/>
                <w:sz w:val="20"/>
                <w:szCs w:val="20"/>
              </w:rPr>
              <w:t xml:space="preserve">Placeholder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Tiered / 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Visible or on-call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Testimonials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7AE60"/>
                <w:sz w:val="20"/>
                <w:szCs w:val="20"/>
              </w:rPr>
              <w:t xml:space="preserve">Strong (named, specific)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Video + written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3–5 minimum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Process Clarity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7AE60"/>
                <w:sz w:val="20"/>
                <w:szCs w:val="20"/>
              </w:rPr>
              <w:t xml:space="preserve">Good (4 steps)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Detailed timeline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Urgency Signals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C0392B"/>
                <w:sz w:val="20"/>
                <w:szCs w:val="20"/>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Enrollment deadlines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Common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Video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E67E22"/>
                <w:sz w:val="20"/>
                <w:szCs w:val="20"/>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YouTube + 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Increasingly expected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Segmentation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7AE60"/>
                <w:sz w:val="20"/>
                <w:szCs w:val="20"/>
              </w:rPr>
              <w:t xml:space="preserve">Excellent (tabbed)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By specialty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Varies</w:t>
            </w:r>
          </w:p>
        </w:tc>
      </w:tr>
    </w:tbl>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Key Gaps: </w:t>
      </w:r>
      <w:r>
        <w:rPr>
          <w:rFonts w:ascii="Arial" w:cs="Arial" w:eastAsia="Arial" w:hAnsi="Arial"/>
          <w:sz w:val="22"/>
          <w:szCs w:val="22"/>
        </w:rPr>
        <w:t xml:space="preserve">Mentor bio, match rate data, and urgency signals are the three areas where Mission Residency falls behind competitor standards. The tabbed segmentation and testimonial quality are competitive advantages.</w:t>
      </w:r>
    </w:p>
    <w:p>
      <w:r>
        <w:br w:type="page"/>
      </w:r>
    </w:p>
    <w:p>
      <w:pPr>
        <w:pStyle w:val="Heading1"/>
      </w:pPr>
      <w:r>
        <w:rPr>
          <w:rFonts w:ascii="Arial" w:cs="Arial" w:eastAsia="Arial" w:hAnsi="Arial"/>
        </w:rPr>
        <w:t xml:space="preserve">7. Immediate Fix List (Prioritized)</w:t>
      </w:r>
    </w:p>
    <w:p>
      <w:pPr>
        <w:spacing w:after="200"/>
      </w:pPr>
      <w:r>
        <w:rPr>
          <w:rFonts w:ascii="Arial" w:cs="Arial" w:eastAsia="Arial" w:hAnsi="Arial"/>
          <w:sz w:val="22"/>
          <w:szCs w:val="22"/>
        </w:rPr>
        <w:t xml:space="preserve">The following table lists all identified issues ranked by conversion impact. HIGH items should be addressed before any paid traffic is directed to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560"/>
        <w:gridCol w:w="30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Problem</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 Matters</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Recommended Fix</w:t>
            </w:r>
          </w:p>
        </w:tc>
      </w:tr>
      <w:tr>
        <w:tc>
          <w:tcPr>
            <w:tcW w:type="dxa" w:w="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Placeholder pricing ($X,XXX)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Destroys trust at decision point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Display real price, range, or remove section entirely. Elementor edit required.</w:t>
            </w:r>
          </w:p>
        </w:tc>
      </w:tr>
      <w:tr>
        <w:tc>
          <w:tcPr>
            <w:tcW w:type="dxa" w:w="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Dr. Brian bio/authority section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Visitors cannot evaluate the mentor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Meet Dr. Brian section with photo, bio, credentials between sections 3 and 4. Elementor edit required.</w:t>
            </w:r>
          </w:p>
        </w:tc>
      </w:tr>
      <w:tr>
        <w:tc>
          <w:tcPr>
            <w:tcW w:type="dxa" w:w="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Broken Calendly embed (section 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Final CTA is non-functional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Fix embed widget or replace with styled CTA button linking to Calendly. Elementor edit required.</w:t>
            </w:r>
          </w:p>
        </w:tc>
      </w:tr>
      <w:tr>
        <w:tc>
          <w:tcPr>
            <w:tcW w:type="dxa" w:w="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CTA label inconsistency (4 different labels)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Creates decision fatigue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Standardize all conversion CTAs to one label. Elementor edit required.</w:t>
            </w:r>
          </w:p>
        </w:tc>
      </w:tr>
      <w:tr>
        <w:tc>
          <w:tcPr>
            <w:tcW w:type="dxa" w:w="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match rate or outcome data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Misses rational justification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aggregate match rate stat to stats bar and/or testimonials section. Elementor edit required.</w:t>
            </w:r>
          </w:p>
        </w:tc>
      </w:tr>
      <w:tr>
        <w:tc>
          <w:tcPr>
            <w:tcW w:type="dxa" w:w="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Vague stats (Multi-Cycle, IMGs &amp; Caribbean)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Labels not numbers reduce proof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Replace with specific figures. Elementor edit required.</w:t>
            </w:r>
          </w:p>
        </w:tc>
      </w:tr>
      <w:tr>
        <w:tc>
          <w:tcPr>
            <w:tcW w:type="dxa" w:w="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urgency signals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time pressure to act now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Match cycle deadline callout or limited-spots messaging. Elementor edit required.</w:t>
            </w:r>
          </w:p>
        </w:tc>
      </w:tr>
      <w:tr>
        <w:tc>
          <w:tcPr>
            <w:tcW w:type="dxa" w:w="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consecutive CTA sections (7, 8, 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CTA fatigue at page bottom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Merge sections 7+9, place FAQ before final CTA. Elementor restructure required.</w:t>
            </w:r>
          </w:p>
        </w:tc>
      </w:tr>
      <w:tr>
        <w:tc>
          <w:tcPr>
            <w:tcW w:type="dxa" w:w="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Dark-to-light theme inconsistency (section 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Disrupts visual 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Maintain dark theme or apply light bg only to final CTA. Elementor edit required.</w:t>
            </w:r>
          </w:p>
        </w:tc>
      </w:tr>
      <w:tr>
        <w:tc>
          <w:tcPr>
            <w:tcW w:type="dxa" w:w="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video content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Competitors use video for trust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Record short intro video from Dr. Brian. Add to hero or bio section.</w:t>
            </w:r>
          </w:p>
        </w:tc>
      </w:tr>
      <w:tr>
        <w:tc>
          <w:tcPr>
            <w:tcW w:type="dxa" w:w="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external validation logos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proof is self-reported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school logos, media mentions, or institutional affiliations.</w:t>
            </w:r>
          </w:p>
        </w:tc>
      </w:tr>
      <w:tr>
        <w:tc>
          <w:tcPr>
            <w:tcW w:type="dxa" w:w="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FAQ content truncated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Last answer cut mid-sentence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Complete the FAQ answer text. Elementor edit required.</w:t>
            </w:r>
          </w:p>
        </w:tc>
      </w:tr>
      <w:tr>
        <w:tc>
          <w:tcPr>
            <w:tcW w:type="dxa" w:w="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Mobile responsiveness unverified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Potential UX issues on phones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Conduct mobile audit at 390px. Dedicated task (MR-042).</w:t>
            </w:r>
          </w:p>
        </w:tc>
      </w:tr>
      <w:tr>
        <w:tc>
          <w:tcPr>
            <w:tcW w:type="dxa" w:w="6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#contact anchor broken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Anchor navigation fails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Verify and fix anchor IDs across all sections.</w:t>
            </w:r>
          </w:p>
        </w:tc>
      </w:tr>
    </w:tbl>
    <w:p>
      <w:r>
        <w:br w:type="page"/>
      </w:r>
    </w:p>
    <w:p>
      <w:pPr>
        <w:pStyle w:val="Heading1"/>
      </w:pPr>
      <w:r>
        <w:rPr>
          <w:rFonts w:ascii="Arial" w:cs="Arial" w:eastAsia="Arial" w:hAnsi="Arial"/>
        </w:rPr>
        <w:t xml:space="preserve">8. Proposed Next Prompt: MR-041</w:t>
      </w:r>
    </w:p>
    <w:p>
      <w:pPr>
        <w:spacing w:after="200"/>
      </w:pPr>
      <w:r>
        <w:rPr>
          <w:rFonts w:ascii="Arial" w:cs="Arial" w:eastAsia="Arial" w:hAnsi="Arial"/>
          <w:sz w:val="22"/>
          <w:szCs w:val="22"/>
        </w:rPr>
        <w:t xml:space="preserve">The following prompt addresses all HIGH-priority items from the fix list and can be executed in a single implementation session.</w:t>
      </w:r>
    </w:p>
    <w:p>
      <w:pPr>
        <w:pBdr>
          <w:top w:val="single" w:color="2E75B6" w:sz="1"/>
          <w:left w:val="single" w:color="2E75B6" w:sz="1"/>
          <w:bottom w:val="single" w:color="2E75B6" w:sz="1"/>
          <w:right w:val="single" w:color="2E75B6" w:sz="1"/>
        </w:pBdr>
        <w:shd w:fill="F2F6FA" w:val="clear"/>
        <w:spacing w:after="100"/>
      </w:pPr>
      <w:r>
        <w:rPr>
          <w:rFonts w:ascii="Arial" w:cs="Arial" w:eastAsia="Arial" w:hAnsi="Arial"/>
          <w:b/>
          <w:bCs/>
          <w:sz w:val="22"/>
          <w:szCs w:val="22"/>
        </w:rPr>
        <w:t xml:space="preserve">PROMPT MR-041 / Topic: Mission Residency Page — HIGH-Priority Conversion Fixes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Scope: </w:t>
      </w:r>
      <w:r>
        <w:rPr>
          <w:rFonts w:ascii="Arial" w:cs="Arial" w:eastAsia="Arial" w:hAnsi="Arial"/>
          <w:sz w:val="22"/>
          <w:szCs w:val="22"/>
        </w:rPr>
        <w:t xml:space="preserve">Address the four HIGH-priority issues identified in the MR-040 Red Team Audit.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Task 1 — Fix Pricing Section: </w:t>
      </w:r>
      <w:r>
        <w:rPr>
          <w:rFonts w:ascii="Arial" w:cs="Arial" w:eastAsia="Arial" w:hAnsi="Arial"/>
          <w:sz w:val="22"/>
          <w:szCs w:val="22"/>
        </w:rPr>
        <w:t xml:space="preserve">Either (a) update section 6 to display the actual mentorship price or a price range, or (b) remove the $X,XXX placeholder entirely and replace with copy directing visitors to the strategy consultation for pricing details. Dr. Brian to provide direction.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Task 2 — Add Dr. Brian Authority Section: </w:t>
      </w:r>
      <w:r>
        <w:rPr>
          <w:rFonts w:ascii="Arial" w:cs="Arial" w:eastAsia="Arial" w:hAnsi="Arial"/>
          <w:sz w:val="22"/>
          <w:szCs w:val="22"/>
        </w:rPr>
        <w:t xml:space="preserve">Create a new section between sections 3 (How Mission Residency Works) and 4 (Why MR Is Different). Include a professional photo (to be provided), a 3–4 sentence bio, relevant credentials, and a brief narrative on why he built Mission Residency. Use the same dark theme and layout style as surrounding sections.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Task 3 — Fix Calendly Embed: </w:t>
      </w:r>
      <w:r>
        <w:rPr>
          <w:rFonts w:ascii="Arial" w:cs="Arial" w:eastAsia="Arial" w:hAnsi="Arial"/>
          <w:sz w:val="22"/>
          <w:szCs w:val="22"/>
        </w:rPr>
        <w:t xml:space="preserve">Repair the Calendly inline embed in section 9 so it renders as an interactive booking form, or replace it with a prominent styled CTA button linking to the Calendly routing form (https://calendly.com/d/cxmf-p2r-4sg).</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Task 4 — Standardize CTA Labels: </w:t>
      </w:r>
      <w:r>
        <w:rPr>
          <w:rFonts w:ascii="Arial" w:cs="Arial" w:eastAsia="Arial" w:hAnsi="Arial"/>
          <w:sz w:val="22"/>
          <w:szCs w:val="22"/>
        </w:rPr>
        <w:t xml:space="preserve">Audit all CTA buttons across the page. Standardize conversion CTAs to "Book Your Free Strategy Session" (primary) and "See Match Results" (secondary/anchor). Update button text in Elementor.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Constraints: </w:t>
      </w:r>
      <w:r>
        <w:rPr>
          <w:rFonts w:ascii="Arial" w:cs="Arial" w:eastAsia="Arial" w:hAnsi="Arial"/>
          <w:sz w:val="22"/>
          <w:szCs w:val="22"/>
        </w:rPr>
        <w:t xml:space="preserve">All changes via WordPress REST API + Elementor publish workflow. Publish from Elementor after each change. Verify live page renders correctly after each task. Generate MR-041 completion report with before/after documentation.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Deliverable: </w:t>
      </w:r>
      <w:r>
        <w:rPr>
          <w:rFonts w:ascii="Arial" w:cs="Arial" w:eastAsia="Arial" w:hAnsi="Arial"/>
          <w:sz w:val="22"/>
          <w:szCs w:val="22"/>
        </w:rPr>
        <w:t xml:space="preserve">MR-041 completion report (.docx) saved to 06_AI_CONTEXT.</w:t>
      </w:r>
    </w:p>
    <w:p>
      <w:pPr>
        <w:spacing w:after="200"/>
      </w:pPr>
      <w:r>
        <w:rPr>
          <w:rFonts w:ascii="Arial" w:cs="Arial" w:eastAsia="Arial" w:hAnsi="Arial"/>
          <w:sz w:val="22"/>
          <w:szCs w:val="22"/>
        </w:rPr>
        <w:t xml:space="preserve"/>
      </w:r>
    </w:p>
    <w:p>
      <w:pPr>
        <w:pBdr>
          <w:bottom w:val="single" w:color="2E75B6" w:sz="6" w:space="1"/>
        </w:pBdr>
        <w:spacing w:after="200"/>
      </w:pPr>
    </w:p>
    <w:p>
      <w:pPr>
        <w:spacing w:after="200"/>
      </w:pPr>
      <w:r>
        <w:rPr>
          <w:rFonts w:ascii="Arial" w:cs="Arial" w:eastAsia="Arial" w:hAnsi="Arial"/>
          <w:i/>
          <w:iCs/>
          <w:color w:val="999999"/>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MR-040 RED TEAM AUDIT</w:t>
    </w:r>
    <w:r>
      <w:rPr>
        <w:rFonts w:ascii="Arial" w:cs="Arial" w:eastAsia="Arial" w:hAnsi="Arial"/>
        <w:color w:val="999999"/>
        <w:sz w:val="16"/>
        <w:szCs w:val="16"/>
      </w:rPr>
      <w:t xml:space="preserve">	Mission Residency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2026-03-14T01:41:23.672Z</dcterms:created>
  <dcterms:modified xsi:type="dcterms:W3CDTF">2026-03-14T01:41:23.673Z</dcterms:modified>
</cp:coreProperties>
</file>

<file path=docProps/custom.xml><?xml version="1.0" encoding="utf-8"?>
<Properties xmlns="http://schemas.openxmlformats.org/officeDocument/2006/custom-properties" xmlns:vt="http://schemas.openxmlformats.org/officeDocument/2006/docPropsVTypes"/>
</file>