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100"/>
      </w:pPr>
    </w:p>
    <w:p>
      <w:pPr>
        <w:spacing w:after="300"/>
        <w:jc w:val="center"/>
      </w:pPr>
      <w:r>
        <w:rPr>
          <w:color w:val="5A6B85"/>
          <w:spacing w:val="40"/>
          <w:sz w:val="26"/>
          <w:szCs w:val="26"/>
        </w:rPr>
        <w:t xml:space="preserve">MISSIONMED PLATFORM SUMMIT</w:t>
      </w:r>
    </w:p>
    <w:p>
      <w:pPr>
        <w:spacing w:after="120"/>
        <w:jc w:val="center"/>
      </w:pPr>
      <w:r>
        <w:rPr>
          <w:b/>
          <w:bCs/>
          <w:color w:val="1B2A4A"/>
          <w:sz w:val="72"/>
          <w:szCs w:val="72"/>
        </w:rPr>
        <w:t xml:space="preserve">MissionMed Platform v1</w:t>
      </w:r>
    </w:p>
    <w:p>
      <w:pPr>
        <w:spacing w:after="340"/>
        <w:jc w:val="center"/>
      </w:pPr>
      <w:r>
        <w:rPr>
          <w:b/>
          <w:bCs/>
          <w:color w:val="1B2A4A"/>
          <w:sz w:val="44"/>
          <w:szCs w:val="44"/>
        </w:rPr>
        <w:t xml:space="preserve">Governing Constitution</w:t>
      </w:r>
    </w:p>
    <w:p>
      <w:pPr>
        <w:pBdr>
          <w:bottom w:val="single" w:color="C9A227" w:sz="8"/>
        </w:pBdr>
        <w:spacing w:after="1200"/>
        <w:jc w:val="center"/>
      </w:pPr>
      <w:r>
        <w:rPr>
          <w:i/>
          <w:iCs/>
          <w:color w:val="0E7C7B"/>
          <w:sz w:val="28"/>
          <w:szCs w:val="28"/>
        </w:rPr>
        <w:t xml:space="preserve">Revision 3 — Finalization for Ratification</w:t>
      </w:r>
    </w:p>
    <w:p>
      <w:pPr>
        <w:spacing w:after="80"/>
        <w:jc w:val="center"/>
      </w:pPr>
      <w:r>
        <w:rPr>
          <w:color w:val="22252A"/>
          <w:sz w:val="22"/>
          <w:szCs w:val="22"/>
        </w:rPr>
        <w:t xml:space="preserve">Incorporates Revision 2 (the architecture) in full, unchanged.</w:t>
      </w:r>
    </w:p>
    <w:p>
      <w:pPr>
        <w:spacing w:after="1500"/>
        <w:jc w:val="center"/>
      </w:pPr>
      <w:r>
        <w:rPr>
          <w:i/>
          <w:iCs/>
          <w:color w:val="5A6B85"/>
          <w:sz w:val="20"/>
          <w:szCs w:val="20"/>
        </w:rPr>
        <w:t xml:space="preserve">Adds the completed governance layer, the platform lifecycle, and the sixteen laws of the Engineering Constitution.</w:t>
      </w:r>
    </w:p>
    <w:p>
      <w:pPr>
        <w:spacing w:after="60"/>
        <w:jc w:val="center"/>
      </w:pPr>
      <w:r>
        <w:rPr>
          <w:color w:val="5A6B85"/>
          <w:sz w:val="20"/>
          <w:szCs w:val="20"/>
        </w:rPr>
        <w:t xml:space="preserve">Prepared by the Chief Enterprise Architect  ·  Ratification recommendation: Section 9</w:t>
      </w:r>
    </w:p>
    <w:p>
      <w:pPr>
        <w:jc w:val="center"/>
      </w:pPr>
      <w:r>
        <w:rPr>
          <w:color w:val="5A6B85"/>
          <w:sz w:val="20"/>
          <w:szCs w:val="20"/>
        </w:rPr>
        <w:t xml:space="preserve">August 2026  ·  Revision 3 — the permanent engineering constitution, upon Founder ratification</w:t>
      </w:r>
    </w:p>
    <w:p>
      <w:r>
        <w:br w:type="page"/>
      </w:r>
    </w:p>
    <w:p>
      <w:pPr>
        <w:spacing w:after="240"/>
      </w:pPr>
      <w:r>
        <w:rPr>
          <w:b/>
          <w:bCs/>
          <w:color w:val="1B2A4A"/>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t xml:space="preserve">1. Executive Summary</w:t>
      </w:r>
    </w:p>
    <w:p>
      <w:pPr>
        <w:spacing w:after="160" w:before="0" w:line="276" w:lineRule="auto"/>
      </w:pPr>
      <w:r>
        <w:t xml:space="preserve">Revision 3 is a finalization, not a redesign. The architecture of Revision 2 — the federated model, the tier classification, the twenty-seven-decision register, the Adoption Ladder, the ordered remediation waves, and the evidence law — is confirmed as substantially complete and is incorporated into this constitution unchanged and in full. This revision was commissioned to answer one question: is anything essential still missing before this becomes MissionMed's permanent engineering constitution? The review found that the *architecture* is not missing anything material, but the *constitution around it* was incomplete in three specific ways, each of which would have surfaced as a real problem within the decade: governance answered who owns each thing but not every question about how new things are admitted, how old things are retired, and how exceptions age; the platform had waves but no versioned lifecycle of its own, leaving 'how does Platform v1 evolve' to improvisation; and the constitutional laws were distributed across decisions rather than codified where an engineer — or the Founder, or Codex — could read them in five minutes.</w:t>
      </w:r>
    </w:p>
    <w:p>
      <w:pPr>
        <w:spacing w:after="160" w:before="0" w:line="276" w:lineRule="auto"/>
      </w:pPr>
      <w:r>
        <w:t xml:space="preserve">Revision 3 supplies exactly those three layers and nothing else: a </w:t>
      </w:r>
      <w:r>
        <w:rPr>
          <w:b/>
          <w:bCs/>
        </w:rPr>
        <w:t xml:space="preserve">completed governance layer</w:t>
      </w:r>
      <w:r>
        <w:t xml:space="preserve"> (Section 3) that answers every open governance question with a role, a record, and a default; a </w:t>
      </w:r>
      <w:r>
        <w:rPr>
          <w:b/>
          <w:bCs/>
        </w:rPr>
        <w:t xml:space="preserve">platform lifecycle</w:t>
      </w:r>
      <w:r>
        <w:t xml:space="preserve"> (Section 4) with versioned evolution, a change-authority matrix, and drift prevention; and a </w:t>
      </w:r>
      <w:r>
        <w:rPr>
          <w:b/>
          <w:bCs/>
        </w:rPr>
        <w:t xml:space="preserve">codified Engineering Constitution</w:t>
      </w:r>
      <w:r>
        <w:t xml:space="preserve"> (Section 5) of sixteen laws — twelve consolidating the doctrine already ratified through three evidence generations, and four new, including the Founder's proposed acceleration principle, which this review evaluated and adopts as Law One with a two-sided enforcement test. The sustainability review (Section 6) stress-tests the result against the decade — growth, scale, new AI, international expansion, unknown future products — and finds the architecture stable, with three named 2.0 triggers rather than hidden cliffs. The final critical review (Section 7) asked the commissioned question — if MissionMed operated exactly by this constitution for ten years, would anything important eventually break? — found five slow failure modes, and fixed each with a law or a protocol in this revision. The ratification recommendation and the answer to the final question are in Section 9, and the answer is </w:t>
      </w:r>
      <w:r>
        <w:rPr>
          <w:b/>
          <w:bCs/>
        </w:rPr>
        <w:t xml:space="preserve">YES</w:t>
      </w:r>
      <w:r>
        <w:t xml:space="preserve">.</w:t>
      </w:r>
    </w:p>
    <w:p>
      <w:pPr>
        <w:pStyle w:val="Heading1"/>
        <w:spacing w:after="200" w:before="360"/>
      </w:pPr>
      <w:r>
        <w:t xml:space="preserve">2. Constitutional Changes Since Revision 2</w:t>
      </w:r>
    </w:p>
    <w:p>
      <w:pPr>
        <w:spacing w:after="160" w:before="0" w:line="276" w:lineRule="auto"/>
      </w:pPr>
      <w:r>
        <w:t xml:space="preserve">For auditability, the complete delta. Nothing in Revision 2 is rescinded or rewritten; every change below is additive. </w:t>
      </w:r>
      <w:r>
        <w:rPr>
          <w:b/>
          <w:bCs/>
        </w:rPr>
        <w:t xml:space="preserve">(1)</w:t>
      </w:r>
      <w:r>
        <w:t xml:space="preserve"> The governance layer is completed with nine protocols: application admission, platform-service admission, bounded-domain creation, domain retirement, contract ownership and deprecation, registry ownership (the Registrar function), platform-evolution approval, the exception protocol with default expiry, and the annual constitutional review. </w:t>
      </w:r>
      <w:r>
        <w:rPr>
          <w:b/>
          <w:bCs/>
        </w:rPr>
        <w:t xml:space="preserve">(2)</w:t>
      </w:r>
      <w:r>
        <w:t xml:space="preserve"> The platform lifecycle is defined: version semantics (1.0 / 1.x / patch / 2.0), the change-authority matrix, the per-application platform-version manifest, N−1 compatibility windows, and named 2.0 triggers. </w:t>
      </w:r>
      <w:r>
        <w:rPr>
          <w:b/>
          <w:bCs/>
        </w:rPr>
        <w:t xml:space="preserve">(3)</w:t>
      </w:r>
      <w:r>
        <w:t xml:space="preserve"> The Engineering Constitution is codified as sixteen numbered laws; Laws One, Thirteen, Fourteen, Fifteen, and Sixteen are new in substance (acceleration, records-over-memory, student-interest primacy, the complexity budget, and data stewardship through time). </w:t>
      </w:r>
      <w:r>
        <w:rPr>
          <w:b/>
          <w:bCs/>
        </w:rPr>
        <w:t xml:space="preserve">(4)</w:t>
      </w:r>
      <w:r>
        <w:t xml:space="preserve"> The Founder decision slate gains one item — ratification of the retention-and-deletion schedule (item 19) — bringing it to nineteen. </w:t>
      </w:r>
      <w:r>
        <w:rPr>
          <w:b/>
          <w:bCs/>
        </w:rPr>
        <w:t xml:space="preserve">(5)</w:t>
      </w:r>
      <w:r>
        <w:t xml:space="preserve"> The ratification recommendation is issued. No decision AD-01 through AD-27 is modified; the tier assignments are untouched; the waves are untouched.</w:t>
      </w:r>
    </w:p>
    <w:p>
      <w:r>
        <w:br w:type="page"/>
      </w:r>
    </w:p>
    <w:p>
      <w:pPr>
        <w:pStyle w:val="Heading1"/>
        <w:spacing w:after="200" w:before="360"/>
      </w:pPr>
      <w:r>
        <w:t xml:space="preserve">3. The Governance Layer, Completed</w:t>
      </w:r>
    </w:p>
    <w:p>
      <w:pPr>
        <w:spacing w:after="160" w:before="0" w:line="276" w:lineRule="auto"/>
      </w:pPr>
      <w:r>
        <w:t xml:space="preserve">Revision 2 established the governing roles — Platform Owner (the Founder), the Architecture Authority, Contract Review, the Migration-Ledger Authority, the Release Authority — each a role and a record rather than a committee. This section completes the layer by answering, with a protocol and a default, every question a decade of operation will ask. A design constraint governs all nine: </w:t>
      </w:r>
      <w:r>
        <w:rPr>
          <w:b/>
          <w:bCs/>
        </w:rPr>
        <w:t xml:space="preserve">each protocol must be executable by one person in one sitting, and each must leave a record.</w:t>
      </w:r>
      <w:r>
        <w:t xml:space="preserve"> MissionMed's governance is sized for a founder-led company; its durability comes from the records, not the headcount.</w:t>
      </w:r>
    </w:p>
    <w:p>
      <w:pPr>
        <w:pStyle w:val="Heading2"/>
        <w:spacing w:after="160" w:before="280"/>
      </w:pPr>
      <w:r>
        <w:t xml:space="preserve">3.1 Who approves new applications</w:t>
      </w:r>
    </w:p>
    <w:p>
      <w:pPr>
        <w:spacing w:after="160" w:before="0" w:line="276" w:lineRule="auto"/>
      </w:pPr>
      <w:r>
        <w:t xml:space="preserve">A new application enters by </w:t>
      </w:r>
      <w:r>
        <w:rPr>
          <w:b/>
          <w:bCs/>
        </w:rPr>
        <w:t xml:space="preserve">charter</w:t>
      </w:r>
      <w:r>
        <w:t xml:space="preserve">: one page stating its name and canonical ID (checked against the alias registry), its proposed bounded domain and canonical facts, its tier, its owner, and its never-share list. The Architecture Authority reviews the boundary (does it collide with an existing owner?); the Founder approves the product; the Registrar records both signatures and issues the registry ID. Without a charter there is no ID; without an ID there is no route, schema, contract, or Codex authority. Prototypes are exempt — exploration is free — but the moment an experiment wants production identity, storage in the governed estate, or a contract with another application, it charters. This is the airlock of AD-22, given its admission procedure.</w:t>
      </w:r>
    </w:p>
    <w:p>
      <w:pPr>
        <w:pStyle w:val="Heading2"/>
        <w:spacing w:after="160" w:before="280"/>
      </w:pPr>
      <w:r>
        <w:t xml:space="preserve">3.2 Who approves new platform services</w:t>
      </w:r>
    </w:p>
    <w:p>
      <w:pPr>
        <w:spacing w:after="160" w:before="0" w:line="276" w:lineRule="auto"/>
      </w:pPr>
      <w:r>
        <w:t xml:space="preserve">The extraction rule remains the substantive test: a capability becomes a shared service only after two applications have proven the same need in production. Procedure: any application owner or the Architecture Authority may propose; the proposal names the two proven consumers, the contract, the operating owner, and the cost of running it; the Architecture Authority approves the design; the Platform Owner approves the investment; the service enters the shared-service registry with a version, an SLO once operational, and a per-application disablement switch. A proposed service that cannot name its second consumer is filed as a candidate, not built.</w:t>
      </w:r>
    </w:p>
    <w:p>
      <w:pPr>
        <w:pStyle w:val="Heading2"/>
        <w:spacing w:after="160" w:before="280"/>
      </w:pPr>
      <w:r>
        <w:t xml:space="preserve">3.3 How bounded domains are created — and retired</w:t>
      </w:r>
    </w:p>
    <w:p>
      <w:pPr>
        <w:spacing w:after="160" w:before="0" w:line="276" w:lineRule="auto"/>
      </w:pPr>
      <w:r>
        <w:rPr>
          <w:b/>
          <w:bCs/>
        </w:rPr>
        <w:t xml:space="preserve">Creation</w:t>
      </w:r>
      <w:r>
        <w:t xml:space="preserve"> happens only through an application charter (3.1) or by explicit partition of an existing domain, which is a Founder-ratified register decision because it moves canonical facts between owners. </w:t>
      </w:r>
      <w:r>
        <w:rPr>
          <w:b/>
          <w:bCs/>
        </w:rPr>
        <w:t xml:space="preserve">Retirement</w:t>
      </w:r>
      <w:r>
        <w:t xml:space="preserve"> follows a protocol this constitution now fixes: the owner (or the Founder) proposes; consumers are enumerated from the contract registry; every consumed contract is deprecated per 3.5 with a migration path or a formal acceptance of loss; data disposition is decided under the retention schedule (archive, migrate to a successor owner, or delete); the system moves to Tier D (if it retains migration duty) or Tier E; and the registry records the retirement with its date and evidence. The legacy Study Schedule will be the first system to complete this protocol end to end, and its execution becomes the worked example in the register.</w:t>
      </w:r>
    </w:p>
    <w:p>
      <w:pPr>
        <w:pStyle w:val="Heading2"/>
        <w:spacing w:after="160" w:before="280"/>
      </w:pPr>
      <w:r>
        <w:t xml:space="preserve">3.4 Who owns registries and shared contracts</w:t>
      </w:r>
    </w:p>
    <w:p>
      <w:pPr>
        <w:spacing w:after="160" w:before="0" w:line="276" w:lineRule="auto"/>
      </w:pPr>
      <w:r>
        <w:t xml:space="preserve">Each </w:t>
      </w:r>
      <w:r>
        <w:rPr>
          <w:b/>
          <w:bCs/>
        </w:rPr>
        <w:t xml:space="preserve">contract</w:t>
      </w:r>
      <w:r>
        <w:t xml:space="preserve"> is owned by the application that owns its underlying facts — ownership of a contract never transfers by consumption, and platform-owned contracts (identity claims, the evidence envelope, the bootstrap contract) are owned by the Platform Core as their issuing 'application.' The </w:t>
      </w:r>
      <w:r>
        <w:rPr>
          <w:b/>
          <w:bCs/>
        </w:rPr>
        <w:t xml:space="preserve">registries themselves</w:t>
      </w:r>
      <w:r>
        <w:t xml:space="preserve"> — application, contract, alias, tier, exception, and the decision register — are owned by the </w:t>
      </w:r>
      <w:r>
        <w:rPr>
          <w:b/>
          <w:bCs/>
        </w:rPr>
        <w:t xml:space="preserve">Registrar function</w:t>
      </w:r>
      <w:r>
        <w:t xml:space="preserve">: a named role, held today by the Platform Owner, whose whole job is that entries are complete, current, and never edited without a recorded reason. The Registrar approves nothing; the Registrar records everything. Separating recording from approving is deliberate: it keeps the registries trustworthy even when the same person happens to hold both roles, because the two acts leave two records.</w:t>
      </w:r>
    </w:p>
    <w:p>
      <w:pPr>
        <w:pStyle w:val="Heading2"/>
        <w:spacing w:after="160" w:before="280"/>
      </w:pPr>
      <w:r>
        <w:t xml:space="preserve">3.5 How deprecated contracts are managed</w:t>
      </w:r>
    </w:p>
    <w:p>
      <w:pPr>
        <w:spacing w:after="160" w:before="0" w:line="276" w:lineRule="auto"/>
      </w:pPr>
      <w:r>
        <w:t xml:space="preserve">Every contract carries a lifecycle state: ACTIVE → DEPRECATED → RETIRED. Deprecation requires: an announced successor or a formal end-of-capability notice; a support window (default one platform minor version or ninety days, whichever is longer — N−1 law); dual-run during the window; verification that every registered consumer has migrated or signed acceptance; then retirement, recorded with hashes of the final schema. Consumers discovered using unregistered contracts are a governance finding, not a grandfathering: the contract is registered retroactively and enters the same lifecycle. No contract may be broken by silence.</w:t>
      </w:r>
    </w:p>
    <w:p>
      <w:pPr>
        <w:pStyle w:val="Heading2"/>
        <w:spacing w:after="160" w:before="280"/>
      </w:pPr>
      <w:r>
        <w:t xml:space="preserve">3.6 How architectural exceptions are handled</w:t>
      </w:r>
    </w:p>
    <w:p>
      <w:pPr>
        <w:spacing w:after="160" w:before="0" w:line="276" w:lineRule="auto"/>
      </w:pPr>
      <w:r>
        <w:t xml:space="preserve">An exception is a written request naming the law or decision excepted, the scope, the reason, the compensating control, and — mandatorily — the </w:t>
      </w:r>
      <w:r>
        <w:rPr>
          <w:b/>
          <w:bCs/>
        </w:rPr>
        <w:t xml:space="preserve">expiry date</w:t>
      </w:r>
      <w:r>
        <w:t xml:space="preserve">. The Architecture Authority grants or refuses; the Founder is the appeal path; the exception registry records it; and expiry is enforced automatically: a lapsed exception is a violation, not a tradition. Renewal requires re-review, and the second renewal of any exception triggers the question the register must answer in writing: should the law change instead? Exceptions are how a constitution breathes without eroding — provided none of them is ever permanent by silence, which is now law (Law Sixteen's corollary in Section 5).</w:t>
      </w:r>
    </w:p>
    <w:p>
      <w:pPr>
        <w:pStyle w:val="Heading2"/>
        <w:spacing w:after="160" w:before="280"/>
      </w:pPr>
      <w:r>
        <w:t xml:space="preserve">3.7 Who approves platform evolution — and the annual review</w:t>
      </w:r>
    </w:p>
    <w:p>
      <w:pPr>
        <w:spacing w:after="160" w:before="0" w:line="276" w:lineRule="auto"/>
      </w:pPr>
      <w:r>
        <w:t xml:space="preserve">Platform evolution follows the lifecycle of Section 4 and its authority matrix. Above it sits the </w:t>
      </w:r>
      <w:r>
        <w:rPr>
          <w:b/>
          <w:bCs/>
        </w:rPr>
        <w:t xml:space="preserve">annual constitutional review</w:t>
      </w:r>
      <w:r>
        <w:t xml:space="preserve">: once a year, the Architecture Authority reports to the Founder on drift (seal status, exception count and age, adapter sunsets met or missed, contract lifecycle health, register currency), on the year's escalations and what they reveal about missing or wrong laws, and on whether any 2.0 trigger is approaching. The review's output is at most a short amendment slate for Founder ratification. One sitting, one record, once a year — the constitutional habit that keeps ten years of small decisions from silently becoming a different architecture.</w:t>
      </w:r>
    </w:p>
    <w:p>
      <w:r>
        <w:br w:type="page"/>
      </w:r>
    </w:p>
    <w:p>
      <w:pPr>
        <w:pStyle w:val="Heading1"/>
        <w:spacing w:after="200" w:before="360"/>
      </w:pPr>
      <w:r>
        <w:t xml:space="preserve">4. Platform Lifecycle</w:t>
      </w:r>
    </w:p>
    <w:p>
      <w:pPr>
        <w:spacing w:after="60" w:before="20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543300"/>
                    </a:xfrm>
                    <a:prstGeom prst="rect">
                      <a:avLst/>
                    </a:prstGeom>
                  </pic:spPr>
                </pic:pic>
              </a:graphicData>
            </a:graphic>
          </wp:inline>
        </w:drawing>
      </w:r>
    </w:p>
    <w:p>
      <w:pPr>
        <w:spacing w:after="240"/>
        <w:jc w:val="center"/>
      </w:pPr>
      <w:r>
        <w:rPr>
          <w:i/>
          <w:iCs/>
          <w:color w:val="5A6B85"/>
          <w:sz w:val="17"/>
          <w:szCs w:val="17"/>
        </w:rPr>
        <w:t xml:space="preserve">Figure 1 — The platform lifecycle: version semantics, the change-authority matrix, and the drift-prevention mechanisms.</w:t>
      </w:r>
    </w:p>
    <w:p>
      <w:pPr>
        <w:spacing w:after="160" w:before="0" w:line="276" w:lineRule="auto"/>
      </w:pPr>
      <w:r>
        <w:t xml:space="preserve">Platform v1 now has a lifecycle of its own, so that 'the platform' is always a specific, versioned, consumable thing rather than a mood. </w:t>
      </w:r>
      <w:r>
        <w:rPr>
          <w:b/>
          <w:bCs/>
        </w:rPr>
        <w:t xml:space="preserve">Version semantics:</w:t>
      </w:r>
      <w:r>
        <w:t xml:space="preserve"> *Platform 1.0* is this ratified constitution plus the Wave R/V repairs, the populated registries, the Core libraries extracted from the sealed StoryForge seam, and Timeline Builder in production — the moment the platform's promises are all demonstrably true at least once. *Minor versions (1.1, 1.2 …)* add services and contracts additively: no existing consumer is forced to change, N−1 remains supported, and each minor is approved by the Architecture Authority and signed by the Platform Owner. *Patches* fix within declared compatibility and ship under authority packets through the release calendar with no further approval. *Platform 2.0* is reserved for constitutional events: a breaking change to a Core contract (the identity chain, the lanes, the envelope), replacement of an estate (the WordPress edge being the canonical example), or amendment of a constitutional law — each requiring Founder ratification with an Architecture Authority impact analysis.</w:t>
      </w:r>
    </w:p>
    <w:p>
      <w:pPr>
        <w:spacing w:after="160" w:before="0" w:line="276" w:lineRule="auto"/>
      </w:pPr>
      <w:r>
        <w:rPr>
          <w:b/>
          <w:bCs/>
        </w:rPr>
        <w:t xml:space="preserve">The authority matrix</w:t>
      </w:r>
      <w:r>
        <w:t xml:space="preserve"> (Figure 1) assigns every class of change to its deciding authority — Founder, Architecture Authority, application owner, Platform Owner/Registrar, Engineering/Codex, or automatic — so that no change ever needs to discover its approver. </w:t>
      </w:r>
      <w:r>
        <w:rPr>
          <w:b/>
          <w:bCs/>
        </w:rPr>
        <w:t xml:space="preserve">Drift prevention</w:t>
      </w:r>
      <w:r>
        <w:t xml:space="preserve"> is mechanical rather than aspirational: every application's manifest declares the platform version it consumes, so the Registrar always knows exactly who is on N−1 and the platform can never silently strand a consumer; continuous seal verification alerts on byte drift the day it happens instead of the year after; dated exceptions and adapters expire automatically; and the annual review closes the loop. The named </w:t>
      </w:r>
      <w:r>
        <w:rPr>
          <w:b/>
          <w:bCs/>
        </w:rPr>
        <w:t xml:space="preserve">2.0 triggers</w:t>
      </w:r>
      <w:r>
        <w:t xml:space="preserve"> on the decade horizon, so they are planned events rather than crises: replacement or radical change of the WordPress identity root and edge; a data-residency or regulatory regime requiring estate-level restructuring for international expansion; and any future decision to offer MissionMed's platform to tenants beyond MissionMed itself.</w:t>
      </w:r>
    </w:p>
    <w:p>
      <w:pPr>
        <w:pStyle w:val="Heading1"/>
        <w:spacing w:after="200" w:before="360"/>
      </w:pPr>
      <w:r>
        <w:t xml:space="preserve">5. The Engineering Constitution — The Sixteen Laws</w:t>
      </w:r>
    </w:p>
    <w:p>
      <w:pPr>
        <w:spacing w:after="160" w:before="0" w:line="276" w:lineRule="auto"/>
      </w:pPr>
      <w:r>
        <w:t xml:space="preserve">The doctrine ratified across three evidence generations is here codified as numbered constitutional law: short enough to read in five minutes, precise enough to escalate against. Laws 2 through 12 consolidate what the register already holds; Laws 1, 13, 14, 15, and 16 are adopted in this revision. Amending any law is a Platform 2.0 event requiring Founder ratification.</w:t>
      </w:r>
    </w:p>
    <w:p>
      <w:pPr>
        <w:pStyle w:val="Heading2"/>
        <w:spacing w:after="160" w:before="280"/>
      </w:pPr>
      <w:r>
        <w:t xml:space="preserve">5.1 The acceleration principle, evaluated</w:t>
      </w:r>
    </w:p>
    <w:p>
      <w:pPr>
        <w:spacing w:after="160" w:before="0" w:line="276" w:lineRule="auto"/>
      </w:pPr>
      <w:r>
        <w:t xml:space="preserve">The Founder proposed: *MissionMed Platform exists to accelerate product delivery; the platform must never become a bottleneck that unnecessarily delays product innovation.* This review evaluated it and </w:t>
      </w:r>
      <w:r>
        <w:rPr>
          <w:b/>
          <w:bCs/>
        </w:rPr>
        <w:t xml:space="preserve">adopts it as Law One</w:t>
      </w:r>
      <w:r>
        <w:t xml:space="preserve"> — first position, deliberately — with an enforcement mechanism, because a purpose without a test is a poster. The two-sided test: </w:t>
      </w:r>
      <w:r>
        <w:rPr>
          <w:b/>
          <w:bCs/>
        </w:rPr>
        <w:t xml:space="preserve">(a)</w:t>
      </w:r>
      <w:r>
        <w:t xml:space="preserve"> any platform requirement that delays more than one product triggers a mandatory review of the requirement itself — the burden of proof sits on the platform, and the reviewer must either justify the requirement in writing or amend it; </w:t>
      </w:r>
      <w:r>
        <w:rPr>
          <w:b/>
          <w:bCs/>
        </w:rPr>
        <w:t xml:space="preserve">(b)</w:t>
      </w:r>
      <w:r>
        <w:t xml:space="preserve"> the law may never be invoked to bypass a safety stop-line, a fail-closed control, a consent rule, or the sequencing law — speed arguments against those are escalations to the Founder, never engineering decisions. The one narrow standing exception is already constitutional: the migration-ledger freeze, which is permitted to delay schema-changing work because the alternative risks student data. Everything else the platform asks of a product must earn its cost, annually, in the review.</w:t>
      </w:r>
    </w:p>
    <w:p>
      <w:pPr>
        <w:pStyle w:val="Heading2"/>
        <w:spacing w:after="160" w:before="280"/>
      </w:pPr>
      <w:r>
        <w:t xml:space="preserve">5.2 The laws</w:t>
      </w:r>
    </w:p>
    <w:p>
      <w:pPr>
        <w:spacing w:after="60" w:before="130" w:line="276" w:lineRule="auto"/>
        <w:ind w:left="240" w:hanging="0"/>
      </w:pPr>
      <w:r>
        <w:rPr>
          <w:b/>
          <w:bCs/>
          <w:color w:val="1B2A4A"/>
          <w:sz w:val="22"/>
          <w:szCs w:val="22"/>
        </w:rPr>
        <w:t xml:space="preserve">Law 1.  </w:t>
      </w:r>
      <w:r>
        <w:rPr>
          <w:color w:val="22252A"/>
          <w:sz w:val="21"/>
          <w:szCs w:val="21"/>
        </w:rPr>
        <w:t xml:space="preserve">The platform exists to accelerate product delivery. It must never become the reason products stop shipping, and every platform requirement that delays multiple products must justify itself or be amended. Acceleration never overrides a safety stop-line.</w:t>
      </w:r>
    </w:p>
    <w:p>
      <w:pPr>
        <w:spacing w:after="60" w:before="130" w:line="276" w:lineRule="auto"/>
        <w:ind w:left="240" w:hanging="0"/>
      </w:pPr>
      <w:r>
        <w:rPr>
          <w:b/>
          <w:bCs/>
          <w:color w:val="1B2A4A"/>
          <w:sz w:val="22"/>
          <w:szCs w:val="22"/>
        </w:rPr>
        <w:t xml:space="preserve">Law 2.  </w:t>
      </w:r>
      <w:r>
        <w:rPr>
          <w:color w:val="22252A"/>
          <w:sz w:val="21"/>
          <w:szCs w:val="21"/>
        </w:rPr>
        <w:t xml:space="preserve">Every fact has exactly one canonical owner. Visibility is not ownership; projection is not ownership; display is not ownership.</w:t>
      </w:r>
    </w:p>
    <w:p>
      <w:pPr>
        <w:spacing w:after="60" w:before="130" w:line="276" w:lineRule="auto"/>
        <w:ind w:left="240" w:hanging="0"/>
      </w:pPr>
      <w:r>
        <w:rPr>
          <w:b/>
          <w:bCs/>
          <w:color w:val="1B2A4A"/>
          <w:sz w:val="22"/>
          <w:szCs w:val="22"/>
        </w:rPr>
        <w:t xml:space="preserve">Law 3.  </w:t>
      </w:r>
      <w:r>
        <w:rPr>
          <w:color w:val="22252A"/>
          <w:sz w:val="21"/>
          <w:szCs w:val="21"/>
        </w:rPr>
        <w:t xml:space="preserve">Applications share contracts, never databases. Three lanes exist — projections, events, owner-mediated commands — and no fourth.</w:t>
      </w:r>
    </w:p>
    <w:p>
      <w:pPr>
        <w:spacing w:after="60" w:before="130" w:line="276" w:lineRule="auto"/>
        <w:ind w:left="240" w:hanging="0"/>
      </w:pPr>
      <w:r>
        <w:rPr>
          <w:b/>
          <w:bCs/>
          <w:color w:val="1B2A4A"/>
          <w:sz w:val="22"/>
          <w:szCs w:val="22"/>
        </w:rPr>
        <w:t xml:space="preserve">Law 4.  </w:t>
      </w:r>
      <w:r>
        <w:rPr>
          <w:color w:val="22252A"/>
          <w:sz w:val="21"/>
          <w:szCs w:val="21"/>
        </w:rPr>
        <w:t xml:space="preserve">Identity is a layered chain — authentication, mapping, entitlement, application identity, domain authorization, consent — and every layer fails closed.</w:t>
      </w:r>
    </w:p>
    <w:p>
      <w:pPr>
        <w:spacing w:after="60" w:before="130" w:line="276" w:lineRule="auto"/>
        <w:ind w:left="240" w:hanging="0"/>
      </w:pPr>
      <w:r>
        <w:rPr>
          <w:b/>
          <w:bCs/>
          <w:color w:val="1B2A4A"/>
          <w:sz w:val="22"/>
          <w:szCs w:val="22"/>
        </w:rPr>
        <w:t xml:space="preserve">Law 5.  </w:t>
      </w:r>
      <w:r>
        <w:rPr>
          <w:color w:val="22252A"/>
          <w:sz w:val="21"/>
          <w:szCs w:val="21"/>
        </w:rPr>
        <w:t xml:space="preserve">Events are signals, not truth. The owner's current, authorized state is the only truth.</w:t>
      </w:r>
    </w:p>
    <w:p>
      <w:pPr>
        <w:spacing w:after="60" w:before="130" w:line="276" w:lineRule="auto"/>
        <w:ind w:left="240" w:hanging="0"/>
      </w:pPr>
      <w:r>
        <w:rPr>
          <w:b/>
          <w:bCs/>
          <w:color w:val="1B2A4A"/>
          <w:sz w:val="22"/>
          <w:szCs w:val="22"/>
        </w:rPr>
        <w:t xml:space="preserve">Law 6.  </w:t>
      </w:r>
      <w:r>
        <w:rPr>
          <w:color w:val="22252A"/>
          <w:sz w:val="21"/>
          <w:szCs w:val="21"/>
        </w:rPr>
        <w:t xml:space="preserve">AI output is a proposal until a named human accepts it, and it carries provenance forever. No central intelligence bypasses application judgment.</w:t>
      </w:r>
    </w:p>
    <w:p>
      <w:pPr>
        <w:spacing w:after="60" w:before="130" w:line="276" w:lineRule="auto"/>
        <w:ind w:left="240" w:hanging="0"/>
      </w:pPr>
      <w:r>
        <w:rPr>
          <w:b/>
          <w:bCs/>
          <w:color w:val="1B2A4A"/>
          <w:sz w:val="22"/>
          <w:szCs w:val="22"/>
        </w:rPr>
        <w:t xml:space="preserve">Law 7.  </w:t>
      </w:r>
      <w:r>
        <w:rPr>
          <w:color w:val="22252A"/>
          <w:sz w:val="21"/>
          <w:szCs w:val="21"/>
        </w:rPr>
        <w:t xml:space="preserve">Consent is purpose-specific — for stories, letters, documents, publication, contact, voice, and likeness — and a tag is never consent.</w:t>
      </w:r>
    </w:p>
    <w:p>
      <w:pPr>
        <w:spacing w:after="60" w:before="130" w:line="276" w:lineRule="auto"/>
        <w:ind w:left="240" w:hanging="0"/>
      </w:pPr>
      <w:r>
        <w:rPr>
          <w:b/>
          <w:bCs/>
          <w:color w:val="1B2A4A"/>
          <w:sz w:val="22"/>
          <w:szCs w:val="22"/>
        </w:rPr>
        <w:t xml:space="preserve">Law 8.  </w:t>
      </w:r>
      <w:r>
        <w:rPr>
          <w:color w:val="22252A"/>
          <w:sz w:val="21"/>
          <w:szCs w:val="21"/>
        </w:rPr>
        <w:t xml:space="preserve">Production claims require sealed evidence: runtime over prose, manifest over source, no authority packet, no production.</w:t>
      </w:r>
    </w:p>
    <w:p>
      <w:pPr>
        <w:spacing w:after="60" w:before="130" w:line="276" w:lineRule="auto"/>
        <w:ind w:left="240" w:hanging="0"/>
      </w:pPr>
      <w:r>
        <w:rPr>
          <w:b/>
          <w:bCs/>
          <w:color w:val="1B2A4A"/>
          <w:sz w:val="22"/>
          <w:szCs w:val="22"/>
        </w:rPr>
        <w:t xml:space="preserve">Law 9.  </w:t>
      </w:r>
      <w:r>
        <w:rPr>
          <w:color w:val="22252A"/>
          <w:sz w:val="21"/>
          <w:szCs w:val="21"/>
        </w:rPr>
        <w:t xml:space="preserve">Every application is independently deployable and independently rollbackable, and rollback restores prior behavior — an off switch is not a rollback.</w:t>
      </w:r>
    </w:p>
    <w:p>
      <w:pPr>
        <w:spacing w:after="60" w:before="130" w:line="276" w:lineRule="auto"/>
        <w:ind w:left="240" w:hanging="0"/>
      </w:pPr>
      <w:r>
        <w:rPr>
          <w:b/>
          <w:bCs/>
          <w:color w:val="1B2A4A"/>
          <w:sz w:val="22"/>
          <w:szCs w:val="22"/>
        </w:rPr>
        <w:t xml:space="preserve">Law 10.  </w:t>
      </w:r>
      <w:r>
        <w:rPr>
          <w:color w:val="22252A"/>
          <w:sz w:val="21"/>
          <w:szCs w:val="21"/>
        </w:rPr>
        <w:t xml:space="preserve">Repairs are ordered by what they unshield. A fix that exposes another defect is sequenced, never checklisted.</w:t>
      </w:r>
    </w:p>
    <w:p>
      <w:pPr>
        <w:spacing w:after="60" w:before="130" w:line="276" w:lineRule="auto"/>
        <w:ind w:left="240" w:hanging="0"/>
      </w:pPr>
      <w:r>
        <w:rPr>
          <w:b/>
          <w:bCs/>
          <w:color w:val="1B2A4A"/>
          <w:sz w:val="22"/>
          <w:szCs w:val="22"/>
        </w:rPr>
        <w:t xml:space="preserve">Law 11.  </w:t>
      </w:r>
      <w:r>
        <w:rPr>
          <w:color w:val="22252A"/>
          <w:sz w:val="21"/>
          <w:szCs w:val="21"/>
        </w:rPr>
        <w:t xml:space="preserve">Discovery is not endorsement. Classification is the airlock: nothing becomes platform scope, and nothing is resurrected, except through a recorded tier decision.</w:t>
      </w:r>
    </w:p>
    <w:p>
      <w:pPr>
        <w:spacing w:after="60" w:before="130" w:line="276" w:lineRule="auto"/>
        <w:ind w:left="240" w:hanging="0"/>
      </w:pPr>
      <w:r>
        <w:rPr>
          <w:b/>
          <w:bCs/>
          <w:color w:val="1B2A4A"/>
          <w:sz w:val="22"/>
          <w:szCs w:val="22"/>
        </w:rPr>
        <w:t xml:space="preserve">Law 12.  </w:t>
      </w:r>
      <w:r>
        <w:rPr>
          <w:color w:val="22252A"/>
          <w:sz w:val="21"/>
          <w:szCs w:val="21"/>
        </w:rPr>
        <w:t xml:space="preserve">Scaffolding is dated. Compatibility adapters, exceptions, and grandfather clauses carry owners and expiry dates, and nothing is permanent by silence.</w:t>
      </w:r>
    </w:p>
    <w:p>
      <w:pPr>
        <w:spacing w:after="60" w:before="130" w:line="276" w:lineRule="auto"/>
        <w:ind w:left="240" w:hanging="0"/>
      </w:pPr>
      <w:r>
        <w:rPr>
          <w:b/>
          <w:bCs/>
          <w:color w:val="1B2A4A"/>
          <w:sz w:val="22"/>
          <w:szCs w:val="22"/>
        </w:rPr>
        <w:t xml:space="preserve">Law 13.  </w:t>
      </w:r>
      <w:r>
        <w:rPr>
          <w:color w:val="22252A"/>
          <w:sz w:val="21"/>
          <w:szCs w:val="21"/>
        </w:rPr>
        <w:t xml:space="preserve">Records outrank memory. The registries and the decision register are the platform; any knowledge that exists only in a person or a session is not yet real.</w:t>
      </w:r>
    </w:p>
    <w:p>
      <w:pPr>
        <w:spacing w:after="60" w:before="130" w:line="276" w:lineRule="auto"/>
        <w:ind w:left="240" w:hanging="0"/>
      </w:pPr>
      <w:r>
        <w:rPr>
          <w:b/>
          <w:bCs/>
          <w:color w:val="1B2A4A"/>
          <w:sz w:val="22"/>
          <w:szCs w:val="22"/>
        </w:rPr>
        <w:t xml:space="preserve">Law 14.  </w:t>
      </w:r>
      <w:r>
        <w:rPr>
          <w:color w:val="22252A"/>
          <w:sz w:val="21"/>
          <w:szCs w:val="21"/>
        </w:rPr>
        <w:t xml:space="preserve">The student's interest outranks operational convenience. Where a design choice trades student privacy, safety, or data dignity against internal ease, the student wins, and the exception path is the Founder alone.</w:t>
      </w:r>
    </w:p>
    <w:p>
      <w:pPr>
        <w:spacing w:after="60" w:before="130" w:line="276" w:lineRule="auto"/>
        <w:ind w:left="240" w:hanging="0"/>
      </w:pPr>
      <w:r>
        <w:rPr>
          <w:b/>
          <w:bCs/>
          <w:color w:val="1B2A4A"/>
          <w:sz w:val="22"/>
          <w:szCs w:val="22"/>
        </w:rPr>
        <w:t xml:space="preserve">Law 15.  </w:t>
      </w:r>
      <w:r>
        <w:rPr>
          <w:color w:val="22252A"/>
          <w:sz w:val="21"/>
          <w:szCs w:val="21"/>
        </w:rPr>
        <w:t xml:space="preserve">Complexity is a budgeted cost. Every service, contract, and adapter names its maintainer and its burden; the boring solution is the default; and the annual review retires what no longer pays.</w:t>
      </w:r>
    </w:p>
    <w:p>
      <w:pPr>
        <w:spacing w:after="60" w:before="130" w:line="276" w:lineRule="auto"/>
        <w:ind w:left="240" w:hanging="0"/>
      </w:pPr>
      <w:r>
        <w:rPr>
          <w:b/>
          <w:bCs/>
          <w:color w:val="1B2A4A"/>
          <w:sz w:val="22"/>
          <w:szCs w:val="22"/>
        </w:rPr>
        <w:t xml:space="preserve">Law 16.  </w:t>
      </w:r>
      <w:r>
        <w:rPr>
          <w:color w:val="22252A"/>
          <w:sz w:val="21"/>
          <w:szCs w:val="21"/>
        </w:rPr>
        <w:t xml:space="preserve">Data is stewarded through time. Every domain declares retention, archival, export, and deletion for its records — students graduate, consent expires, and a decade of data is a liability curve unless governed.</w:t>
      </w:r>
    </w:p>
    <w:p>
      <w:pPr>
        <w:spacing w:after="160" w:before="0" w:line="276" w:lineRule="auto"/>
      </w:pPr>
      <w:r>
        <w:t xml:space="preserve">Laws 13 through 16 exist because the final review (Section 7) found their absence to be the four slow failure modes of a ten-year horizon: knowledge concentrating in one head, mission drift under operational pressure, complexity compounding politely, and personal data accumulating without a clock. Law 14 deserves one note: it is not sentiment. MissionMed's products hold personal statements, interview recordings, mentor notes, and immigration-adjacent facts about people at the most vulnerable point of their careers; a constitution that did not rank their interest explicitly would eventually subordinate it accidentally.</w:t>
      </w:r>
    </w:p>
    <w:p>
      <w:r>
        <w:br w:type="page"/>
      </w:r>
    </w:p>
    <w:p>
      <w:pPr>
        <w:pStyle w:val="Heading1"/>
        <w:spacing w:after="200" w:before="360"/>
      </w:pPr>
      <w:r>
        <w:t xml:space="preserve">6. Enterprise Sustainability — The Decade Stress Test</w:t>
      </w:r>
    </w:p>
    <w:tbl>
      <w:tblPr>
        <w:tblW w:type="dxa" w:w="9360"/>
        <w:tblBorders>
          <w:top w:val="single" w:color="C9CFDA" w:sz="4"/>
          <w:left w:val="single" w:color="C9CFDA" w:sz="4"/>
          <w:bottom w:val="single" w:color="C9CFDA" w:sz="4"/>
          <w:right w:val="single" w:color="C9CFDA" w:sz="4"/>
          <w:insideH w:val="single" w:color="C9CFDA" w:sz="4"/>
          <w:insideV w:val="single" w:color="C9CFDA" w:sz="4"/>
        </w:tblBorders>
      </w:tblPr>
      <w:tblGrid>
        <w:gridCol w:w="2400"/>
        <w:gridCol w:w="1750"/>
        <w:gridCol w:w="5210"/>
      </w:tblGrid>
      <w:tr>
        <w:trPr>
          <w:tblHeader/>
        </w:trPr>
        <w:tc>
          <w:tcPr>
            <w:tcW w:type="dxa" w:w="2400"/>
            <w:shd w:fill="1B2A4A" w:val="clear"/>
            <w:tcMar>
              <w:top w:type="dxa" w:w="70"/>
              <w:left w:type="dxa" w:w="100"/>
              <w:bottom w:type="dxa" w:w="70"/>
              <w:right w:type="dxa" w:w="100"/>
            </w:tcMar>
          </w:tcPr>
          <w:p>
            <w:pPr>
              <w:spacing w:after="20" w:line="240" w:lineRule="auto"/>
            </w:pPr>
            <w:r>
              <w:rPr>
                <w:b/>
                <w:bCs/>
                <w:color w:val="FFFFFF"/>
                <w:sz w:val="16"/>
                <w:szCs w:val="16"/>
              </w:rPr>
              <w:t xml:space="preserve">Pressure</w:t>
            </w:r>
          </w:p>
        </w:tc>
        <w:tc>
          <w:tcPr>
            <w:tcW w:type="dxa" w:w="1750"/>
            <w:shd w:fill="1B2A4A" w:val="clear"/>
            <w:tcMar>
              <w:top w:type="dxa" w:w="70"/>
              <w:left w:type="dxa" w:w="100"/>
              <w:bottom w:type="dxa" w:w="70"/>
              <w:right w:type="dxa" w:w="100"/>
            </w:tcMar>
          </w:tcPr>
          <w:p>
            <w:pPr>
              <w:spacing w:after="20" w:line="240" w:lineRule="auto"/>
            </w:pPr>
            <w:r>
              <w:rPr>
                <w:b/>
                <w:bCs/>
                <w:color w:val="FFFFFF"/>
                <w:sz w:val="16"/>
                <w:szCs w:val="16"/>
              </w:rPr>
              <w:t xml:space="preserve">Verdict</w:t>
            </w:r>
          </w:p>
        </w:tc>
        <w:tc>
          <w:tcPr>
            <w:tcW w:type="dxa" w:w="5210"/>
            <w:shd w:fill="1B2A4A" w:val="clear"/>
            <w:tcMar>
              <w:top w:type="dxa" w:w="70"/>
              <w:left w:type="dxa" w:w="100"/>
              <w:bottom w:type="dxa" w:w="70"/>
              <w:right w:type="dxa" w:w="100"/>
            </w:tcMar>
          </w:tcPr>
          <w:p>
            <w:pPr>
              <w:spacing w:after="20" w:line="240" w:lineRule="auto"/>
            </w:pPr>
            <w:r>
              <w:rPr>
                <w:b/>
                <w:bCs/>
                <w:color w:val="FFFFFF"/>
                <w:sz w:val="16"/>
                <w:szCs w:val="16"/>
              </w:rPr>
              <w:t xml:space="preserve">Why the architecture holds</w:t>
            </w:r>
          </w:p>
        </w:tc>
      </w:tr>
      <w:tr>
        <w:tc>
          <w:tcPr>
            <w:tcW w:type="dxa" w:w="2400"/>
            <w:tcMar>
              <w:top w:type="dxa" w:w="70"/>
              <w:left w:type="dxa" w:w="100"/>
              <w:bottom w:type="dxa" w:w="70"/>
              <w:right w:type="dxa" w:w="100"/>
            </w:tcMar>
          </w:tcPr>
          <w:p>
            <w:pPr>
              <w:spacing w:after="20" w:line="240" w:lineRule="auto"/>
            </w:pPr>
            <w:r>
              <w:rPr>
                <w:b w:val="false"/>
                <w:bCs w:val="false"/>
                <w:color w:val="22252A"/>
                <w:sz w:val="16"/>
                <w:szCs w:val="16"/>
              </w:rPr>
              <w:t xml:space="preserve">Growth: large student and mentor populations</w:t>
            </w:r>
          </w:p>
        </w:tc>
        <w:tc>
          <w:tcPr>
            <w:tcW w:type="dxa" w:w="1750"/>
            <w:tcMar>
              <w:top w:type="dxa" w:w="70"/>
              <w:left w:type="dxa" w:w="100"/>
              <w:bottom w:type="dxa" w:w="70"/>
              <w:right w:type="dxa" w:w="100"/>
            </w:tcMar>
          </w:tcPr>
          <w:p>
            <w:pPr>
              <w:spacing w:after="20" w:line="240" w:lineRule="auto"/>
            </w:pPr>
            <w:r>
              <w:rPr>
                <w:b w:val="false"/>
                <w:bCs w:val="false"/>
                <w:color w:val="22252A"/>
                <w:sz w:val="16"/>
                <w:szCs w:val="16"/>
              </w:rPr>
              <w:t xml:space="preserve">STABLE</w:t>
            </w:r>
          </w:p>
        </w:tc>
        <w:tc>
          <w:tcPr>
            <w:tcW w:type="dxa" w:w="5210"/>
            <w:tcMar>
              <w:top w:type="dxa" w:w="70"/>
              <w:left w:type="dxa" w:w="100"/>
              <w:bottom w:type="dxa" w:w="70"/>
              <w:right w:type="dxa" w:w="100"/>
            </w:tcMar>
          </w:tcPr>
          <w:p>
            <w:pPr>
              <w:spacing w:after="20" w:line="240" w:lineRule="auto"/>
            </w:pPr>
            <w:r>
              <w:rPr>
                <w:b w:val="false"/>
                <w:bCs w:val="false"/>
                <w:color w:val="22252A"/>
                <w:sz w:val="16"/>
                <w:szCs w:val="16"/>
              </w:rPr>
              <w:t xml:space="preserve">Scale paths are pre-authorized and contract-invariant: hot applications promote to dedicated databases within the same contract (AD-05); per-app services scale independently; SLOs arrive with platform 1.x; the edge is the named watch item with a planned 2.0 trigger, not a surprise</w:t>
            </w:r>
          </w:p>
        </w:tc>
      </w:tr>
      <w:tr>
        <w:tc>
          <w:tcPr>
            <w:tcW w:type="dxa" w:w="2400"/>
            <w:shd w:fill="F3F5F8" w:val="clear"/>
            <w:tcMar>
              <w:top w:type="dxa" w:w="70"/>
              <w:left w:type="dxa" w:w="100"/>
              <w:bottom w:type="dxa" w:w="70"/>
              <w:right w:type="dxa" w:w="100"/>
            </w:tcMar>
          </w:tcPr>
          <w:p>
            <w:pPr>
              <w:spacing w:after="20" w:line="240" w:lineRule="auto"/>
            </w:pPr>
            <w:r>
              <w:rPr>
                <w:b w:val="false"/>
                <w:bCs w:val="false"/>
                <w:color w:val="22252A"/>
                <w:sz w:val="16"/>
                <w:szCs w:val="16"/>
              </w:rPr>
              <w:t xml:space="preserve">Additional applications and unknown future products</w:t>
            </w:r>
          </w:p>
        </w:tc>
        <w:tc>
          <w:tcPr>
            <w:tcW w:type="dxa" w:w="1750"/>
            <w:shd w:fill="F3F5F8" w:val="clear"/>
            <w:tcMar>
              <w:top w:type="dxa" w:w="70"/>
              <w:left w:type="dxa" w:w="100"/>
              <w:bottom w:type="dxa" w:w="70"/>
              <w:right w:type="dxa" w:w="100"/>
            </w:tcMar>
          </w:tcPr>
          <w:p>
            <w:pPr>
              <w:spacing w:after="20" w:line="240" w:lineRule="auto"/>
            </w:pPr>
            <w:r>
              <w:rPr>
                <w:b w:val="false"/>
                <w:bCs w:val="false"/>
                <w:color w:val="22252A"/>
                <w:sz w:val="16"/>
                <w:szCs w:val="16"/>
              </w:rPr>
              <w:t xml:space="preserve">STABLE</w:t>
            </w:r>
          </w:p>
        </w:tc>
        <w:tc>
          <w:tcPr>
            <w:tcW w:type="dxa" w:w="5210"/>
            <w:shd w:fill="F3F5F8" w:val="clear"/>
            <w:tcMar>
              <w:top w:type="dxa" w:w="70"/>
              <w:left w:type="dxa" w:w="100"/>
              <w:bottom w:type="dxa" w:w="70"/>
              <w:right w:type="dxa" w:w="100"/>
            </w:tcMar>
          </w:tcPr>
          <w:p>
            <w:pPr>
              <w:spacing w:after="20" w:line="240" w:lineRule="auto"/>
            </w:pPr>
            <w:r>
              <w:rPr>
                <w:b w:val="false"/>
                <w:bCs w:val="false"/>
                <w:color w:val="22252A"/>
                <w:sz w:val="16"/>
                <w:szCs w:val="16"/>
              </w:rPr>
              <w:t xml:space="preserve">The charter + tier + ladder pipeline is product-agnostic; a future product MissionMed cannot imagine today still needs only an ID, an owner, a boundary, and a packet — the same as Timeline Builder</w:t>
            </w:r>
          </w:p>
        </w:tc>
      </w:tr>
      <w:tr>
        <w:tc>
          <w:tcPr>
            <w:tcW w:type="dxa" w:w="2400"/>
            <w:tcMar>
              <w:top w:type="dxa" w:w="70"/>
              <w:left w:type="dxa" w:w="100"/>
              <w:bottom w:type="dxa" w:w="70"/>
              <w:right w:type="dxa" w:w="100"/>
            </w:tcMar>
          </w:tcPr>
          <w:p>
            <w:pPr>
              <w:spacing w:after="20" w:line="240" w:lineRule="auto"/>
            </w:pPr>
            <w:r>
              <w:rPr>
                <w:b w:val="false"/>
                <w:bCs w:val="false"/>
                <w:color w:val="22252A"/>
                <w:sz w:val="16"/>
                <w:szCs w:val="16"/>
              </w:rPr>
              <w:t xml:space="preserve">New AI capabilities</w:t>
            </w:r>
          </w:p>
        </w:tc>
        <w:tc>
          <w:tcPr>
            <w:tcW w:type="dxa" w:w="1750"/>
            <w:tcMar>
              <w:top w:type="dxa" w:w="70"/>
              <w:left w:type="dxa" w:w="100"/>
              <w:bottom w:type="dxa" w:w="70"/>
              <w:right w:type="dxa" w:w="100"/>
            </w:tcMar>
          </w:tcPr>
          <w:p>
            <w:pPr>
              <w:spacing w:after="20" w:line="240" w:lineRule="auto"/>
            </w:pPr>
            <w:r>
              <w:rPr>
                <w:b w:val="false"/>
                <w:bCs w:val="false"/>
                <w:color w:val="22252A"/>
                <w:sz w:val="16"/>
                <w:szCs w:val="16"/>
              </w:rPr>
              <w:t xml:space="preserve">STABLE</w:t>
            </w:r>
          </w:p>
        </w:tc>
        <w:tc>
          <w:tcPr>
            <w:tcW w:type="dxa" w:w="5210"/>
            <w:tcMar>
              <w:top w:type="dxa" w:w="70"/>
              <w:left w:type="dxa" w:w="100"/>
              <w:bottom w:type="dxa" w:w="70"/>
              <w:right w:type="dxa" w:w="100"/>
            </w:tcMar>
          </w:tcPr>
          <w:p>
            <w:pPr>
              <w:spacing w:after="20" w:line="240" w:lineRule="auto"/>
            </w:pPr>
            <w:r>
              <w:rPr>
                <w:b w:val="false"/>
                <w:bCs w:val="false"/>
                <w:color w:val="22252A"/>
                <w:sz w:val="16"/>
                <w:szCs w:val="16"/>
              </w:rPr>
              <w:t xml:space="preserve">The gateway abstracts providers; Laws 6 and 7 are model-agnostic and will bind harder as models improve; corpus and likeness assets are governed (AD-25); model churn is a gateway configuration event, not an architecture event</w:t>
            </w:r>
          </w:p>
        </w:tc>
      </w:tr>
      <w:tr>
        <w:tc>
          <w:tcPr>
            <w:tcW w:type="dxa" w:w="2400"/>
            <w:shd w:fill="F3F5F8" w:val="clear"/>
            <w:tcMar>
              <w:top w:type="dxa" w:w="70"/>
              <w:left w:type="dxa" w:w="100"/>
              <w:bottom w:type="dxa" w:w="70"/>
              <w:right w:type="dxa" w:w="100"/>
            </w:tcMar>
          </w:tcPr>
          <w:p>
            <w:pPr>
              <w:spacing w:after="20" w:line="240" w:lineRule="auto"/>
            </w:pPr>
            <w:r>
              <w:rPr>
                <w:b w:val="false"/>
                <w:bCs w:val="false"/>
                <w:color w:val="22252A"/>
                <w:sz w:val="16"/>
                <w:szCs w:val="16"/>
              </w:rPr>
              <w:t xml:space="preserve">New platform services</w:t>
            </w:r>
          </w:p>
        </w:tc>
        <w:tc>
          <w:tcPr>
            <w:tcW w:type="dxa" w:w="1750"/>
            <w:shd w:fill="F3F5F8" w:val="clear"/>
            <w:tcMar>
              <w:top w:type="dxa" w:w="70"/>
              <w:left w:type="dxa" w:w="100"/>
              <w:bottom w:type="dxa" w:w="70"/>
              <w:right w:type="dxa" w:w="100"/>
            </w:tcMar>
          </w:tcPr>
          <w:p>
            <w:pPr>
              <w:spacing w:after="20" w:line="240" w:lineRule="auto"/>
            </w:pPr>
            <w:r>
              <w:rPr>
                <w:b w:val="false"/>
                <w:bCs w:val="false"/>
                <w:color w:val="22252A"/>
                <w:sz w:val="16"/>
                <w:szCs w:val="16"/>
              </w:rPr>
              <w:t xml:space="preserve">STABLE</w:t>
            </w:r>
          </w:p>
        </w:tc>
        <w:tc>
          <w:tcPr>
            <w:tcW w:type="dxa" w:w="5210"/>
            <w:shd w:fill="F3F5F8" w:val="clear"/>
            <w:tcMar>
              <w:top w:type="dxa" w:w="70"/>
              <w:left w:type="dxa" w:w="100"/>
              <w:bottom w:type="dxa" w:w="70"/>
              <w:right w:type="dxa" w:w="100"/>
            </w:tcMar>
          </w:tcPr>
          <w:p>
            <w:pPr>
              <w:spacing w:after="20" w:line="240" w:lineRule="auto"/>
            </w:pPr>
            <w:r>
              <w:rPr>
                <w:b w:val="false"/>
                <w:bCs w:val="false"/>
                <w:color w:val="22252A"/>
                <w:sz w:val="16"/>
                <w:szCs w:val="16"/>
              </w:rPr>
              <w:t xml:space="preserve">The extraction rule plus admission protocol (3.2) means services arrive from proven need with named owners — the platform grows by digestion, not ambition</w:t>
            </w:r>
          </w:p>
        </w:tc>
      </w:tr>
      <w:tr>
        <w:tc>
          <w:tcPr>
            <w:tcW w:type="dxa" w:w="2400"/>
            <w:tcMar>
              <w:top w:type="dxa" w:w="70"/>
              <w:left w:type="dxa" w:w="100"/>
              <w:bottom w:type="dxa" w:w="70"/>
              <w:right w:type="dxa" w:w="100"/>
            </w:tcMar>
          </w:tcPr>
          <w:p>
            <w:pPr>
              <w:spacing w:after="20" w:line="240" w:lineRule="auto"/>
            </w:pPr>
            <w:r>
              <w:rPr>
                <w:b w:val="false"/>
                <w:bCs w:val="false"/>
                <w:color w:val="22252A"/>
                <w:sz w:val="16"/>
                <w:szCs w:val="16"/>
              </w:rPr>
              <w:t xml:space="preserve">International expansion</w:t>
            </w:r>
          </w:p>
        </w:tc>
        <w:tc>
          <w:tcPr>
            <w:tcW w:type="dxa" w:w="1750"/>
            <w:tcMar>
              <w:top w:type="dxa" w:w="70"/>
              <w:left w:type="dxa" w:w="100"/>
              <w:bottom w:type="dxa" w:w="70"/>
              <w:right w:type="dxa" w:w="100"/>
            </w:tcMar>
          </w:tcPr>
          <w:p>
            <w:pPr>
              <w:spacing w:after="20" w:line="240" w:lineRule="auto"/>
            </w:pPr>
            <w:r>
              <w:rPr>
                <w:b w:val="false"/>
                <w:bCs w:val="false"/>
                <w:color w:val="22252A"/>
                <w:sz w:val="16"/>
                <w:szCs w:val="16"/>
              </w:rPr>
              <w:t xml:space="preserve">STABLE WITH NAMED TRIGGER</w:t>
            </w:r>
          </w:p>
        </w:tc>
        <w:tc>
          <w:tcPr>
            <w:tcW w:type="dxa" w:w="5210"/>
            <w:tcMar>
              <w:top w:type="dxa" w:w="70"/>
              <w:left w:type="dxa" w:w="100"/>
              <w:bottom w:type="dxa" w:w="70"/>
              <w:right w:type="dxa" w:w="100"/>
            </w:tcMar>
          </w:tcPr>
          <w:p>
            <w:pPr>
              <w:spacing w:after="20" w:line="240" w:lineRule="auto"/>
            </w:pPr>
            <w:r>
              <w:rPr>
                <w:b w:val="false"/>
                <w:bCs w:val="false"/>
                <w:color w:val="22252A"/>
                <w:sz w:val="16"/>
                <w:szCs w:val="16"/>
              </w:rPr>
              <w:t xml:space="preserve">Civil-time and recurrence rules are already a Founder item; localization is application-tier work on shared primitives; data residency is the honest hard case and is named as a 2.0 trigger so it is planned estate work, not an emergency</w:t>
            </w:r>
          </w:p>
        </w:tc>
      </w:tr>
      <w:tr>
        <w:tc>
          <w:tcPr>
            <w:tcW w:type="dxa" w:w="2400"/>
            <w:shd w:fill="F3F5F8" w:val="clear"/>
            <w:tcMar>
              <w:top w:type="dxa" w:w="70"/>
              <w:left w:type="dxa" w:w="100"/>
              <w:bottom w:type="dxa" w:w="70"/>
              <w:right w:type="dxa" w:w="100"/>
            </w:tcMar>
          </w:tcPr>
          <w:p>
            <w:pPr>
              <w:spacing w:after="20" w:line="240" w:lineRule="auto"/>
            </w:pPr>
            <w:r>
              <w:rPr>
                <w:b w:val="false"/>
                <w:bCs w:val="false"/>
                <w:color w:val="22252A"/>
                <w:sz w:val="16"/>
                <w:szCs w:val="16"/>
              </w:rPr>
              <w:t xml:space="preserve">New educational products and specialties</w:t>
            </w:r>
          </w:p>
        </w:tc>
        <w:tc>
          <w:tcPr>
            <w:tcW w:type="dxa" w:w="1750"/>
            <w:shd w:fill="F3F5F8" w:val="clear"/>
            <w:tcMar>
              <w:top w:type="dxa" w:w="70"/>
              <w:left w:type="dxa" w:w="100"/>
              <w:bottom w:type="dxa" w:w="70"/>
              <w:right w:type="dxa" w:w="100"/>
            </w:tcMar>
          </w:tcPr>
          <w:p>
            <w:pPr>
              <w:spacing w:after="20" w:line="240" w:lineRule="auto"/>
            </w:pPr>
            <w:r>
              <w:rPr>
                <w:b w:val="false"/>
                <w:bCs w:val="false"/>
                <w:color w:val="22252A"/>
                <w:sz w:val="16"/>
                <w:szCs w:val="16"/>
              </w:rPr>
              <w:t xml:space="preserve">STABLE</w:t>
            </w:r>
          </w:p>
        </w:tc>
        <w:tc>
          <w:tcPr>
            <w:tcW w:type="dxa" w:w="5210"/>
            <w:shd w:fill="F3F5F8" w:val="clear"/>
            <w:tcMar>
              <w:top w:type="dxa" w:w="70"/>
              <w:left w:type="dxa" w:w="100"/>
              <w:bottom w:type="dxa" w:w="70"/>
              <w:right w:type="dxa" w:w="100"/>
            </w:tcMar>
          </w:tcPr>
          <w:p>
            <w:pPr>
              <w:spacing w:after="20" w:line="240" w:lineRule="auto"/>
            </w:pPr>
            <w:r>
              <w:rPr>
                <w:b w:val="false"/>
                <w:bCs w:val="false"/>
                <w:color w:val="22252A"/>
                <w:sz w:val="16"/>
                <w:szCs w:val="16"/>
              </w:rPr>
              <w:t xml:space="preserve">RISE's registry, the corpus governance, and the Arena family's domain model all extend by data, not by architecture; specialty rollout is already a RISE feature-flag dimension</w:t>
            </w:r>
          </w:p>
        </w:tc>
      </w:tr>
      <w:tr>
        <w:tc>
          <w:tcPr>
            <w:tcW w:type="dxa" w:w="2400"/>
            <w:tcMar>
              <w:top w:type="dxa" w:w="70"/>
              <w:left w:type="dxa" w:w="100"/>
              <w:bottom w:type="dxa" w:w="70"/>
              <w:right w:type="dxa" w:w="100"/>
            </w:tcMar>
          </w:tcPr>
          <w:p>
            <w:pPr>
              <w:spacing w:after="20" w:line="240" w:lineRule="auto"/>
            </w:pPr>
            <w:r>
              <w:rPr>
                <w:b w:val="false"/>
                <w:bCs w:val="false"/>
                <w:color w:val="22252A"/>
                <w:sz w:val="16"/>
                <w:szCs w:val="16"/>
              </w:rPr>
              <w:t xml:space="preserve">Organizational durability</w:t>
            </w:r>
          </w:p>
        </w:tc>
        <w:tc>
          <w:tcPr>
            <w:tcW w:type="dxa" w:w="1750"/>
            <w:tcMar>
              <w:top w:type="dxa" w:w="70"/>
              <w:left w:type="dxa" w:w="100"/>
              <w:bottom w:type="dxa" w:w="70"/>
              <w:right w:type="dxa" w:w="100"/>
            </w:tcMar>
          </w:tcPr>
          <w:p>
            <w:pPr>
              <w:spacing w:after="20" w:line="240" w:lineRule="auto"/>
            </w:pPr>
            <w:r>
              <w:rPr>
                <w:b w:val="false"/>
                <w:bCs w:val="false"/>
                <w:color w:val="22252A"/>
                <w:sz w:val="16"/>
                <w:szCs w:val="16"/>
              </w:rPr>
              <w:t xml:space="preserve">STABLE BY LAW</w:t>
            </w:r>
          </w:p>
        </w:tc>
        <w:tc>
          <w:tcPr>
            <w:tcW w:type="dxa" w:w="5210"/>
            <w:tcMar>
              <w:top w:type="dxa" w:w="70"/>
              <w:left w:type="dxa" w:w="100"/>
              <w:bottom w:type="dxa" w:w="70"/>
              <w:right w:type="dxa" w:w="100"/>
            </w:tcMar>
          </w:tcPr>
          <w:p>
            <w:pPr>
              <w:spacing w:after="20" w:line="240" w:lineRule="auto"/>
            </w:pPr>
            <w:r>
              <w:rPr>
                <w:b w:val="false"/>
                <w:bCs w:val="false"/>
                <w:color w:val="22252A"/>
                <w:sz w:val="16"/>
                <w:szCs w:val="16"/>
              </w:rPr>
              <w:t xml:space="preserve">Law 13 (records outrank memory), the Registrar function, authority packets, and the annual review make the platform legible to any future engineer; the bus-factor risk is mitigated by artifact, which is the only mitigation an architecture can offer</w:t>
            </w:r>
          </w:p>
        </w:tc>
      </w:tr>
    </w:tbl>
    <w:p>
      <w:pPr>
        <w:spacing w:after="160" w:before="0" w:line="276" w:lineRule="auto"/>
      </w:pPr>
      <w:r>
        <w:t xml:space="preserve">Verdict: the architecture remains stable across the decade's foreseeable pressures. Its three genuine long-horizon risks — the WordPress edge, data residency, and multi-tenancy — are all named 2.0 triggers with the identity chain deliberately transport-agnostic beneath them, which is the difference between a cliff and a planned renovation.</w:t>
      </w:r>
    </w:p>
    <w:p>
      <w:pPr>
        <w:pStyle w:val="Heading1"/>
        <w:spacing w:after="200" w:before="360"/>
      </w:pPr>
      <w:r>
        <w:t xml:space="preserve">7. The Final Critical Review</w:t>
      </w:r>
    </w:p>
    <w:p>
      <w:pPr>
        <w:spacing w:after="160" w:before="0" w:line="276" w:lineRule="auto"/>
      </w:pPr>
      <w:r>
        <w:t xml:space="preserve">The commissioned question: *if MissionMed operated exactly according to this constitution for the next ten years, would anything important eventually break?* The review was conducted adversarially against Revision 2 as written, ignoring wording and hunting for structural decay. Five slow failure modes were found; each is fixed in this revision, and the fixes are the honest content of Revision 3. </w:t>
      </w:r>
      <w:r>
        <w:rPr>
          <w:b/>
          <w:bCs/>
        </w:rPr>
        <w:t xml:space="preserve">(1) Governance incompleteness:</w:t>
      </w:r>
      <w:r>
        <w:t xml:space="preserve"> Revision 2 governed what exists but under-specified admission, retirement, and deprecation — ten years of new and dying systems would have improvised those paths. Fixed by Section 3. </w:t>
      </w:r>
      <w:r>
        <w:rPr>
          <w:b/>
          <w:bCs/>
        </w:rPr>
        <w:t xml:space="preserve">(2) Platform version drift:</w:t>
      </w:r>
      <w:r>
        <w:t xml:space="preserve"> without lifecycle semantics, 'the platform' would fork into whatever each application last consumed. Fixed by Section 4 and the version manifest. </w:t>
      </w:r>
      <w:r>
        <w:rPr>
          <w:b/>
          <w:bCs/>
        </w:rPr>
        <w:t xml:space="preserve">(3) Exception sediment:</w:t>
      </w:r>
      <w:r>
        <w:t xml:space="preserve"> waivers without expiry dates become the real architecture within five years. Fixed by 3.6 and Law 12. </w:t>
      </w:r>
      <w:r>
        <w:rPr>
          <w:b/>
          <w:bCs/>
        </w:rPr>
        <w:t xml:space="preserve">(4) Knowledge concentration:</w:t>
      </w:r>
      <w:r>
        <w:t xml:space="preserve"> the constitution assumed its own records culture without mandating it. Fixed by Law 13 and the Registrar function. </w:t>
      </w:r>
      <w:r>
        <w:rPr>
          <w:b/>
          <w:bCs/>
        </w:rPr>
        <w:t xml:space="preserve">(5) Data without a clock:</w:t>
      </w:r>
      <w:r>
        <w:t xml:space="preserve"> nothing required domains to plan retention, export, and deletion, and a decade of accumulating student data is the one liability that grows while everyone is busy. Fixed by Law 16 and Founder item 19. Beyond these five: nothing found. The domain boundaries, communication lanes, identity chain, evidence law, and remediation sequence were each attacked and held.</w:t>
      </w:r>
    </w:p>
    <w:p>
      <w:pPr>
        <w:pStyle w:val="Heading1"/>
        <w:spacing w:after="200" w:before="360"/>
      </w:pPr>
      <w:r>
        <w:t xml:space="preserve">8. Founder Decisions Remaining</w:t>
      </w:r>
    </w:p>
    <w:p>
      <w:pPr>
        <w:spacing w:after="160" w:before="0" w:line="276" w:lineRule="auto"/>
      </w:pPr>
      <w:r>
        <w:t xml:space="preserve">The slate stands at nineteen items — the eighteen of Revision 2 (canonical names and IDs; event-service scope and time rules; the study_block migration path; the identity/entitlement/capability contract; data-estate policy and ledger ownership; shared-services scope and first consumers; the LOR privacy matrix; PS Builder's product model; ACTN's consent policies; Timeline's beta authority; Direct Messages' capability model; StoryForge's seal ratification; presentation locks; named owners; the admin-plane boundary; restricted-corpus policy; voice and likeness consent; unmanifested-runtime disposition) — plus </w:t>
      </w:r>
      <w:r>
        <w:rPr>
          <w:b/>
          <w:bCs/>
        </w:rPr>
        <w:t xml:space="preserve">item 19: ratification of the retention-and-deletion schedule</w:t>
      </w:r>
      <w:r>
        <w:t xml:space="preserve"> required by Law 16, drafted per domain by each owner and approved as one slate. None of these blocks adoption of the constitution itself; items 1, 5, 12, 14, 15, and 18 sit on the Wave R/V–0 critical path and should be answered in the first sitting.</w:t>
      </w:r>
    </w:p>
    <w:p>
      <w:r>
        <w:br w:type="page"/>
      </w:r>
    </w:p>
    <w:p>
      <w:pPr>
        <w:pStyle w:val="Heading1"/>
        <w:spacing w:after="200" w:before="360"/>
      </w:pPr>
      <w:r>
        <w:t xml:space="preserve">9. Ratification Recommendation</w:t>
      </w:r>
    </w:p>
    <w:p>
      <w:pPr>
        <w:spacing w:after="160" w:before="0" w:line="276" w:lineRule="auto"/>
      </w:pPr>
      <w:r>
        <w:t xml:space="preserve">Revision 3 completes the work the Summit commissioned: the applications testified, the discovery verified, the architecture reconciled, the constitution codified. The document now before the Founder consists of Revision 2's architecture in full, plus the governance layer, lifecycle, and sixteen laws of this revision. It satisfies every success criterion the commission set: StoryForge protected and sealed; Timeline Builder's lane open; infrastructure reinvention ended by registries, libraries, and packets; shared services coherent and absent-until-sealed; canonical ownership explicit across the full census; bounded domains intact; evolution incremental with production uninterrupted; history honored without distortion through the tiers; and the whole understandable — three working artifacts, sixteen laws, one register — for a decade of operation. </w:t>
      </w:r>
      <w:r>
        <w:rPr>
          <w:b/>
          <w:bCs/>
        </w:rPr>
        <w:t xml:space="preserve">It is recommended that this document, Revision 3, be ratified as the official governing engineering constitution for MissionMed Platform v1 and the authoritative implementation blueprint for all future Codex engineering work</w:t>
      </w:r>
      <w:r>
        <w:t xml:space="preserve">, with the AD-27 verification pass and the Founder slate proceeding as its first scheduled acts rather than as preconditions to its adoption.</w:t>
      </w:r>
    </w:p>
    <w:p>
      <w:pPr>
        <w:pStyle w:val="Heading2"/>
        <w:spacing w:after="160" w:before="280"/>
      </w:pPr>
      <w:r>
        <w:t xml:space="preserve">9.1 The final question</w:t>
      </w:r>
    </w:p>
    <w:p>
      <w:pPr>
        <w:pBdr>
          <w:top w:val="single" w:color="C9CFDA" w:sz="2"/>
          <w:bottom w:val="single" w:color="C9CFDA" w:sz="2"/>
          <w:left w:val="single" w:color="1B2A4A" w:sz="20"/>
          <w:right w:val="single" w:color="C9CFDA" w:sz="2"/>
        </w:pBdr>
        <w:shd w:fill="F5F3EE" w:val="clear"/>
        <w:spacing w:after="200" w:before="120" w:line="276" w:lineRule="auto"/>
        <w:ind w:left="120" w:right="120"/>
      </w:pPr>
      <w:r>
        <w:rPr>
          <w:b/>
          <w:bCs/>
          <w:color w:val="22252A"/>
        </w:rPr>
        <w:t xml:space="preserve">"If MissionMed adopted this constitution exactly as written, would you personally recommend beginning implementation?"  —  YES.</w:t>
      </w:r>
      <w:r>
        <w:rPr>
          <w:color w:val="22252A"/>
        </w:rPr>
        <w:t xml:space="preserve"> Unqualified — because every condition that would ordinarily qualify such an answer is already inside the constitution as scheduled, sequenced work rather than outside it as a caveat. Beginning implementation under this constitution means beginning Wave R/V: the ordered stop-line repairs, the bounded verification pass, and the three seals — which is precisely what MissionMed should do next, starting with the MedMail authorization repair that must precede the Growth Engine restore. The constitution does not ask MissionMed to trust that the platform is ready; it asks MissionMed to run the machine that proves readiness one system at a time, while every product keeps shipping. That machine is ready. Begin.</w:t>
      </w:r>
    </w:p>
    <w:sectPr>
      <w:headerReference w:type="default" r:id="rId7"/>
      <w:footerReference w:type="default" r:id="rId8"/>
      <w:pgSz w:w="12240" w:h="15840" w:orient="portrait"/>
      <w:pgMar w:top="1240" w:right="1330" w:bottom="1240" w:left="133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85"/>
        <w:sz w:val="15"/>
        <w:szCs w:val="15"/>
      </w:rPr>
      <w:t xml:space="preserve">MissionMed Confidential  ·  Page </w:t>
    </w:r>
    <w:r>
      <w:rPr>
        <w:color w:val="5A6B85"/>
        <w:sz w:val="15"/>
        <w:szCs w:val="15"/>
      </w:rPr>
      <w:fldChar w:fldCharType="begin"/>
      <w:instrText xml:space="preserve">PAGE</w:instrText>
      <w:fldChar w:fldCharType="separate"/>
      <w:fldChar w:fldCharType="end"/>
    </w:r>
    <w:r>
      <w:rPr>
        <w:color w:val="5A6B85"/>
        <w:sz w:val="15"/>
        <w:szCs w:val="15"/>
      </w:rPr>
      <w:t xml:space="preserve"> of </w:t>
    </w:r>
    <w:r>
      <w:rPr>
        <w:color w:val="5A6B8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A" w:sz="4"/>
      </w:pBdr>
      <w:jc w:val="right"/>
    </w:pPr>
    <w:r>
      <w:rPr>
        <w:color w:val="5A6B85"/>
        <w:sz w:val="15"/>
        <w:szCs w:val="15"/>
      </w:rPr>
      <w:t xml:space="preserve">MissionMed Platform v1 — Governing Constitution, Revision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52A"/>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outlineLvl w:val="0"/>
    </w:pPr>
    <w:rPr>
      <w:rFonts w:ascii="Georgia" w:cs="Georgia" w:eastAsia="Georgia" w:hAnsi="Georgia"/>
      <w:b/>
      <w:bCs/>
      <w:color w:val="1B2A4A"/>
      <w:sz w:val="32"/>
      <w:szCs w:val="32"/>
    </w:rPr>
  </w:style>
  <w:style w:type="paragraph" w:styleId="Heading2">
    <w:name w:val="Heading 2"/>
    <w:basedOn w:val="Normal"/>
    <w:next w:val="Normal"/>
    <w:qFormat/>
    <w:pPr>
      <w:spacing w:after="160" w:before="300"/>
      <w:outlineLvl w:val="1"/>
    </w:pPr>
    <w:rPr>
      <w:rFonts w:ascii="Georgia" w:cs="Georgia" w:eastAsia="Georgia" w:hAnsi="Georgia"/>
      <w:b/>
      <w:bCs/>
      <w:color w:val="0E7C7B"/>
      <w:sz w:val="26"/>
      <w:szCs w:val="26"/>
    </w:rPr>
  </w:style>
  <w:style w:type="paragraph" w:styleId="Heading3">
    <w:name w:val="Heading 3"/>
    <w:basedOn w:val="Normal"/>
    <w:next w:val="Normal"/>
    <w:qFormat/>
    <w:pPr>
      <w:spacing w:after="120" w:before="220"/>
      <w:outlineLvl w:val="2"/>
    </w:pPr>
    <w:rPr>
      <w:rFonts w:ascii="Georgia" w:cs="Georgia" w:eastAsia="Georgia" w:hAnsi="Georgia"/>
      <w:b/>
      <w:bCs/>
      <w:color w:val="5A6B85"/>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03518abeec36c0390326ffa27f7f54b7873f71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MissionMed Platform v1 — Governing Constitution, Revision 3</dc:title>
  <dc:creator>MissionMed Chief Enterprise Architect</dc:creator>
  <dc:description>Finalization of the MissionMed Platform v1 engineering constitution</dc:description>
  <cp:lastModifiedBy>Un-named</cp:lastModifiedBy>
  <cp:revision>1</cp:revision>
  <dcterms:created xsi:type="dcterms:W3CDTF">2026-08-03T04:30:59.920Z</dcterms:created>
  <dcterms:modified xsi:type="dcterms:W3CDTF">2026-08-03T04:30:59.921Z</dcterms:modified>
</cp:coreProperties>
</file>

<file path=docProps/custom.xml><?xml version="1.0" encoding="utf-8"?>
<Properties xmlns="http://schemas.openxmlformats.org/officeDocument/2006/custom-properties" xmlns:vt="http://schemas.openxmlformats.org/officeDocument/2006/docPropsVTypes"/>
</file>