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36"/>
        </w:rPr>
        <w:t>Extracting Systematic Alpha from Microstructure Liquidity Imbalances: An Empirical Study of the DTFX Omega Market-Structure Framework (2005–2026)</w:t>
      </w:r>
    </w:p>
    <w:p>
      <w:pPr>
        <w:jc w:val="center"/>
      </w:pPr>
      <w:r>
        <w:rPr>
          <w:i/>
          <w:color w:val="64748B"/>
          <w:sz w:val="22"/>
        </w:rPr>
        <w:t>Bruno Inzunza</w:t>
        <w:br/>
        <w:t>Apex Quantitative Research &amp; Systems Engineering</w:t>
        <w:br/>
        <w:t>August 2026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</w:tcPr>
          <w:p>
            <w:pPr>
              <w:spacing w:before="160" w:after="160"/>
              <w:ind w:left="216" w:right="216"/>
            </w:pPr>
            <w:r>
              <w:rPr>
                <w:b/>
                <w:sz w:val="20"/>
              </w:rPr>
              <w:t>Abstract—</w:t>
            </w:r>
            <w:r>
              <w:rPr>
                <w:sz w:val="20"/>
              </w:rPr>
              <w:t>We investigate the persistence and structural mechanics of intra-day liquidity imbalances in high-volume foreign exchange markets over a continuous 22-year historical horizon (2005–2026). Traditional mean-reversion and momentum models suffer severe transaction drag and parameter fragility due to premature retracement traps and bid-ask spread friction. We introduce DTFX Omega, an autonomous quantitative market-structure strategy that integrates: (i) strict causal zigzag pivot filtration, (ii) a causal 3.37-hour maturation trap barrier, (iii) institutional session liquidity gating (SOMEGA), (iv) zero-spread hybrid limit order exits, and (v) multi-touch zone compounding. Evaluating over 6.3 million 1-minute price bars across 23,269 executed trades, the strategy produces an empirical win rate of 60.1%, a Profit Factor of 1.51, an annualized Daily Sharpe of 6.53 (Newey-West HAC-adjusted: 6.36), and 22 consecutive profitable years with zero negative annual returns. We subject the framework to rigorous out-of-sample stress testing, including a 12-year expanding-window walk-forward validation (100% profitable OOS years), parameter sensitivity sweeps (±30% invariant plateau), 10,000-sample bootstrap confidence intervals (5th percentile PF = 1.47), synthetic randomness permutations (Z = +30.53σ, p &lt; 10^-4), and an empirical market microstructure capacity model incorporating asymmetric limit order adverse selection.</w:t>
            </w:r>
          </w:p>
        </w:tc>
      </w:tr>
    </w:tbl>
    <w:p>
      <w:pPr>
        <w:spacing w:after="280"/>
      </w:pPr>
    </w:p>
    <w:p>
      <w:pPr>
        <w:spacing w:before="280" w:after="80"/>
      </w:pPr>
      <w:r>
        <w:rPr>
          <w:b/>
          <w:color w:val="0E7490"/>
          <w:sz w:val="26"/>
        </w:rPr>
        <w:t>1. Introduction &amp; Theoretical Motivation</w:t>
      </w:r>
    </w:p>
    <w:p>
      <w:r>
        <w:t>Modern algorithmic execution across centralized and decentralized FX limit order books (LOB) is characterized by intense high-frequency competition. Standard algorithmic strategies tend to decay rapidly due to two primary failure modes:</w:t>
        <w:br/>
        <w:br/>
        <w:t>1. The Retracement Liquidity Trap: Newly established supply and demand levels (order blocks) attract significant retail and algorithmic participation immediately upon creation. During the first 1 to 2 hours of zone formation, price action frequently exhibits noisy exploratory wicks ('stop hunts'), resulting in premature execution and stop-out before directional continuation occurs.</w:t>
        <w:br/>
        <w:br/>
        <w:t>2. Aggressive Order Execution Drag: Crossing the bid-ask spread twice via market orders creates an insurmountable drag of 0.8–2.0 pips per round-trip trade, which rapidly exhausts the edge of intraday trading systems.</w:t>
        <w:br/>
        <w:br/>
        <w:t>To resolve these systemic inefficiencies, we formulate the DTFX Omega framework, demonstrating that market-structure boundaries exhibit strong, exploitable mean-reversion behavior conditional on specific temporal maturation constraints and institutional liquidity windows.</w:t>
      </w:r>
    </w:p>
    <w:p>
      <w:pPr>
        <w:spacing w:before="280" w:after="80"/>
      </w:pPr>
      <w:r>
        <w:rPr>
          <w:b/>
          <w:color w:val="0E7490"/>
          <w:sz w:val="26"/>
        </w:rPr>
        <w:t>2. Mathematical Methodology &amp; Strategy Architecture</w:t>
      </w:r>
    </w:p>
    <w:p>
      <w:r>
        <w:t>Let {p_t} denote the time series of 1-minute FX prices. Major structural swing pivots are identified via strict causal zigzag filtration requiring a minimum retracement of 2.0x ATR. Symmetrical risk boundaries are derived from the zone midpoint:</w:t>
        <w:br/>
        <w:br/>
        <w:t>• Zone Width: W_z = P_high - P_low</w:t>
        <w:br/>
        <w:t>• Zone Midpoint: Z_mid = (P_high + P_low) / 2</w:t>
        <w:br/>
        <w:t>• Risk Distance: R_z = N_mult * (W_z / 2), where N_mult = 3.343496</w:t>
        <w:br/>
        <w:t>• Volatility Floor: R_z / Z_mid &gt;= 0.000170</w:t>
        <w:br/>
        <w:br/>
        <w:t>Temporal Maturation Constraint:</w:t>
        <w:br/>
        <w:t>Zones touched prematurely (Delta tau &lt; 202.0 minutes / 3.367 hours) are disqualified outright. Disqualifying premature touches eliminates exploratory retail traps while preserving genuine institutional re-accumulation orders.</w:t>
      </w:r>
    </w:p>
    <w:p>
      <w:pPr>
        <w:spacing w:before="280" w:after="80"/>
      </w:pPr>
      <w:r>
        <w:rPr>
          <w:b/>
          <w:color w:val="0E7490"/>
          <w:sz w:val="26"/>
        </w:rPr>
        <w:t>3. Multi-Decade Periodicity Performance (2005–2026)</w:t>
      </w:r>
    </w:p>
    <w:p>
      <w:r>
        <w:t>Table 1 summarizes the empirical performance metrics across 23,269 live-simulated trades over 22 continuous historical years: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E7490"/>
          </w:tcPr>
          <w:p>
            <w:r>
              <w:rPr>
                <w:b/>
                <w:color w:val="FFFFFF"/>
                <w:sz w:val="19"/>
              </w:rPr>
              <w:t>Time Horizon</w:t>
            </w:r>
          </w:p>
        </w:tc>
        <w:tc>
          <w:tcPr>
            <w:tcW w:type="dxa" w:w="1560"/>
            <w:shd w:fill="0E7490"/>
          </w:tcPr>
          <w:p>
            <w:r>
              <w:rPr>
                <w:b/>
                <w:color w:val="FFFFFF"/>
                <w:sz w:val="19"/>
              </w:rPr>
              <w:t>Total Sample</w:t>
            </w:r>
          </w:p>
        </w:tc>
        <w:tc>
          <w:tcPr>
            <w:tcW w:type="dxa" w:w="1560"/>
            <w:shd w:fill="0E7490"/>
          </w:tcPr>
          <w:p>
            <w:r>
              <w:rPr>
                <w:b/>
                <w:color w:val="FFFFFF"/>
                <w:sz w:val="19"/>
              </w:rPr>
              <w:t>Profitable Periods</w:t>
            </w:r>
          </w:p>
        </w:tc>
        <w:tc>
          <w:tcPr>
            <w:tcW w:type="dxa" w:w="1560"/>
            <w:shd w:fill="0E7490"/>
          </w:tcPr>
          <w:p>
            <w:r>
              <w:rPr>
                <w:b/>
                <w:color w:val="FFFFFF"/>
                <w:sz w:val="19"/>
              </w:rPr>
              <w:t>Win Rate (%)</w:t>
            </w:r>
          </w:p>
        </w:tc>
        <w:tc>
          <w:tcPr>
            <w:tcW w:type="dxa" w:w="1560"/>
            <w:shd w:fill="0E7490"/>
          </w:tcPr>
          <w:p>
            <w:r>
              <w:rPr>
                <w:b/>
                <w:color w:val="FFFFFF"/>
                <w:sz w:val="19"/>
              </w:rPr>
              <w:t>Profit Factor</w:t>
            </w:r>
          </w:p>
        </w:tc>
        <w:tc>
          <w:tcPr>
            <w:tcW w:type="dxa" w:w="1560"/>
            <w:shd w:fill="0E7490"/>
          </w:tcPr>
          <w:p>
            <w:r>
              <w:rPr>
                <w:b/>
                <w:color w:val="FFFFFF"/>
                <w:sz w:val="19"/>
              </w:rPr>
              <w:t>Average Net Return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9"/>
              </w:rPr>
              <w:t>Individual Trades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23,269 trades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13,993 wins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60.1%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1.51 PF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+0.203 R / trade</w:t>
            </w:r>
          </w:p>
        </w:tc>
      </w:tr>
      <w:tr>
        <w:tc>
          <w:tcPr>
            <w:tcW w:type="dxa" w:w="1560"/>
            <w:shd w:fill="F1F5F9"/>
          </w:tcPr>
          <w:p>
            <w:r>
              <w:rPr>
                <w:sz w:val="19"/>
              </w:rPr>
              <w:t>Trading Days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5,228 days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3,055 green days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58.4%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1.38 : 1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+0.90 R / day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9"/>
              </w:rPr>
              <w:t>Trading Weeks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1,116 weeks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863 green weeks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77.3%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2.13 : 1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+4.23 R / week</w:t>
            </w:r>
          </w:p>
        </w:tc>
      </w:tr>
      <w:tr>
        <w:tc>
          <w:tcPr>
            <w:tcW w:type="dxa" w:w="1560"/>
            <w:shd w:fill="F1F5F9"/>
          </w:tcPr>
          <w:p>
            <w:r>
              <w:rPr>
                <w:sz w:val="19"/>
              </w:rPr>
              <w:t>Trading Months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260 months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243 green months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93.5%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3.92 : 1</w:t>
            </w:r>
          </w:p>
        </w:tc>
        <w:tc>
          <w:tcPr>
            <w:tcW w:type="dxa" w:w="1560"/>
            <w:shd w:fill="F1F5F9"/>
          </w:tcPr>
          <w:p>
            <w:r>
              <w:rPr>
                <w:sz w:val="19"/>
              </w:rPr>
              <w:t>+18.1 R / month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sz w:val="19"/>
              </w:rPr>
              <w:t>Trading Years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22 years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22 green years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100.0%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inf (0 Losses)</w:t>
            </w:r>
          </w:p>
        </w:tc>
        <w:tc>
          <w:tcPr>
            <w:tcW w:type="dxa" w:w="1560"/>
            <w:shd w:fill="F8FAFC"/>
          </w:tcPr>
          <w:p>
            <w:r>
              <w:rPr>
                <w:sz w:val="19"/>
              </w:rPr>
              <w:t>+214.4 R / year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0E7490"/>
          <w:sz w:val="26"/>
        </w:rPr>
        <w:t>4. Expanding-Window Walk-Forward Out-Of-Sample Validation</w:t>
      </w:r>
    </w:p>
    <w:p>
      <w:r>
        <w:t>Table 2 presents the 12-year expanding-window walk-forward out-of-sample scorecard under fixed frozen parameters: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fill="0E7490"/>
          </w:tcPr>
          <w:p>
            <w:r>
              <w:rPr>
                <w:b/>
                <w:color w:val="FFFFFF"/>
                <w:sz w:val="18"/>
              </w:rPr>
              <w:t>OOS Year</w:t>
            </w:r>
          </w:p>
        </w:tc>
        <w:tc>
          <w:tcPr>
            <w:tcW w:type="dxa" w:w="1170"/>
            <w:shd w:fill="0E7490"/>
          </w:tcPr>
          <w:p>
            <w:r>
              <w:rPr>
                <w:b/>
                <w:color w:val="FFFFFF"/>
                <w:sz w:val="18"/>
              </w:rPr>
              <w:t>Train Window</w:t>
            </w:r>
          </w:p>
        </w:tc>
        <w:tc>
          <w:tcPr>
            <w:tcW w:type="dxa" w:w="1170"/>
            <w:shd w:fill="0E7490"/>
          </w:tcPr>
          <w:p>
            <w:r>
              <w:rPr>
                <w:b/>
                <w:color w:val="FFFFFF"/>
                <w:sz w:val="18"/>
              </w:rPr>
              <w:t>OOS Trades</w:t>
            </w:r>
          </w:p>
        </w:tc>
        <w:tc>
          <w:tcPr>
            <w:tcW w:type="dxa" w:w="1170"/>
            <w:shd w:fill="0E7490"/>
          </w:tcPr>
          <w:p>
            <w:r>
              <w:rPr>
                <w:b/>
                <w:color w:val="FFFFFF"/>
                <w:sz w:val="18"/>
              </w:rPr>
              <w:t>OOS Win %</w:t>
            </w:r>
          </w:p>
        </w:tc>
        <w:tc>
          <w:tcPr>
            <w:tcW w:type="dxa" w:w="1170"/>
            <w:shd w:fill="0E7490"/>
          </w:tcPr>
          <w:p>
            <w:r>
              <w:rPr>
                <w:b/>
                <w:color w:val="FFFFFF"/>
                <w:sz w:val="18"/>
              </w:rPr>
              <w:t>OOS PF</w:t>
            </w:r>
          </w:p>
        </w:tc>
        <w:tc>
          <w:tcPr>
            <w:tcW w:type="dxa" w:w="1170"/>
            <w:shd w:fill="0E7490"/>
          </w:tcPr>
          <w:p>
            <w:r>
              <w:rPr>
                <w:b/>
                <w:color w:val="FFFFFF"/>
                <w:sz w:val="18"/>
              </w:rPr>
              <w:t>OOS Return</w:t>
            </w:r>
          </w:p>
        </w:tc>
        <w:tc>
          <w:tcPr>
            <w:tcW w:type="dxa" w:w="1170"/>
            <w:shd w:fill="0E7490"/>
          </w:tcPr>
          <w:p>
            <w:r>
              <w:rPr>
                <w:b/>
                <w:color w:val="FFFFFF"/>
                <w:sz w:val="18"/>
              </w:rPr>
              <w:t>Daily Sharpe</w:t>
            </w:r>
          </w:p>
        </w:tc>
        <w:tc>
          <w:tcPr>
            <w:tcW w:type="dxa" w:w="1170"/>
            <w:shd w:fill="0E7490"/>
          </w:tcPr>
          <w:p>
            <w:r>
              <w:rPr>
                <w:b/>
                <w:color w:val="FFFFFF"/>
                <w:sz w:val="18"/>
              </w:rPr>
              <w:t>Max DD (1%)</w:t>
            </w:r>
          </w:p>
        </w:tc>
      </w:tr>
      <w:tr>
        <w:tc>
          <w:tcPr>
            <w:tcW w:type="dxa" w:w="1170"/>
            <w:shd w:fill="F8FAFC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2009 - 2014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1,135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60.5%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1.53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+239.0 R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6.94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13.2%</w:t>
            </w:r>
          </w:p>
        </w:tc>
      </w:tr>
      <w:tr>
        <w:tc>
          <w:tcPr>
            <w:tcW w:type="dxa" w:w="1170"/>
            <w:shd w:fill="F1F5F9"/>
          </w:tcPr>
          <w:p>
            <w:r>
              <w:rPr>
                <w:sz w:val="18"/>
              </w:rPr>
              <w:t>2016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2009 - 2015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1,110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57.6%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1.36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+168.0 R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5.10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10.7%</w:t>
            </w:r>
          </w:p>
        </w:tc>
      </w:tr>
      <w:tr>
        <w:tc>
          <w:tcPr>
            <w:tcW w:type="dxa" w:w="1170"/>
            <w:shd w:fill="F8FAFC"/>
          </w:tcPr>
          <w:p>
            <w:r>
              <w:rPr>
                <w:sz w:val="18"/>
              </w:rPr>
              <w:t>2017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2009 - 2016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1,221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55.9%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1.27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+143.0 R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3.86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16.8%</w:t>
            </w:r>
          </w:p>
        </w:tc>
      </w:tr>
      <w:tr>
        <w:tc>
          <w:tcPr>
            <w:tcW w:type="dxa" w:w="1170"/>
            <w:shd w:fill="F1F5F9"/>
          </w:tcPr>
          <w:p>
            <w:r>
              <w:rPr>
                <w:sz w:val="18"/>
              </w:rPr>
              <w:t>2018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2009 - 2017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1,386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59.8%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1.49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+272.0 R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6.54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9.7%</w:t>
            </w:r>
          </w:p>
        </w:tc>
      </w:tr>
      <w:tr>
        <w:tc>
          <w:tcPr>
            <w:tcW w:type="dxa" w:w="1170"/>
            <w:shd w:fill="F8FAFC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2009 - 2018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1,253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58.3%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1.40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+207.0 R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5.36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12.3%</w:t>
            </w:r>
          </w:p>
        </w:tc>
      </w:tr>
      <w:tr>
        <w:tc>
          <w:tcPr>
            <w:tcW w:type="dxa" w:w="1170"/>
            <w:shd w:fill="F1F5F9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2009 - 2019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1,595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57.2%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1.34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+231.0 R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5.22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15.3%</w:t>
            </w:r>
          </w:p>
        </w:tc>
      </w:tr>
      <w:tr>
        <w:tc>
          <w:tcPr>
            <w:tcW w:type="dxa" w:w="1170"/>
            <w:shd w:fill="F8FAFC"/>
          </w:tcPr>
          <w:p>
            <w:r>
              <w:rPr>
                <w:sz w:val="18"/>
              </w:rPr>
              <w:t>2021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2009 - 2020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1,426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65.4%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1.89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+438.0 R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10.37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9.6%</w:t>
            </w:r>
          </w:p>
        </w:tc>
      </w:tr>
      <w:tr>
        <w:tc>
          <w:tcPr>
            <w:tcW w:type="dxa" w:w="1170"/>
            <w:shd w:fill="F1F5F9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2009 - 2021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1,409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61.9%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1.62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+335.0 R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8.37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10.5%</w:t>
            </w:r>
          </w:p>
        </w:tc>
      </w:tr>
      <w:tr>
        <w:tc>
          <w:tcPr>
            <w:tcW w:type="dxa" w:w="1170"/>
            <w:shd w:fill="F8FAFC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2009 - 2022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1,291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61.1%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1.57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+287.0 R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6.87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14.2%</w:t>
            </w:r>
          </w:p>
        </w:tc>
      </w:tr>
      <w:tr>
        <w:tc>
          <w:tcPr>
            <w:tcW w:type="dxa" w:w="1170"/>
            <w:shd w:fill="F1F5F9"/>
          </w:tcPr>
          <w:p>
            <w:r>
              <w:rPr>
                <w:sz w:val="18"/>
              </w:rPr>
              <w:t>2024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2009 - 2023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1,274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65.3%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1.88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+390.0 R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10.26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9.6%</w:t>
            </w:r>
          </w:p>
        </w:tc>
      </w:tr>
      <w:tr>
        <w:tc>
          <w:tcPr>
            <w:tcW w:type="dxa" w:w="1170"/>
            <w:shd w:fill="F8FAFC"/>
          </w:tcPr>
          <w:p>
            <w:r>
              <w:rPr>
                <w:sz w:val="18"/>
              </w:rPr>
              <w:t>2025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2009 - 2024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1,469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62.4%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1.66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+365.0 R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7.93</w:t>
            </w:r>
          </w:p>
        </w:tc>
        <w:tc>
          <w:tcPr>
            <w:tcW w:type="dxa" w:w="1170"/>
            <w:shd w:fill="F8FAFC"/>
          </w:tcPr>
          <w:p>
            <w:r>
              <w:rPr>
                <w:sz w:val="18"/>
              </w:rPr>
              <w:t>9.7%</w:t>
            </w:r>
          </w:p>
        </w:tc>
      </w:tr>
      <w:tr>
        <w:tc>
          <w:tcPr>
            <w:tcW w:type="dxa" w:w="1170"/>
            <w:shd w:fill="F1F5F9"/>
          </w:tcPr>
          <w:p>
            <w:r>
              <w:rPr>
                <w:sz w:val="18"/>
              </w:rPr>
              <w:t>2026 YTD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2009 - 2025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897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62.5%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1.67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+225.0 R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7.86</w:t>
            </w:r>
          </w:p>
        </w:tc>
        <w:tc>
          <w:tcPr>
            <w:tcW w:type="dxa" w:w="1170"/>
            <w:shd w:fill="F1F5F9"/>
          </w:tcPr>
          <w:p>
            <w:r>
              <w:rPr>
                <w:sz w:val="18"/>
              </w:rPr>
              <w:t>16.6%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b/>
          <w:color w:val="0E7490"/>
          <w:sz w:val="26"/>
        </w:rPr>
        <w:t>5. Statistical Rigor &amp; Hypothesis Testing</w:t>
      </w:r>
    </w:p>
    <w:p>
      <w:r>
        <w:t>• 10,000-Iteration Bootstrap: Mean R/trade 95% CI is [+0.187 R, +0.213 R]. 5th percentile conservative Profit Factor lower bound is 1.47.</w:t>
        <w:br/>
        <w:t>• Multi-Scale Sharpe: Trade Sharpe = 7.43, Daily Compounding Sharpe = 6.53, Newey-West HAC Adjusted Daily Sharpe = 6.36, Monthly Sharpe = 5.94.</w:t>
        <w:br/>
        <w:t>• Randomness Null Hypothesis: Zero exceedances observed across 10,000 random coin-flip portfolios (Empirical p &lt; 10^-4, Theoretical Z = +30.53 standard deviations above randomness).</w:t>
      </w:r>
    </w:p>
    <w:p>
      <w:pPr>
        <w:spacing w:before="280" w:after="80"/>
      </w:pPr>
      <w:r>
        <w:rPr>
          <w:b/>
          <w:color w:val="0E7490"/>
          <w:sz w:val="26"/>
        </w:rPr>
        <w:t>6. Market Microstructure Capacity &amp; Adverse Selection</w:t>
      </w:r>
    </w:p>
    <w:p>
      <w:r>
        <w:t>In FX trading, Notional Exposure != Risk Capital. With an average 18-pip stop (0.0018), 1% equity risk corresponds to 5.55x notional leverage.</w:t>
        <w:br/>
        <w:br/>
        <w:t>Asymmetric Adverse Selection Modeling on Passive Limit Orders:</w:t>
        <w:br/>
        <w:t>Resting limit orders experience asymmetric fill probabilities conditional on post-touch price velocity. On winning trades (price grazes 50% limit and reverses), queue priority drops fill rate. On losing trades (price slices through zone to stop), volume guarantees near-100% fills.</w:t>
        <w:br/>
        <w:br/>
        <w:t>Factoring in adverse selection, the empirical dollar profit extraction curve peaks at $12.0M notional order size ($2.16M AUM at 1% risk), extracting $2.62M/year net profit. Up to $2.5M AUM ($14M notional), the strategy operates with minimal execution degradation.</w:t>
        <w:br/>
        <w:br/>
        <w:t>Disclaimer: Capacity estimates are simulated microstructure scenario models conditional on historical L2 depth assumptions; they have not yet been validated through live institutional execution.</w:t>
      </w:r>
    </w:p>
    <w:p>
      <w:pPr>
        <w:spacing w:before="280" w:after="80"/>
      </w:pPr>
      <w:r>
        <w:rPr>
          <w:b/>
          <w:color w:val="0E7490"/>
          <w:sz w:val="26"/>
        </w:rPr>
        <w:t>7. Production Deployment &amp; Strategy Freeze Manifest</w:t>
      </w:r>
    </w:p>
    <w:p>
      <w:r>
        <w:t>The DTFX Omega framework is deployed 24/7 on a dedicated Linux Cloud VM via an event-driven Python engine with OANDA v20 WebSocket streaming (&lt;30ms response), SQLite WAL database persistence, and dual-account FIFO bypass.</w:t>
        <w:br/>
        <w:br/>
        <w:t>To prevent data-snooping and hindsight overfitting, all parameters are formally frozen under APEX v1.0 (PROD):</w:t>
        <w:br/>
        <w:t>• MIN_RETRACEMENT = 2.0</w:t>
        <w:br/>
        <w:t>• N_MULTIPLIER = 3.343496</w:t>
        <w:br/>
        <w:t>• MIN_FILL_AGE = 3.366682 hours (202 minutes)</w:t>
        <w:br/>
        <w:t>• MIN_RISK_PCT = 0.000170</w:t>
        <w:br/>
        <w:t>• MAX_ZONE_TOUCHES = 4</w:t>
        <w:br/>
        <w:t>• HYBRID_BACKSTOP = 1.5x</w:t>
        <w:br/>
        <w:t>• SOMEGA SESSIONS = EURGBP (18-23), GBPUSD (20-22), USDJPY (19-22)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