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389D9464"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w:t>
      </w:r>
      <w:r w:rsidR="00715E54">
        <w:rPr>
          <w:b/>
          <w:i w:val="0"/>
          <w:sz w:val="40"/>
          <w:lang w:val="en-AU"/>
        </w:rPr>
        <w:t>4</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465A9FFC" w:rsidR="00CE126F" w:rsidRPr="00CF4E55" w:rsidRDefault="00715E54" w:rsidP="00E1209D">
      <w:pPr>
        <w:pStyle w:val="BodyText"/>
        <w:jc w:val="center"/>
        <w:rPr>
          <w:rFonts w:ascii="Arial" w:hAnsi="Arial" w:cs="Arial"/>
          <w:i w:val="0"/>
          <w:noProof/>
          <w:lang w:val="en-AU"/>
        </w:rPr>
      </w:pPr>
      <w:r>
        <w:rPr>
          <w:rFonts w:ascii="Arial" w:hAnsi="Arial" w:cs="Arial"/>
          <w:i w:val="0"/>
          <w:noProof/>
          <w:lang w:val="en-AU"/>
        </w:rPr>
        <w:t>May</w:t>
      </w:r>
      <w:r w:rsidR="006665C6">
        <w:rPr>
          <w:rFonts w:ascii="Arial" w:hAnsi="Arial" w:cs="Arial"/>
          <w:i w:val="0"/>
          <w:noProof/>
          <w:lang w:val="en-AU"/>
        </w:rPr>
        <w:t xml:space="preserve"> </w:t>
      </w:r>
      <w:r w:rsidR="00493838">
        <w:rPr>
          <w:rFonts w:ascii="Arial" w:hAnsi="Arial" w:cs="Arial"/>
          <w:i w:val="0"/>
          <w:noProof/>
          <w:lang w:val="en-AU"/>
        </w:rPr>
        <w:t>202</w:t>
      </w:r>
      <w:r w:rsidR="00091935">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8734FE" w:rsidRPr="007940A5">
        <w:rPr>
          <w:noProof/>
          <w:position w:val="-14"/>
          <w:lang w:val="en-AU"/>
        </w:rPr>
        <w:object w:dxaOrig="1380" w:dyaOrig="420" w14:anchorId="28BE61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4583175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47F52CAC" w14:textId="23BF9DE6" w:rsidR="0085701F"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595F7754" w14:textId="56192541" w:rsidR="00136D08" w:rsidRDefault="00136D08" w:rsidP="0053184C">
      <w:pPr>
        <w:rPr>
          <w:lang w:val="en-AU"/>
        </w:rPr>
      </w:pPr>
      <w:r>
        <w:rPr>
          <w:lang w:val="en-AU"/>
        </w:rPr>
        <w:t>Users that wish to</w:t>
      </w:r>
      <w:r w:rsidR="00C90BE3">
        <w:rPr>
          <w:lang w:val="en-AU"/>
        </w:rPr>
        <w:t xml:space="preserve"> (very)</w:t>
      </w:r>
      <w:r>
        <w:rPr>
          <w:lang w:val="en-AU"/>
        </w:rPr>
        <w:t xml:space="preserve"> strongly enforce inequality conditions are advised to avoid using extremely high weights for inequalities, and instead are encouraged to use the “drop_violations” functionality described later. </w:t>
      </w:r>
    </w:p>
    <w:p w14:paraId="1A2B974B" w14:textId="1F560849" w:rsidR="00811C2B" w:rsidRDefault="00811C2B" w:rsidP="0022691D">
      <w:pPr>
        <w:pStyle w:val="Heading3"/>
      </w:pPr>
      <w:bookmarkStart w:id="2067" w:name="_Toc113539659"/>
      <w:r>
        <w:lastRenderedPageBreak/>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5570C734" w:rsidR="00ED2462" w:rsidRDefault="007B372C">
      <w:pPr>
        <w:rPr>
          <w:lang w:val="en-AU"/>
        </w:rPr>
      </w:pPr>
      <w:r>
        <w:rPr>
          <w:lang w:val="en-AU"/>
        </w:rPr>
        <w:lastRenderedPageBreak/>
        <w:t xml:space="preserve">Through localization, a </w:t>
      </w:r>
      <w:r w:rsidR="006A4AB0">
        <w:rPr>
          <w:lang w:val="en-AU"/>
        </w:rPr>
        <w:t>large-scale</w:t>
      </w:r>
      <w:r>
        <w:rPr>
          <w:lang w:val="en-AU"/>
        </w:rPr>
        <w:t xml:space="preserve">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r w:rsidR="006A4AB0">
        <w:rPr>
          <w:lang w:val="en-AU"/>
        </w:rPr>
        <w:t>Note that pestpp-ies does not require that all adjustable parameters and all non-zero weighted observations be included in the localization matrix.</w:t>
      </w:r>
      <w:r w:rsidR="00D77492">
        <w:rPr>
          <w:lang w:val="en-AU"/>
        </w:rPr>
        <w:t xml:space="preserve"> </w:t>
      </w:r>
      <w:r w:rsidR="006A4AB0">
        <w:rPr>
          <w:lang w:val="en-AU"/>
        </w:rPr>
        <w:t xml:space="preserve"> In this case, pestpp-ies implicitly treats any adjustable parameters not in the localizer as “fixed” and any non-zero weighted observations not in the localizer as zero-weighted. However, users are strongly encouraged to explicitly include all adjustable parameters and all non-zero weighted observations in the localization matrix: explicit is better than implicit…</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lastRenderedPageBreak/>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lastRenderedPageBreak/>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62677834" w14:textId="63D2E607" w:rsidR="0085701F" w:rsidRDefault="0085701F" w:rsidP="00434724">
      <w:pPr>
        <w:rPr>
          <w:lang w:val="en-AU"/>
        </w:rPr>
      </w:pPr>
      <w:r>
        <w:rPr>
          <w:lang w:val="en-AU"/>
        </w:rPr>
        <w:t xml:space="preserve">Note that observations tagged with the “drop_violations” flag will not be “dropped” for prior-data conflict reasons.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w:t>
      </w:r>
      <w:r>
        <w:rPr>
          <w:lang w:val="en-AU"/>
        </w:rPr>
        <w:lastRenderedPageBreak/>
        <w:t xml:space="preserve">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w:t>
      </w:r>
      <w:r>
        <w:rPr>
          <w:lang w:val="en-AU"/>
        </w:rPr>
        <w:lastRenderedPageBreak/>
        <w:t xml:space="preserve">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lastRenderedPageBreak/>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w:t>
      </w:r>
      <w:r w:rsidR="003E1453">
        <w:rPr>
          <w:lang w:val="en-AU"/>
        </w:rPr>
        <w:lastRenderedPageBreak/>
        <w:t xml:space="preserve">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w:t>
      </w:r>
      <w:r w:rsidR="0006160A">
        <w:rPr>
          <w:lang w:val="en-AU"/>
        </w:rPr>
        <w:lastRenderedPageBreak/>
        <w:t>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w:t>
      </w:r>
      <w:r w:rsidR="00DA769E">
        <w:rPr>
          <w:lang w:val="en-AU"/>
        </w:rPr>
        <w:lastRenderedPageBreak/>
        <w:t>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w:t>
      </w:r>
      <w:r w:rsidR="00C34ACD">
        <w:rPr>
          <w:lang w:val="en-AU"/>
        </w:rPr>
        <w:lastRenderedPageBreak/>
        <w:t xml:space="preserve">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lastRenderedPageBreak/>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lastRenderedPageBreak/>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lastRenderedPageBreak/>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lastRenderedPageBreak/>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lastRenderedPageBreak/>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3A2FC36F" w14:textId="66F74DD8" w:rsidR="002C7BB4" w:rsidRPr="002C7BB4" w:rsidRDefault="002C7BB4" w:rsidP="001F0D79">
      <w:pPr>
        <w:rPr>
          <w:lang w:val="en-AU"/>
        </w:rPr>
      </w:pPr>
      <w:r>
        <w:rPr>
          <w:lang w:val="en-AU"/>
        </w:rPr>
        <w:t>PESTPP-IES also supports a more granular approach to identifying and removing “bad” realizations through the use of an additional column in the observation data section (this requires the version 2 control file). This column must be named “drop_violations” and i</w:t>
      </w:r>
      <w:r w:rsidR="004C249B">
        <w:rPr>
          <w:lang w:val="en-AU"/>
        </w:rPr>
        <w:t>t</w:t>
      </w:r>
      <w:r>
        <w:rPr>
          <w:lang w:val="en-AU"/>
        </w:rPr>
        <w:t xml:space="preserve"> should contain entries that are either “true” or “false”.  If true, then any realization that violates the </w:t>
      </w:r>
      <w:r>
        <w:rPr>
          <w:lang w:val="en-AU"/>
        </w:rPr>
        <w:lastRenderedPageBreak/>
        <w:t>observation condition will be dropped.  This functionality is designed to work with inequality-type observations so that if a realization violates the inequality, it is removed from the ensemble, rather than penalizing the objective function.  Note</w:t>
      </w:r>
      <w:r w:rsidR="004C249B">
        <w:rPr>
          <w:lang w:val="en-AU"/>
        </w:rPr>
        <w:t xml:space="preserve"> “</w:t>
      </w:r>
      <w:r>
        <w:rPr>
          <w:lang w:val="en-AU"/>
        </w:rPr>
        <w:t xml:space="preserve">drop_violations” also works with standard equality type observation, in which case, any realization that does not numerically equal the </w:t>
      </w:r>
      <w:r>
        <w:rPr>
          <w:i/>
          <w:iCs/>
          <w:lang w:val="en-AU"/>
        </w:rPr>
        <w:t>obsval</w:t>
      </w:r>
      <w:r>
        <w:rPr>
          <w:lang w:val="en-AU"/>
        </w:rPr>
        <w:t xml:space="preserve"> quantity of the observation (to within 1.0e-7) will also be dropped.</w:t>
      </w:r>
      <w:r w:rsidR="004C249B">
        <w:rPr>
          <w:lang w:val="en-AU"/>
        </w:rPr>
        <w:t xml:space="preserve">  The “drop_violations” functionality respects the weight values for observations, so users can activate and de-activate the violation enforcement by simply changing the weights from non-zero to zero, respectively.  </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lastRenderedPageBreak/>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lastRenderedPageBreak/>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which represent the portion (or factor) of the mean actual phi that the weighting group should 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lastRenderedPageBreak/>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64C90A5A"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r w:rsidR="00340944">
              <w:rPr>
                <w:rFonts w:ascii="Arial" w:hAnsi="Arial" w:cs="Arial"/>
                <w:sz w:val="18"/>
              </w:rPr>
              <w:t xml:space="preserve">  Note that these changes implicitly include changes in summary statistics resulting from realizations that are dropped or that fail to run.</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lastRenderedPageBreak/>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lastRenderedPageBreak/>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lastRenderedPageBreak/>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lastRenderedPageBreak/>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D77492" w14:paraId="12FF7E98" w14:textId="77777777" w:rsidTr="0067675E">
        <w:trPr>
          <w:cantSplit/>
          <w:trHeight w:val="1081"/>
        </w:trPr>
        <w:tc>
          <w:tcPr>
            <w:tcW w:w="2982" w:type="dxa"/>
            <w:shd w:val="clear" w:color="auto" w:fill="auto"/>
          </w:tcPr>
          <w:p w14:paraId="501FD367" w14:textId="00F57A69" w:rsidR="00D77492" w:rsidRDefault="00D77492" w:rsidP="002D09A2">
            <w:pPr>
              <w:rPr>
                <w:rFonts w:ascii="Calibri" w:hAnsi="Calibri" w:cs="Calibri"/>
                <w:i/>
                <w:sz w:val="18"/>
                <w:szCs w:val="18"/>
                <w:lang w:val="en-AU"/>
              </w:rPr>
            </w:pPr>
            <w:r>
              <w:rPr>
                <w:rFonts w:ascii="Calibri" w:hAnsi="Calibri" w:cs="Calibri"/>
                <w:i/>
                <w:sz w:val="18"/>
                <w:szCs w:val="18"/>
                <w:lang w:val="en-AU"/>
              </w:rPr>
              <w:t>Ies_upgrades_in_memory(true)</w:t>
            </w:r>
          </w:p>
        </w:tc>
        <w:tc>
          <w:tcPr>
            <w:tcW w:w="1296" w:type="dxa"/>
            <w:shd w:val="clear" w:color="auto" w:fill="auto"/>
          </w:tcPr>
          <w:p w14:paraId="6FFDE40B" w14:textId="30850E22"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A225ABA" w14:textId="5D0037C0" w:rsidR="00D77492" w:rsidRDefault="00D77492" w:rsidP="002D09A2">
            <w:pPr>
              <w:rPr>
                <w:rFonts w:ascii="Calibri" w:hAnsi="Calibri" w:cs="Calibri"/>
                <w:sz w:val="18"/>
                <w:lang w:val="en-AU"/>
              </w:rPr>
            </w:pPr>
            <w:r>
              <w:rPr>
                <w:rFonts w:ascii="Calibri" w:hAnsi="Calibri" w:cs="Calibri"/>
                <w:sz w:val="18"/>
                <w:lang w:val="en-AU"/>
              </w:rPr>
              <w:t>Flag to hold parameter upgrade ensembles in memory during testing.  If False, parameter ensembles are saved to disk during testing and the best-phi ensemble is loaded from disk after testing – this can reduce memory pressure for very high dimensional problems.  Default is True but is only activated if number of parameters &gt; 100K.</w:t>
            </w:r>
          </w:p>
        </w:tc>
      </w:tr>
      <w:tr w:rsidR="00D77492" w14:paraId="79AFA462" w14:textId="77777777" w:rsidTr="0067675E">
        <w:trPr>
          <w:cantSplit/>
          <w:trHeight w:val="1081"/>
        </w:trPr>
        <w:tc>
          <w:tcPr>
            <w:tcW w:w="2982" w:type="dxa"/>
            <w:shd w:val="clear" w:color="auto" w:fill="auto"/>
          </w:tcPr>
          <w:p w14:paraId="1033B326" w14:textId="622BB047" w:rsidR="00D77492" w:rsidRDefault="00D77492" w:rsidP="002D09A2">
            <w:pPr>
              <w:rPr>
                <w:rFonts w:ascii="Calibri" w:hAnsi="Calibri" w:cs="Calibri"/>
                <w:i/>
                <w:sz w:val="18"/>
                <w:szCs w:val="18"/>
                <w:lang w:val="en-AU"/>
              </w:rPr>
            </w:pPr>
            <w:r>
              <w:rPr>
                <w:rFonts w:ascii="Calibri" w:hAnsi="Calibri" w:cs="Calibri"/>
                <w:i/>
                <w:sz w:val="18"/>
                <w:szCs w:val="18"/>
                <w:lang w:val="en-AU"/>
              </w:rPr>
              <w:t>Ies_ordered_binary(true)</w:t>
            </w:r>
          </w:p>
        </w:tc>
        <w:tc>
          <w:tcPr>
            <w:tcW w:w="1296" w:type="dxa"/>
            <w:shd w:val="clear" w:color="auto" w:fill="auto"/>
          </w:tcPr>
          <w:p w14:paraId="2A6C82E9" w14:textId="17E28A36" w:rsidR="00D77492" w:rsidRDefault="00D77492"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00692D69" w:rsidR="00D77492" w:rsidRDefault="00D77492"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  If not passed and number of parameters &gt; 100K, then </w:t>
            </w:r>
            <w:r>
              <w:rPr>
                <w:rFonts w:ascii="Calibri" w:hAnsi="Calibri" w:cs="Calibri"/>
                <w:i/>
                <w:iCs/>
                <w:sz w:val="18"/>
                <w:lang w:val="en-AU"/>
              </w:rPr>
              <w:t>ies_ordered_binary</w:t>
            </w:r>
            <w:r>
              <w:rPr>
                <w:rFonts w:ascii="Calibri" w:hAnsi="Calibri" w:cs="Calibri"/>
                <w:sz w:val="18"/>
                <w:lang w:val="en-AU"/>
              </w:rPr>
              <w:t xml:space="preserve"> is set to false.</w:t>
            </w:r>
          </w:p>
        </w:tc>
      </w:tr>
      <w:tr w:rsidR="00D77492" w14:paraId="4BC60CF2" w14:textId="77777777" w:rsidTr="0067675E">
        <w:trPr>
          <w:cantSplit/>
          <w:trHeight w:val="1081"/>
        </w:trPr>
        <w:tc>
          <w:tcPr>
            <w:tcW w:w="2982" w:type="dxa"/>
            <w:shd w:val="clear" w:color="auto" w:fill="auto"/>
          </w:tcPr>
          <w:p w14:paraId="432996BE" w14:textId="372DDF8B" w:rsidR="00D77492" w:rsidRDefault="00D77492" w:rsidP="002D09A2">
            <w:pPr>
              <w:rPr>
                <w:rFonts w:ascii="Calibri" w:hAnsi="Calibri" w:cs="Calibri"/>
                <w:i/>
                <w:sz w:val="18"/>
                <w:szCs w:val="18"/>
                <w:lang w:val="en-AU"/>
              </w:rPr>
            </w:pPr>
            <w:r>
              <w:rPr>
                <w:rFonts w:ascii="Arial" w:hAnsi="Arial" w:cs="Arial"/>
                <w:i/>
                <w:sz w:val="18"/>
              </w:rPr>
              <w:t>ensemble_output_precision(6)</w:t>
            </w:r>
          </w:p>
        </w:tc>
        <w:tc>
          <w:tcPr>
            <w:tcW w:w="1296" w:type="dxa"/>
            <w:shd w:val="clear" w:color="auto" w:fill="auto"/>
          </w:tcPr>
          <w:p w14:paraId="2D88DEE0" w14:textId="0461697E" w:rsidR="00D77492" w:rsidRDefault="00D77492" w:rsidP="002D09A2">
            <w:pPr>
              <w:rPr>
                <w:rFonts w:ascii="Calibri" w:hAnsi="Calibri" w:cs="Calibri"/>
                <w:sz w:val="18"/>
                <w:szCs w:val="18"/>
                <w:lang w:val="en-AU"/>
              </w:rPr>
            </w:pPr>
            <w:r>
              <w:rPr>
                <w:rFonts w:ascii="Arial" w:hAnsi="Arial" w:cs="Arial"/>
                <w:sz w:val="18"/>
              </w:rPr>
              <w:t>int</w:t>
            </w:r>
          </w:p>
        </w:tc>
        <w:tc>
          <w:tcPr>
            <w:tcW w:w="4738" w:type="dxa"/>
            <w:shd w:val="clear" w:color="auto" w:fill="auto"/>
          </w:tcPr>
          <w:p w14:paraId="76DB07C5" w14:textId="56DF043B" w:rsidR="00D77492" w:rsidRPr="00600C80" w:rsidRDefault="00D77492" w:rsidP="002D09A2">
            <w:pPr>
              <w:rPr>
                <w:rFonts w:ascii="Calibri" w:hAnsi="Calibri" w:cs="Calibri"/>
                <w:sz w:val="18"/>
                <w:lang w:val="en-AU"/>
              </w:rPr>
            </w:pPr>
            <w:r>
              <w:rPr>
                <w:rFonts w:ascii="Arial" w:hAnsi="Arial" w:cs="Arial"/>
                <w:sz w:val="18"/>
              </w:rPr>
              <w:t>Number of significant digits to use in ASCII format ensemble files.  Default is 6</w:t>
            </w:r>
          </w:p>
        </w:tc>
      </w:tr>
      <w:tr w:rsidR="00D77492" w14:paraId="14316D93" w14:textId="77777777" w:rsidTr="0067675E">
        <w:trPr>
          <w:cantSplit/>
          <w:trHeight w:val="1081"/>
        </w:trPr>
        <w:tc>
          <w:tcPr>
            <w:tcW w:w="2982" w:type="dxa"/>
            <w:shd w:val="clear" w:color="auto" w:fill="auto"/>
          </w:tcPr>
          <w:p w14:paraId="4A13E346" w14:textId="05745041" w:rsidR="00D77492" w:rsidRDefault="00D77492" w:rsidP="00615E90">
            <w:pPr>
              <w:rPr>
                <w:rFonts w:ascii="Calibri" w:hAnsi="Calibri" w:cs="Calibri"/>
                <w:i/>
                <w:sz w:val="18"/>
                <w:szCs w:val="18"/>
                <w:lang w:val="en-AU"/>
              </w:rPr>
            </w:pPr>
            <w:r>
              <w:rPr>
                <w:rFonts w:ascii="Arial" w:hAnsi="Arial" w:cs="Arial"/>
                <w:i/>
                <w:sz w:val="18"/>
              </w:rPr>
              <w:t>ies_multimodal_alpha(1.0)</w:t>
            </w:r>
          </w:p>
        </w:tc>
        <w:tc>
          <w:tcPr>
            <w:tcW w:w="1296" w:type="dxa"/>
            <w:shd w:val="clear" w:color="auto" w:fill="auto"/>
          </w:tcPr>
          <w:p w14:paraId="7802C679" w14:textId="1FC490FE" w:rsidR="00D77492" w:rsidRDefault="00D77492" w:rsidP="00615E90">
            <w:pPr>
              <w:rPr>
                <w:rFonts w:ascii="Calibri" w:hAnsi="Calibri" w:cs="Calibri"/>
                <w:sz w:val="18"/>
                <w:szCs w:val="18"/>
                <w:lang w:val="en-AU"/>
              </w:rPr>
            </w:pPr>
            <w:r>
              <w:rPr>
                <w:rFonts w:ascii="Arial" w:hAnsi="Arial" w:cs="Arial"/>
                <w:sz w:val="18"/>
              </w:rPr>
              <w:t>double</w:t>
            </w:r>
          </w:p>
        </w:tc>
        <w:tc>
          <w:tcPr>
            <w:tcW w:w="4738" w:type="dxa"/>
            <w:shd w:val="clear" w:color="auto" w:fill="auto"/>
          </w:tcPr>
          <w:p w14:paraId="1D850C31" w14:textId="09089232" w:rsidR="00D77492" w:rsidRDefault="00D77492" w:rsidP="00615E90">
            <w:pPr>
              <w:rPr>
                <w:rFonts w:ascii="Calibri" w:hAnsi="Calibri" w:cs="Calibri"/>
                <w:sz w:val="18"/>
                <w:lang w:val="en-AU"/>
              </w:rPr>
            </w:pPr>
            <w:r>
              <w:rPr>
                <w:rFonts w:ascii="Arial" w:hAnsi="Arial" w:cs="Arial"/>
                <w:sz w:val="18"/>
              </w:rPr>
              <w:t>The fraction of the total ensemble size to use as the local neighborhood realizations in the multimodal solution process.  Must be greater than zero and less than 1.  Values of 0.1 to 0.25 seem to work well.  Default is 1.0 (disable multi-modal solution process)</w:t>
            </w:r>
          </w:p>
        </w:tc>
      </w:tr>
      <w:tr w:rsidR="00D77492" w14:paraId="00A23167" w14:textId="77777777" w:rsidTr="0067675E">
        <w:trPr>
          <w:cantSplit/>
          <w:trHeight w:val="1081"/>
        </w:trPr>
        <w:tc>
          <w:tcPr>
            <w:tcW w:w="2982" w:type="dxa"/>
            <w:shd w:val="clear" w:color="auto" w:fill="auto"/>
          </w:tcPr>
          <w:p w14:paraId="7CACF4A5" w14:textId="4BB5C3B2" w:rsidR="00D77492" w:rsidRDefault="00D77492" w:rsidP="00615E90">
            <w:pPr>
              <w:rPr>
                <w:rFonts w:ascii="Arial" w:hAnsi="Arial" w:cs="Arial"/>
                <w:i/>
                <w:sz w:val="18"/>
              </w:rPr>
            </w:pPr>
            <w:r>
              <w:rPr>
                <w:rFonts w:ascii="Arial" w:hAnsi="Arial" w:cs="Arial"/>
                <w:i/>
                <w:sz w:val="18"/>
              </w:rPr>
              <w:lastRenderedPageBreak/>
              <w:t>ies_weight_ensemble()</w:t>
            </w:r>
          </w:p>
        </w:tc>
        <w:tc>
          <w:tcPr>
            <w:tcW w:w="1296" w:type="dxa"/>
            <w:shd w:val="clear" w:color="auto" w:fill="auto"/>
          </w:tcPr>
          <w:p w14:paraId="12325C46" w14:textId="776B9FC1"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310AA67F" w14:textId="0A920FF0" w:rsidR="00D77492" w:rsidRDefault="00D77492"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D77492" w14:paraId="280AC8D5" w14:textId="77777777" w:rsidTr="0067675E">
        <w:trPr>
          <w:cantSplit/>
          <w:trHeight w:val="1081"/>
        </w:trPr>
        <w:tc>
          <w:tcPr>
            <w:tcW w:w="2982" w:type="dxa"/>
            <w:shd w:val="clear" w:color="auto" w:fill="auto"/>
          </w:tcPr>
          <w:p w14:paraId="62CBD8D2" w14:textId="059D6DC8" w:rsidR="00D77492" w:rsidRDefault="00D77492" w:rsidP="00615E90">
            <w:pPr>
              <w:rPr>
                <w:rFonts w:ascii="Arial" w:hAnsi="Arial" w:cs="Arial"/>
                <w:i/>
                <w:sz w:val="18"/>
              </w:rPr>
            </w:pPr>
            <w:r>
              <w:rPr>
                <w:rFonts w:ascii="Arial" w:hAnsi="Arial" w:cs="Arial"/>
                <w:i/>
                <w:sz w:val="18"/>
              </w:rPr>
              <w:t>Ies_phi_factor_file</w:t>
            </w:r>
          </w:p>
        </w:tc>
        <w:tc>
          <w:tcPr>
            <w:tcW w:w="1296" w:type="dxa"/>
            <w:shd w:val="clear" w:color="auto" w:fill="auto"/>
          </w:tcPr>
          <w:p w14:paraId="4149CC27" w14:textId="446D382E" w:rsidR="00D77492" w:rsidRDefault="00D77492" w:rsidP="00615E90">
            <w:pPr>
              <w:rPr>
                <w:rFonts w:ascii="Arial" w:hAnsi="Arial" w:cs="Arial"/>
                <w:sz w:val="18"/>
              </w:rPr>
            </w:pPr>
            <w:r>
              <w:rPr>
                <w:rFonts w:ascii="Arial" w:hAnsi="Arial" w:cs="Arial"/>
                <w:sz w:val="18"/>
              </w:rPr>
              <w:t>text</w:t>
            </w:r>
          </w:p>
        </w:tc>
        <w:tc>
          <w:tcPr>
            <w:tcW w:w="4738" w:type="dxa"/>
            <w:shd w:val="clear" w:color="auto" w:fill="auto"/>
          </w:tcPr>
          <w:p w14:paraId="4729C22B" w14:textId="017309BB" w:rsidR="00D77492" w:rsidRPr="000272C6" w:rsidRDefault="00D77492" w:rsidP="00615E90">
            <w:pPr>
              <w:rPr>
                <w:rFonts w:ascii="Arial" w:hAnsi="Arial" w:cs="Arial"/>
                <w:sz w:val="18"/>
              </w:rPr>
            </w:pPr>
            <w:r>
              <w:rPr>
                <w:rFonts w:ascii="Calibri" w:hAnsi="Calibri" w:cs="Calibri"/>
                <w:sz w:val="18"/>
                <w:lang w:val="en-AU"/>
              </w:rPr>
              <w:t>A two-column ASCII file that contains observation group “tags” and phi factors.  Used to internally adjust weights to implement a balanced objective function using the mean residuals from the initial ensemble.</w:t>
            </w:r>
          </w:p>
        </w:tc>
      </w:tr>
      <w:tr w:rsidR="00D77492" w14:paraId="307F01B7" w14:textId="77777777" w:rsidTr="0067675E">
        <w:trPr>
          <w:cantSplit/>
          <w:trHeight w:val="1081"/>
        </w:trPr>
        <w:tc>
          <w:tcPr>
            <w:tcW w:w="2982" w:type="dxa"/>
            <w:shd w:val="clear" w:color="auto" w:fill="auto"/>
          </w:tcPr>
          <w:p w14:paraId="5C1078B3" w14:textId="4A1BAD6C" w:rsidR="00D77492" w:rsidRDefault="00D774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7EF353A0" w14:textId="789A6FB0" w:rsidR="00D77492" w:rsidRDefault="00D77492" w:rsidP="00615E90">
            <w:pPr>
              <w:rPr>
                <w:rFonts w:ascii="Arial" w:hAnsi="Arial" w:cs="Arial"/>
                <w:sz w:val="18"/>
              </w:rPr>
            </w:pPr>
            <w:r>
              <w:rPr>
                <w:rFonts w:ascii="Arial" w:hAnsi="Arial" w:cs="Arial"/>
                <w:sz w:val="18"/>
              </w:rPr>
              <w:t>Bool</w:t>
            </w:r>
          </w:p>
        </w:tc>
        <w:tc>
          <w:tcPr>
            <w:tcW w:w="4738" w:type="dxa"/>
            <w:shd w:val="clear" w:color="auto" w:fill="auto"/>
          </w:tcPr>
          <w:p w14:paraId="57DC10D8" w14:textId="537024E1" w:rsidR="00D77492" w:rsidRPr="00C40A21" w:rsidRDefault="00D77492" w:rsidP="00615E90">
            <w:pPr>
              <w:rPr>
                <w:rFonts w:ascii="Calibri" w:hAnsi="Calibri" w:cs="Calibri"/>
                <w:sz w:val="18"/>
                <w:lang w:val="en-AU"/>
              </w:rPr>
            </w:pPr>
            <w:r>
              <w:rPr>
                <w:rFonts w:ascii="Calibri" w:hAnsi="Calibri" w:cs="Calibri"/>
                <w:sz w:val="18"/>
                <w:lang w:val="en-AU"/>
              </w:rPr>
              <w:t>A flag to use internal weight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32E4E109"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r w:rsidR="00453DF4">
        <w:rPr>
          <w:lang w:val="en-AU"/>
        </w:rPr>
        <w:t xml:space="preserve">Note that because of the potential for coupling between the chance estimates and the optimization problem, when chances are re-evaluated, pestpp-mou will re-evaluate all past solutions for dominance using the current chance estimates and will also reset the archive of nondominated solutions.  This is necessary to avoid spurious early chance estimates yielding implausible domination relations or spurious infeasibilities for later generations.  </w:t>
      </w:r>
    </w:p>
    <w:p w14:paraId="0F759F13" w14:textId="2E645659" w:rsidR="00345835" w:rsidRDefault="00345835" w:rsidP="00345835">
      <w:pPr>
        <w:rPr>
          <w:lang w:val="en-AU"/>
        </w:rPr>
      </w:pPr>
    </w:p>
    <w:p w14:paraId="5A5161E2" w14:textId="041981AC" w:rsidR="00345835" w:rsidRPr="00345835" w:rsidRDefault="00345835" w:rsidP="00345835">
      <w:pPr>
        <w:rPr>
          <w:lang w:val="en-AU"/>
        </w:rPr>
      </w:pPr>
      <w:r>
        <w:rPr>
          <w:lang w:val="en-AU"/>
        </w:rPr>
        <w:lastRenderedPageBreak/>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individual</w:t>
      </w:r>
      <w:r>
        <w:rPr>
          <w:lang w:val="en-AU"/>
        </w:rPr>
        <w:t>s</w:t>
      </w:r>
      <w:r w:rsidR="00453DF4">
        <w:rPr>
          <w:lang w:val="en-AU"/>
        </w:rPr>
        <w:t xml:space="preserve"> using simple inverse-distance weighting</w:t>
      </w:r>
      <w:r>
        <w:rPr>
          <w:lang w:val="en-AU"/>
        </w:rPr>
        <w:t xml:space="preserve">.  This assumes that points near each other in decision-variable space yield more similar chance results than points that are distance.  </w:t>
      </w:r>
      <w:r w:rsidR="00382DFA">
        <w:rPr>
          <w:lang w:val="en-AU"/>
        </w:rPr>
        <w:t>The translation of PDFs/CDFs is done by differencing the simulated constraint/objective values between two points, assuming these values represent the mean of the PDFs.</w:t>
      </w:r>
      <w:r w:rsidR="00453DF4">
        <w:rPr>
          <w:lang w:val="en-AU"/>
        </w:rPr>
        <w:t xml:space="preserve">  </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w:t>
      </w:r>
      <w:r w:rsidR="00C96214">
        <w:rPr>
          <w:lang w:val="en-AU"/>
        </w:rPr>
        <w:lastRenderedPageBreak/>
        <w:t xml:space="preserve">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lastRenderedPageBreak/>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lastRenderedPageBreak/>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lastRenderedPageBreak/>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r w:rsidR="00014C15" w14:paraId="4F0C61B6" w14:textId="77777777" w:rsidTr="00AE438C">
        <w:trPr>
          <w:cantSplit/>
        </w:trPr>
        <w:tc>
          <w:tcPr>
            <w:tcW w:w="2775" w:type="dxa"/>
            <w:shd w:val="clear" w:color="auto" w:fill="auto"/>
          </w:tcPr>
          <w:p w14:paraId="22FC770F" w14:textId="33A35EE5" w:rsidR="00014C15" w:rsidRDefault="00014C15" w:rsidP="00615E90">
            <w:pPr>
              <w:rPr>
                <w:rFonts w:ascii="Arial" w:hAnsi="Arial" w:cs="Arial"/>
                <w:i/>
                <w:sz w:val="18"/>
              </w:rPr>
            </w:pPr>
            <w:r>
              <w:rPr>
                <w:rFonts w:ascii="Arial" w:hAnsi="Arial" w:cs="Arial"/>
                <w:i/>
                <w:sz w:val="18"/>
              </w:rPr>
              <w:t>Mou_multigen_population</w:t>
            </w:r>
          </w:p>
        </w:tc>
        <w:tc>
          <w:tcPr>
            <w:tcW w:w="1255" w:type="dxa"/>
            <w:shd w:val="clear" w:color="auto" w:fill="auto"/>
          </w:tcPr>
          <w:p w14:paraId="4A703B1D" w14:textId="4BA443B0" w:rsidR="00014C15" w:rsidRDefault="00014C15"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4E989802" w14:textId="3B307420" w:rsidR="00014C15" w:rsidRDefault="00014C15" w:rsidP="00615E90">
            <w:pPr>
              <w:rPr>
                <w:rFonts w:ascii="Arial" w:hAnsi="Arial" w:cs="Arial"/>
                <w:sz w:val="18"/>
              </w:rPr>
            </w:pPr>
            <w:r>
              <w:rPr>
                <w:rFonts w:ascii="Arial" w:hAnsi="Arial" w:cs="Arial"/>
                <w:sz w:val="18"/>
              </w:rPr>
              <w:t>Flag to retain and reuse all members across all generations when evaluating dominance and feasibility.  This can result in re-enforcing the preference for feasible solutions, which can help with highly nonlinearly constrained problems.   However, with a large population and many generations, this option can slow down the execution time of PESTPP-MOU since it must dominance sort a much large number of members.  Default is false</w:t>
            </w:r>
            <w:r w:rsidR="001E2A93">
              <w:rPr>
                <w:rFonts w:ascii="Arial" w:hAnsi="Arial" w:cs="Arial"/>
                <w:sz w:val="18"/>
              </w:rPr>
              <w:t>.  Note the option activate automatically when using chances with “all’ chance points when chances are reused across generations.</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B3641" w14:textId="77777777" w:rsidR="008734FE" w:rsidRDefault="008734FE">
      <w:pPr>
        <w:spacing w:line="20" w:lineRule="exact"/>
      </w:pPr>
    </w:p>
  </w:endnote>
  <w:endnote w:type="continuationSeparator" w:id="0">
    <w:p w14:paraId="425C2815" w14:textId="77777777" w:rsidR="008734FE" w:rsidRDefault="008734FE">
      <w:r>
        <w:t xml:space="preserve"> </w:t>
      </w:r>
    </w:p>
  </w:endnote>
  <w:endnote w:type="continuationNotice" w:id="1">
    <w:p w14:paraId="4BA34FA8" w14:textId="77777777" w:rsidR="008734FE" w:rsidRDefault="008734FE">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27BE3" w14:textId="77777777" w:rsidR="008734FE" w:rsidRDefault="008734FE">
      <w:r>
        <w:separator/>
      </w:r>
    </w:p>
  </w:footnote>
  <w:footnote w:type="continuationSeparator" w:id="0">
    <w:p w14:paraId="10CACB9F" w14:textId="77777777" w:rsidR="008734FE" w:rsidRDefault="008734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4C15"/>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6D08"/>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A93"/>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2D86"/>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BB4"/>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944"/>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DF4"/>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1E6A"/>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49B"/>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4AB0"/>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5E54"/>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3CC"/>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01F"/>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4FE"/>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6B9"/>
    <w:rsid w:val="008A4A59"/>
    <w:rsid w:val="008A4F0A"/>
    <w:rsid w:val="008A5487"/>
    <w:rsid w:val="008A5C32"/>
    <w:rsid w:val="008A5F56"/>
    <w:rsid w:val="008A5F6A"/>
    <w:rsid w:val="008A609B"/>
    <w:rsid w:val="008A6476"/>
    <w:rsid w:val="008A6538"/>
    <w:rsid w:val="008A6AAC"/>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267"/>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BE3"/>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492"/>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0F6"/>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1D8"/>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237</Pages>
  <Words>102538</Words>
  <Characters>584470</Characters>
  <Application>Microsoft Office Word</Application>
  <DocSecurity>0</DocSecurity>
  <Lines>4870</Lines>
  <Paragraphs>1371</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685637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9</cp:revision>
  <cp:lastPrinted>2019-03-02T06:14:00Z</cp:lastPrinted>
  <dcterms:created xsi:type="dcterms:W3CDTF">2023-04-17T02:20:00Z</dcterms:created>
  <dcterms:modified xsi:type="dcterms:W3CDTF">2023-05-17T04:29:00Z</dcterms:modified>
</cp:coreProperties>
</file>