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3733" w14:textId="4237E1AC" w:rsidR="00473148" w:rsidRPr="00473148" w:rsidRDefault="00473148" w:rsidP="00A55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73148">
        <w:rPr>
          <w:rFonts w:ascii="Verdana" w:eastAsia="Times New Roman" w:hAnsi="Verdana" w:cs="Times New Roman"/>
          <w:color w:val="000000"/>
          <w:sz w:val="24"/>
          <w:szCs w:val="24"/>
          <w:lang w:eastAsia="es-PE"/>
        </w:rPr>
        <w:t>ENTREGABLE 5</w:t>
      </w:r>
      <w:r w:rsidR="00A55E3F" w:rsidRPr="00A55E3F">
        <w:rPr>
          <w:rFonts w:ascii="Verdana" w:eastAsia="Times New Roman" w:hAnsi="Verdana" w:cs="Times New Roman"/>
          <w:color w:val="000000"/>
          <w:sz w:val="24"/>
          <w:szCs w:val="24"/>
          <w:lang w:eastAsia="es-PE"/>
        </w:rPr>
        <w:t xml:space="preserve"> - REFERENCIAS</w:t>
      </w:r>
    </w:p>
    <w:p w14:paraId="2A068548" w14:textId="77777777" w:rsidR="00473148" w:rsidRPr="00473148" w:rsidRDefault="00473148" w:rsidP="00A55E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Kenny Paul,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Sandeep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S. Chatterjee, Puja Pai,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Alok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Varshney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Siddhi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Juikar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Venkatesh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Prasad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Bhaskar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Bhadra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Santanu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Dasgupta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. (2022). Viable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smart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sensors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and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their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application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in data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driven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agriculture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Computers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and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Electronics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in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Agriculture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.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Volume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198.</w:t>
      </w:r>
      <w:hyperlink r:id="rId4" w:history="1">
        <w:r w:rsidRPr="00473148">
          <w:rPr>
            <w:rFonts w:ascii="Verdana" w:eastAsia="Times New Roman" w:hAnsi="Verdana" w:cs="Times New Roman"/>
            <w:color w:val="1C1C1C"/>
            <w:sz w:val="20"/>
            <w:szCs w:val="20"/>
            <w:u w:val="single"/>
            <w:lang w:eastAsia="es-PE"/>
          </w:rPr>
          <w:t xml:space="preserve"> </w:t>
        </w:r>
        <w:r w:rsidRPr="00473148">
          <w:rPr>
            <w:rFonts w:ascii="Verdana" w:eastAsia="Times New Roman" w:hAnsi="Verdana" w:cs="Times New Roman"/>
            <w:color w:val="4472C4"/>
            <w:sz w:val="20"/>
            <w:szCs w:val="20"/>
            <w:u w:val="single"/>
            <w:lang w:eastAsia="es-PE"/>
          </w:rPr>
          <w:t>https://doi.org/10.1016/j.compag.2022.107096</w:t>
        </w:r>
      </w:hyperlink>
    </w:p>
    <w:p w14:paraId="5733F3B8" w14:textId="77777777" w:rsidR="00473148" w:rsidRPr="00473148" w:rsidRDefault="00473148" w:rsidP="00A55E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Muangprathub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J.,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Boonnam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N.,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Kajornkasirat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S.,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Lekbangpong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Narongsak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.,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Wanichsombat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A. (enero, 2019). </w:t>
      </w:r>
      <w:proofErr w:type="spellStart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>IoT</w:t>
      </w:r>
      <w:proofErr w:type="spellEnd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 xml:space="preserve"> and </w:t>
      </w:r>
      <w:proofErr w:type="spellStart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>agriculture</w:t>
      </w:r>
      <w:proofErr w:type="spellEnd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 xml:space="preserve"> data </w:t>
      </w:r>
      <w:proofErr w:type="spellStart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>analysis</w:t>
      </w:r>
      <w:proofErr w:type="spellEnd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>for</w:t>
      </w:r>
      <w:proofErr w:type="spellEnd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>smart</w:t>
      </w:r>
      <w:proofErr w:type="spellEnd"/>
      <w:r w:rsidRPr="00473148">
        <w:rPr>
          <w:rFonts w:ascii="Verdana" w:eastAsia="Times New Roman" w:hAnsi="Verdana" w:cs="Times New Roman"/>
          <w:color w:val="505050"/>
          <w:sz w:val="20"/>
          <w:szCs w:val="20"/>
          <w:lang w:eastAsia="es-PE"/>
        </w:rPr>
        <w:t xml:space="preserve"> farm.</w:t>
      </w:r>
      <w:hyperlink r:id="rId5" w:history="1">
        <w:r w:rsidRPr="00473148">
          <w:rPr>
            <w:rFonts w:ascii="Verdana" w:eastAsia="Times New Roman" w:hAnsi="Verdana" w:cs="Times New Roman"/>
            <w:color w:val="505050"/>
            <w:sz w:val="20"/>
            <w:szCs w:val="20"/>
            <w:u w:val="single"/>
            <w:lang w:eastAsia="es-PE"/>
          </w:rPr>
          <w:t xml:space="preserve"> </w:t>
        </w:r>
        <w:r w:rsidRPr="0047314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>Volumen 156</w:t>
        </w:r>
      </w:hyperlink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, págs. 467-474.</w:t>
      </w:r>
      <w:hyperlink r:id="rId6" w:history="1">
        <w:r w:rsidRPr="0047314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473148">
          <w:rPr>
            <w:rFonts w:ascii="Verdana" w:eastAsia="Times New Roman" w:hAnsi="Verdana" w:cs="Times New Roman"/>
            <w:color w:val="4472C4"/>
            <w:sz w:val="20"/>
            <w:szCs w:val="20"/>
            <w:u w:val="single"/>
            <w:lang w:eastAsia="es-PE"/>
          </w:rPr>
          <w:t>https://doi.org/10.1016/j.compag.2018.12.011</w:t>
        </w:r>
      </w:hyperlink>
    </w:p>
    <w:p w14:paraId="7F19CE81" w14:textId="77777777" w:rsidR="00473148" w:rsidRPr="00473148" w:rsidRDefault="00473148" w:rsidP="00A55E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473148">
        <w:rPr>
          <w:rFonts w:ascii="Verdana" w:eastAsia="Times New Roman" w:hAnsi="Verdana" w:cs="Times New Roman"/>
          <w:color w:val="222222"/>
          <w:sz w:val="20"/>
          <w:szCs w:val="20"/>
          <w:lang w:eastAsia="es-PE"/>
        </w:rPr>
        <w:t xml:space="preserve">Galindo Montero, A., Pérez Montiel, J., &amp; Rojano Alvarado, R. (2017). Medidas de adaptación al cambio climático en una comunidad indígena del norte de Colombia. </w:t>
      </w:r>
      <w:r w:rsidRPr="00473148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PE"/>
        </w:rPr>
        <w:t>Revista U.D.C.A Actualidad &amp; Divulgación Científica</w:t>
      </w:r>
      <w:r w:rsidRPr="00473148">
        <w:rPr>
          <w:rFonts w:ascii="Verdana" w:eastAsia="Times New Roman" w:hAnsi="Verdana" w:cs="Times New Roman"/>
          <w:color w:val="222222"/>
          <w:sz w:val="20"/>
          <w:szCs w:val="20"/>
          <w:lang w:eastAsia="es-PE"/>
        </w:rPr>
        <w:t xml:space="preserve">, </w:t>
      </w:r>
      <w:r w:rsidRPr="00473148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PE"/>
        </w:rPr>
        <w:t>20</w:t>
      </w:r>
      <w:r w:rsidRPr="00473148">
        <w:rPr>
          <w:rFonts w:ascii="Verdana" w:eastAsia="Times New Roman" w:hAnsi="Verdana" w:cs="Times New Roman"/>
          <w:color w:val="222222"/>
          <w:sz w:val="20"/>
          <w:szCs w:val="20"/>
          <w:lang w:eastAsia="es-PE"/>
        </w:rPr>
        <w:t xml:space="preserve">(1), 187–197. </w:t>
      </w:r>
      <w:r w:rsidRPr="00473148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s-PE"/>
        </w:rPr>
        <w:t>https://doi.org/10.31910/rudca.v20.n1.2017.75 </w:t>
      </w:r>
    </w:p>
    <w:p w14:paraId="1C1423F3" w14:textId="77777777" w:rsidR="00473148" w:rsidRPr="00473148" w:rsidRDefault="00473148" w:rsidP="00A55E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Kidachi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Masahiro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. (2019). Emisor y tubo de riego por goteo. (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Spanish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Patent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Nº</w:t>
      </w:r>
      <w:proofErr w:type="spellEnd"/>
      <w:r w:rsidRPr="0047314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ES2718042).</w:t>
      </w:r>
      <w:hyperlink r:id="rId7" w:history="1">
        <w:r w:rsidRPr="00473148">
          <w:rPr>
            <w:rFonts w:ascii="Verdana" w:eastAsia="Times New Roman" w:hAnsi="Verdana" w:cs="Times New Roman"/>
            <w:color w:val="1C1C1C"/>
            <w:sz w:val="20"/>
            <w:szCs w:val="20"/>
            <w:u w:val="single"/>
            <w:lang w:eastAsia="es-PE"/>
          </w:rPr>
          <w:t xml:space="preserve"> </w:t>
        </w:r>
        <w:r w:rsidRPr="0047314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https://patentimages.storage.googleapis.com/23/ba/a6/05bb7331630770/ES2718402T3.pdf</w:t>
        </w:r>
      </w:hyperlink>
      <w:r w:rsidRPr="00473148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</w:t>
      </w:r>
    </w:p>
    <w:p w14:paraId="4BB3E922" w14:textId="140658AA" w:rsidR="00473148" w:rsidRPr="00473148" w:rsidRDefault="00473148" w:rsidP="00A55E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473148">
        <w:rPr>
          <w:rFonts w:ascii="Verdana" w:eastAsia="Times New Roman" w:hAnsi="Verdana" w:cs="Times New Roman"/>
          <w:color w:val="1A1A1A"/>
          <w:sz w:val="20"/>
          <w:szCs w:val="20"/>
          <w:lang w:eastAsia="es-PE"/>
        </w:rPr>
        <w:t>Pescarmona</w:t>
      </w:r>
      <w:proofErr w:type="spellEnd"/>
      <w:r w:rsidRPr="00473148">
        <w:rPr>
          <w:rFonts w:ascii="Verdana" w:eastAsia="Times New Roman" w:hAnsi="Verdana" w:cs="Times New Roman"/>
          <w:color w:val="1A1A1A"/>
          <w:sz w:val="20"/>
          <w:szCs w:val="20"/>
          <w:lang w:eastAsia="es-PE"/>
        </w:rPr>
        <w:t xml:space="preserve">, Enrique </w:t>
      </w:r>
      <w:proofErr w:type="spellStart"/>
      <w:r w:rsidRPr="00473148">
        <w:rPr>
          <w:rFonts w:ascii="Verdana" w:eastAsia="Times New Roman" w:hAnsi="Verdana" w:cs="Times New Roman"/>
          <w:color w:val="1A1A1A"/>
          <w:sz w:val="20"/>
          <w:szCs w:val="20"/>
          <w:lang w:eastAsia="es-PE"/>
        </w:rPr>
        <w:t>Menotti</w:t>
      </w:r>
      <w:proofErr w:type="spellEnd"/>
      <w:r w:rsidRPr="00473148">
        <w:rPr>
          <w:rFonts w:ascii="Verdana" w:eastAsia="Times New Roman" w:hAnsi="Verdana" w:cs="Times New Roman"/>
          <w:color w:val="1A1A1A"/>
          <w:sz w:val="20"/>
          <w:szCs w:val="20"/>
          <w:lang w:eastAsia="es-PE"/>
        </w:rPr>
        <w:t>.</w:t>
      </w:r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(2022). Proceso y sistema para análisis y gestión hidrológicos de cuencas de ríos. (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Spanish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Patent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Nº</w:t>
      </w:r>
      <w:proofErr w:type="spellEnd"/>
      <w:r w:rsidRPr="0047314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ES2894877).</w:t>
      </w:r>
      <w:hyperlink r:id="rId8" w:history="1">
        <w:r w:rsidRPr="0047314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47314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https://patentscope.wipo.int/search/es/detail.jsf?docId=ES351203155&amp;_cid=P11-LD4OS6-21958-1</w:t>
        </w:r>
      </w:hyperlink>
    </w:p>
    <w:p w14:paraId="398863C4" w14:textId="1671E47C" w:rsidR="00A55E3F" w:rsidRPr="00A55E3F" w:rsidRDefault="00473148" w:rsidP="00A55E3F">
      <w:pPr>
        <w:jc w:val="both"/>
        <w:rPr>
          <w:rFonts w:ascii="Verdana" w:eastAsia="Times New Roman" w:hAnsi="Verdana" w:cs="Times New Roman"/>
          <w:color w:val="3C78D8"/>
          <w:sz w:val="20"/>
          <w:szCs w:val="20"/>
          <w:u w:val="single"/>
          <w:lang w:eastAsia="es-PE"/>
        </w:rPr>
      </w:pPr>
      <w:proofErr w:type="spellStart"/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Smeke</w:t>
      </w:r>
      <w:proofErr w:type="spellEnd"/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, J. (2012). </w:t>
      </w:r>
      <w:r w:rsidRPr="00A55E3F">
        <w:rPr>
          <w:rFonts w:ascii="Verdana" w:eastAsia="Times New Roman" w:hAnsi="Verdana" w:cs="Times New Roman"/>
          <w:color w:val="333333"/>
          <w:sz w:val="20"/>
          <w:szCs w:val="20"/>
          <w:lang w:eastAsia="es-PE"/>
        </w:rPr>
        <w:t xml:space="preserve">Sistema mecánico de recirculación instantáneo para ahorro de agua en regaderas a través del almacenaje de agua dentro de un tanque temporal en la ducha y </w:t>
      </w:r>
      <w:proofErr w:type="spellStart"/>
      <w:r w:rsidRPr="00A55E3F">
        <w:rPr>
          <w:rFonts w:ascii="Verdana" w:eastAsia="Times New Roman" w:hAnsi="Verdana" w:cs="Times New Roman"/>
          <w:color w:val="333333"/>
          <w:sz w:val="20"/>
          <w:szCs w:val="20"/>
          <w:lang w:eastAsia="es-PE"/>
        </w:rPr>
        <w:t>re-mezclado</w:t>
      </w:r>
      <w:proofErr w:type="spellEnd"/>
      <w:r w:rsidRPr="00A55E3F">
        <w:rPr>
          <w:rFonts w:ascii="Verdana" w:eastAsia="Times New Roman" w:hAnsi="Verdana" w:cs="Times New Roman"/>
          <w:color w:val="333333"/>
          <w:sz w:val="20"/>
          <w:szCs w:val="20"/>
          <w:lang w:eastAsia="es-PE"/>
        </w:rPr>
        <w:t xml:space="preserve"> automático. </w:t>
      </w:r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(</w:t>
      </w:r>
      <w:proofErr w:type="spellStart"/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Spanish</w:t>
      </w:r>
      <w:proofErr w:type="spellEnd"/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</w:t>
      </w:r>
      <w:proofErr w:type="spellStart"/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Patent</w:t>
      </w:r>
      <w:proofErr w:type="spellEnd"/>
      <w:r w:rsidRPr="00A55E3F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N</w:t>
      </w:r>
      <w:r w:rsidRPr="00A55E3F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ºMX2012008407A)</w:t>
      </w:r>
      <w:r w:rsidRPr="00A55E3F">
        <w:rPr>
          <w:rFonts w:ascii="Verdana" w:eastAsia="Times New Roman" w:hAnsi="Verdana" w:cs="Times New Roman"/>
          <w:color w:val="333333"/>
          <w:sz w:val="20"/>
          <w:szCs w:val="20"/>
          <w:lang w:eastAsia="es-PE"/>
        </w:rPr>
        <w:t xml:space="preserve"> </w:t>
      </w:r>
      <w:hyperlink r:id="rId9" w:history="1">
        <w:r w:rsidR="00A55E3F" w:rsidRPr="0067763D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https://patentimages.storage.googleapis.com/44/f9/01/8bc6ca8b362242/WO2014014332A1.pdf</w:t>
        </w:r>
      </w:hyperlink>
      <w:r w:rsidR="00A55E3F">
        <w:rPr>
          <w:rFonts w:ascii="Verdana" w:eastAsia="Times New Roman" w:hAnsi="Verdana" w:cs="Times New Roman"/>
          <w:color w:val="3C78D8"/>
          <w:sz w:val="20"/>
          <w:szCs w:val="20"/>
          <w:u w:val="single"/>
          <w:lang w:eastAsia="es-PE"/>
        </w:rPr>
        <w:t xml:space="preserve"> </w:t>
      </w:r>
    </w:p>
    <w:sectPr w:rsidR="00A55E3F" w:rsidRPr="00A5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8"/>
    <w:rsid w:val="00473148"/>
    <w:rsid w:val="00A55E3F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C58D5"/>
  <w15:chartTrackingRefBased/>
  <w15:docId w15:val="{8BB228BB-4EFD-4C49-92EC-C693612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47314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cope.wipo.int/search/es/detail.jsf?docId=ES351203155&amp;_cid=P11-LD4OS6-21958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tentimages.storage.googleapis.com/23/ba/a6/05bb7331630770/ES2718402T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compag.2018.12.0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journal/computers-and-electronics-in-agriculture/vol/156/suppl/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16/j.compag.2022.107096" TargetMode="External"/><Relationship Id="rId9" Type="http://schemas.openxmlformats.org/officeDocument/2006/relationships/hyperlink" Target="https://patentimages.storage.googleapis.com/44/f9/01/8bc6ca8b362242/WO2014014332A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2023-01-30T23:06:00Z</dcterms:created>
  <dcterms:modified xsi:type="dcterms:W3CDTF">2023-01-30T23:44:00Z</dcterms:modified>
</cp:coreProperties>
</file>