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TinyCRM Privacy Notice and Terms</w:t>
      </w:r>
    </w:p>
    <w:p>
      <w:pPr>
        <w:pStyle w:val="Subtitle"/>
      </w:pPr>
      <w:r>
        <w:rPr>
          <w:color w:val="000000"/>
        </w:rPr>
        <w:t>Working draft for owner review</w:t>
      </w:r>
    </w:p>
    <w:p>
      <w:r>
        <w:t>Prepared 5 October 2026 for Artifact Digital LLC. This document consolidates the owner’s approved decisions and the implementation facts supplied in the original packet. It has not been legally certified, published or applied to the repository. An effective date must be set when the final pages are published.</w:t>
      </w:r>
    </w:p>
    <w:p>
      <w:pPr>
        <w:pStyle w:val="Heading1"/>
      </w:pPr>
      <w:r>
        <w:t>Review notes before publication</w:t>
      </w:r>
    </w:p>
    <w:p>
      <w:r>
        <w:t>Approved decisions: liability cap of the greater of $100 USD or fees paid in the preceding 12 months; California law and San Diego County courts with mandatory rights preserved; breach notice without undue delay; controller and processor roles; privacy requests; factual cookie description.</w:t>
      </w:r>
    </w:p>
    <w:p>
      <w:r>
        <w:t>The international-processing and tax sections are proposed wording. No customer processing agreement or international-transfer mechanism has been established by this document. Asking customers to contact us is not a substitute for an agreement or safeguard required by law.</w:t>
      </w:r>
    </w:p>
    <w:p>
      <w:r>
        <w:t>Tax registration and collection obligations remain unresolved. Checkout currently adds no tax; that fact does not establish that no tax is owed.</w:t>
      </w:r>
    </w:p>
    <w:p>
      <w:r>
        <w:t>The warranty disclaimer below is proposed wording retained from the original packet. No broad customer indemnity or separate exclusion of consequential damages has been added. The approved liability cap is not a guarantee of enforceability.</w:t>
      </w:r>
    </w:p>
    <w:p>
      <w:r>
        <w:t>Operational retention details come from the supplied packet, not an independent inspection of the repository. The provider’s reported 30-day backup retention is not treated as a guarantee of erasure of every copy within 30 days.</w:t>
      </w:r>
    </w:p>
    <w:p>
      <w:r>
        <w:t>Privacy requests require a real response process. The absence of a self-service closure button does not eliminate applicable deletion obligations. Confirm how requests will be fulfilled, including shared workspaces and retained audit data.</w:t>
      </w:r>
    </w:p>
    <w:p>
      <w:r>
        <w:t>Before publication, confirm how users will be presented with and accept the terms. The phrase “by creating an account you accept” is proposed contract wording, not evidence that the signup flow currently presents these terms.</w:t>
      </w:r>
    </w:p>
    <w:p>
      <w:pPr>
        <w:pStyle w:val="Heading1"/>
        <w:pageBreakBefore/>
      </w:pPr>
      <w:r>
        <w:t>Privacy Notice</w:t>
      </w:r>
    </w:p>
    <w:p>
      <w:pPr>
        <w:pStyle w:val="Heading2"/>
      </w:pPr>
      <w:r>
        <w:t>1 What Tiny CRM is and why that shapes this notice</w:t>
      </w:r>
    </w:p>
    <w:p>
      <w:pPr/>
      <w:r>
        <w:t>Tiny CRM stores information about your contacts, companies, deals, projects and notes. Most of what it holds was typed by you and is about somebody else — a person who is not a user here and has no direct relationship with us. That asymmetry shapes everything below: you decide what goes in, and we handle it on your behalf.</w:t>
      </w:r>
    </w:p>
    <w:p>
      <w:pPr/>
      <w:r>
        <w:t>Tiny CRM is operated by Artifact Digital LLC, 178 N. Cuyamaca St., El Cajon, CA 92020, United States.</w:t>
      </w:r>
    </w:p>
    <w:p>
      <w:pPr/>
      <w:r>
        <w:t>Our role in handling personal data. Customers decide what personal data to enter into TinyCRM and why. For that customer content, Artifact Digital LLC acts as a processor, handling the data on customers’ behalf to provide the service and follow their instructions, subject to applicable law. For personal data we use to manage accounts, authentication, billing, security and our business operations, Artifact Digital LLC acts as a controller. Customers are responsible for having the necessary permissions or other lawful basis to enter personal data into TinyCRM. We remain responsible for our own obligations under applicable data-protection law.</w:t>
      </w:r>
    </w:p>
    <w:p>
      <w:pPr>
        <w:pStyle w:val="Heading2"/>
      </w:pPr>
      <w:r>
        <w:t>2 What is collected</w:t>
      </w:r>
    </w:p>
    <w:p>
      <w:pPr/>
      <w:r>
        <w:t>What you give us</w:t>
      </w:r>
    </w:p>
    <w:p>
      <w:pPr/>
      <w:r>
        <w:t>Your account: name, email address, password (hashed), time zone, optional job title and avatar.</w:t>
      </w:r>
    </w:p>
    <w:p>
      <w:pPr/>
      <w:r>
        <w:t>Your CRM content: contacts, companies, deals, opportunities, projects, tasks, notes, tags, custom fields, and files you upload.</w:t>
      </w:r>
    </w:p>
    <w:p>
      <w:pPr/>
      <w:r>
        <w:t>Workspace structure: workspace names, members you invite, their roles and record-level access.</w:t>
      </w:r>
    </w:p>
    <w:p>
      <w:pPr/>
      <w:r>
        <w:t>What the service generates</w:t>
      </w:r>
    </w:p>
    <w:p>
      <w:pPr/>
      <w:r>
        <w:t>Sign-in sessions, with a truncated IP address and a device description, so you can review and revoke them.</w:t>
      </w:r>
    </w:p>
    <w:p>
      <w:pPr/>
      <w:r>
        <w:t>An audit log of security-relevant actions, which is append-only and cannot be edited or deleted by the application.</w:t>
      </w:r>
    </w:p>
    <w:p>
      <w:pPr/>
      <w:r>
        <w:t>Counts of AI model requests per month, used to enforce your plan's allowance.</w:t>
      </w:r>
    </w:p>
    <w:p>
      <w:pPr/>
      <w:r>
        <w:t>Relationship, momentum and health scores, computed locally from the data you entered.</w:t>
      </w:r>
    </w:p>
    <w:p>
      <w:pPr/>
      <w:r>
        <w:t>What is never collected</w:t>
      </w:r>
    </w:p>
    <w:p>
      <w:pPr/>
      <w:r>
        <w:t>Payment card details. Card data is entered on Stripe's own pages and never reaches our servers. We store only a Stripe customer identifier, your plan, its status and its renewal or end date.</w:t>
      </w:r>
    </w:p>
    <w:p>
      <w:pPr/>
      <w:r>
        <w:t>Advertising or cross-site tracking identifiers. There is no advertising network, no analytics pixel and no third-party tracker.</w:t>
      </w:r>
    </w:p>
    <w:p>
      <w:pPr/>
      <w:r>
        <w:t>Your password in any readable form.</w:t>
      </w:r>
    </w:p>
    <w:p>
      <w:pPr>
        <w:pStyle w:val="Heading2"/>
      </w:pPr>
      <w:r>
        <w:t>3 Cookies</w:t>
      </w:r>
    </w:p>
    <w:p>
      <w:pPr/>
      <w:r>
        <w:t>TinyCRM uses a session cookie to keep you signed in and a security cookie to help protect against cross-site request forgery. We do not currently use advertising or analytics cookies. You can manage cookies through your browser settings. Blocking these functional cookies may prevent sign-in or other features from working.</w:t>
      </w:r>
    </w:p>
    <w:p>
      <w:pPr>
        <w:pStyle w:val="Heading2"/>
      </w:pPr>
      <w:r>
        <w:t>4 How information is used</w:t>
      </w:r>
    </w:p>
    <w:p>
      <w:pPr/>
      <w:r>
        <w:t>To run the product: storing and showing you your own data.</w:t>
      </w:r>
    </w:p>
    <w:p>
      <w:pPr/>
      <w:r>
        <w:t>To authenticate you and keep accounts secure, including lockout after repeated failed sign-ins and optional two-factor authentication.</w:t>
      </w:r>
    </w:p>
    <w:p>
      <w:pPr/>
      <w:r>
        <w:t>To enforce plan limits, which requires counting what you have created and how many AI model requests you have used this month.</w:t>
      </w:r>
    </w:p>
    <w:p>
      <w:pPr/>
      <w:r>
        <w:t>To take payment, through Stripe, if you subscribe.</w:t>
      </w:r>
    </w:p>
    <w:p>
      <w:pPr/>
      <w:r>
        <w:t>To send transactional email: verification, password reset, invitations. Not marketing.</w:t>
      </w:r>
    </w:p>
    <w:p>
      <w:pPr/>
      <w:r>
        <w:t>We do not use your CRM content to train machine-learning models or sell or share it for advertising. AI-provider handling is described in the privacy notice’s Artificial intelligence section.</w:t>
      </w:r>
    </w:p>
    <w:p>
      <w:pPr>
        <w:pStyle w:val="Heading2"/>
      </w:pPr>
      <w:r>
        <w:t>5 Where data goes</w:t>
      </w:r>
    </w:p>
    <w:p>
      <w:pPr/>
      <w:r>
        <w:t>We use service providers for hosting, database storage, file storage, transactional email, payment processing and, where enabled, AI inference. The table below describes the locations reported in our current configuration and provider documentation. It is not a guarantee that all provider processing is confined to those locations.</w:t>
      </w:r>
    </w:p>
    <w:tbl>
      <w:tblPr>
        <w:tblW w:type="auto" w:w="0"/>
        <w:tblLayout w:type="fixed"/>
        <w:tblLook w:firstColumn="1" w:firstRow="1" w:lastColumn="0" w:lastRow="0" w:noHBand="0" w:noVBand="1" w:val="04A0"/>
      </w:tblPr>
      <w:tblGrid>
        <w:gridCol w:w="1440"/>
        <w:gridCol w:w="3888"/>
        <w:gridCol w:w="4608"/>
      </w:tblGrid>
      <w:tr>
        <w:trPr>
          <w:tblHeader/>
        </w:trPr>
        <w:tc>
          <w:tcPr>
            <w:tcW w:type="dxa" w:w="1440"/>
            <w:tcBorders>
              <w:top w:val="single" w:sz="4" w:color="D9D9D9"/>
              <w:left w:val="single" w:sz="4" w:color="D9D9D9"/>
              <w:bottom w:val="single" w:sz="4" w:color="D9D9D9"/>
              <w:right w:val="single" w:sz="4" w:color="D9D9D9"/>
            </w:tcBorders>
            <w:shd w:fill="E8EEF4"/>
          </w:tcPr>
          <w:p>
            <w:pPr>
              <w:spacing w:after="100" w:before="100"/>
            </w:pPr>
            <w:r>
              <w:rPr>
                <w:b/>
                <w:sz w:val="18"/>
              </w:rPr>
              <w:t>Service</w:t>
            </w:r>
          </w:p>
        </w:tc>
        <w:tc>
          <w:tcPr>
            <w:tcW w:type="dxa" w:w="3888"/>
            <w:tcBorders>
              <w:top w:val="single" w:sz="4" w:color="D9D9D9"/>
              <w:left w:val="single" w:sz="4" w:color="D9D9D9"/>
              <w:bottom w:val="single" w:sz="4" w:color="D9D9D9"/>
              <w:right w:val="single" w:sz="4" w:color="D9D9D9"/>
            </w:tcBorders>
            <w:shd w:fill="E8EEF4"/>
          </w:tcPr>
          <w:p>
            <w:pPr>
              <w:spacing w:after="100" w:before="100"/>
            </w:pPr>
            <w:r>
              <w:rPr>
                <w:b/>
                <w:sz w:val="18"/>
              </w:rPr>
              <w:t>Purpose</w:t>
            </w:r>
          </w:p>
        </w:tc>
        <w:tc>
          <w:tcPr>
            <w:tcW w:type="dxa" w:w="4608"/>
            <w:tcBorders>
              <w:top w:val="single" w:sz="4" w:color="D9D9D9"/>
              <w:left w:val="single" w:sz="4" w:color="D9D9D9"/>
              <w:bottom w:val="single" w:sz="4" w:color="D9D9D9"/>
              <w:right w:val="single" w:sz="4" w:color="D9D9D9"/>
            </w:tcBorders>
            <w:shd w:fill="E8EEF4"/>
          </w:tcPr>
          <w:p>
            <w:pPr>
              <w:spacing w:after="100" w:before="100"/>
            </w:pPr>
            <w:r>
              <w:rPr>
                <w:b/>
                <w:sz w:val="18"/>
              </w:rPr>
              <w:t>Reported location or routing</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Vercel</w:t>
            </w:r>
          </w:p>
        </w:tc>
        <w:tc>
          <w:tcPr>
            <w:tcW w:type="dxa" w:w="3888"/>
            <w:tcBorders>
              <w:top w:val="single" w:sz="4" w:color="D9D9D9"/>
              <w:left w:val="single" w:sz="4" w:color="D9D9D9"/>
              <w:bottom w:val="single" w:sz="4" w:color="D9D9D9"/>
              <w:right w:val="single" w:sz="4" w:color="D9D9D9"/>
            </w:tcBorders>
            <w:shd w:fill="FFFFFF"/>
          </w:tcPr>
          <w:p>
            <w:pPr>
              <w:spacing w:after="100" w:before="100"/>
            </w:pPr>
            <w:r>
              <w:rPr>
                <w:b w:val="0"/>
                <w:sz w:val="18"/>
              </w:rPr>
              <w:t>Application hosting</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18"/>
              </w:rPr>
              <w:t>US West (Oregon)</w:t>
            </w:r>
          </w:p>
        </w:tc>
      </w:tr>
      <w:tr>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Neon</w:t>
            </w:r>
          </w:p>
        </w:tc>
        <w:tc>
          <w:tcPr>
            <w:tcW w:type="dxa" w:w="3888"/>
            <w:tcBorders>
              <w:top w:val="single" w:sz="4" w:color="D9D9D9"/>
              <w:left w:val="single" w:sz="4" w:color="D9D9D9"/>
              <w:bottom w:val="single" w:sz="4" w:color="D9D9D9"/>
              <w:right w:val="single" w:sz="4" w:color="D9D9D9"/>
            </w:tcBorders>
            <w:shd w:fill="F6F7F9"/>
          </w:tcPr>
          <w:p>
            <w:pPr>
              <w:spacing w:after="100" w:before="100"/>
            </w:pPr>
            <w:r>
              <w:rPr>
                <w:b w:val="0"/>
                <w:sz w:val="18"/>
              </w:rPr>
              <w:t>PostgreSQL database</w:t>
            </w:r>
          </w:p>
        </w:tc>
        <w:tc>
          <w:tcPr>
            <w:tcW w:type="dxa" w:w="4608"/>
            <w:tcBorders>
              <w:top w:val="single" w:sz="4" w:color="D9D9D9"/>
              <w:left w:val="single" w:sz="4" w:color="D9D9D9"/>
              <w:bottom w:val="single" w:sz="4" w:color="D9D9D9"/>
              <w:right w:val="single" w:sz="4" w:color="D9D9D9"/>
            </w:tcBorders>
            <w:shd w:fill="F6F7F9"/>
          </w:tcPr>
          <w:p>
            <w:pPr>
              <w:spacing w:after="100" w:before="100"/>
            </w:pPr>
            <w:r>
              <w:rPr>
                <w:b w:val="0"/>
                <w:sz w:val="18"/>
              </w:rPr>
              <w:t>US West (Oregon) — AWS us-west-2</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Cloudflare R2</w:t>
            </w:r>
          </w:p>
        </w:tc>
        <w:tc>
          <w:tcPr>
            <w:tcW w:type="dxa" w:w="3888"/>
            <w:tcBorders>
              <w:top w:val="single" w:sz="4" w:color="D9D9D9"/>
              <w:left w:val="single" w:sz="4" w:color="D9D9D9"/>
              <w:bottom w:val="single" w:sz="4" w:color="D9D9D9"/>
              <w:right w:val="single" w:sz="4" w:color="D9D9D9"/>
            </w:tcBorders>
            <w:shd w:fill="FFFFFF"/>
          </w:tcPr>
          <w:p>
            <w:pPr>
              <w:spacing w:after="100" w:before="100"/>
            </w:pPr>
            <w:r>
              <w:rPr>
                <w:b w:val="0"/>
                <w:sz w:val="18"/>
              </w:rPr>
              <w:t>Storage for uploaded files (bucket tiny-crm-documents)</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18"/>
              </w:rPr>
              <w:t>Western North America (WNAM)</w:t>
            </w:r>
          </w:p>
        </w:tc>
      </w:tr>
      <w:tr>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Anthropic</w:t>
            </w:r>
          </w:p>
        </w:tc>
        <w:tc>
          <w:tcPr>
            <w:tcW w:type="dxa" w:w="3888"/>
            <w:tcBorders>
              <w:top w:val="single" w:sz="4" w:color="D9D9D9"/>
              <w:left w:val="single" w:sz="4" w:color="D9D9D9"/>
              <w:bottom w:val="single" w:sz="4" w:color="D9D9D9"/>
              <w:right w:val="single" w:sz="4" w:color="D9D9D9"/>
            </w:tcBorders>
            <w:shd w:fill="F6F7F9"/>
          </w:tcPr>
          <w:p>
            <w:pPr>
              <w:spacing w:after="100" w:before="100"/>
            </w:pPr>
            <w:r>
              <w:rPr>
                <w:b w:val="0"/>
                <w:sz w:val="18"/>
              </w:rPr>
              <w:t>AI model provider, where AI is enabled</w:t>
            </w:r>
          </w:p>
        </w:tc>
        <w:tc>
          <w:tcPr>
            <w:tcW w:type="dxa" w:w="4608"/>
            <w:tcBorders>
              <w:top w:val="single" w:sz="4" w:color="D9D9D9"/>
              <w:left w:val="single" w:sz="4" w:color="D9D9D9"/>
              <w:bottom w:val="single" w:sz="4" w:color="D9D9D9"/>
              <w:right w:val="single" w:sz="4" w:color="D9D9D9"/>
            </w:tcBorders>
            <w:shd w:fill="F6F7F9"/>
          </w:tcPr>
          <w:p>
            <w:pPr>
              <w:spacing w:after="100" w:before="100"/>
            </w:pPr>
            <w:r>
              <w:rPr>
                <w:b w:val="0"/>
                <w:sz w:val="18"/>
              </w:rPr>
              <w:t>Not pinned to a region</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Stripe</w:t>
            </w:r>
          </w:p>
        </w:tc>
        <w:tc>
          <w:tcPr>
            <w:tcW w:type="dxa" w:w="3888"/>
            <w:tcBorders>
              <w:top w:val="single" w:sz="4" w:color="D9D9D9"/>
              <w:left w:val="single" w:sz="4" w:color="D9D9D9"/>
              <w:bottom w:val="single" w:sz="4" w:color="D9D9D9"/>
              <w:right w:val="single" w:sz="4" w:color="D9D9D9"/>
            </w:tcBorders>
            <w:shd w:fill="FFFFFF"/>
          </w:tcPr>
          <w:p>
            <w:pPr>
              <w:spacing w:after="100" w:before="100"/>
            </w:pPr>
            <w:r>
              <w:rPr>
                <w:b w:val="0"/>
                <w:sz w:val="18"/>
              </w:rPr>
              <w:t>Payment processing, if you subscribe</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18"/>
              </w:rPr>
              <w:t>Provider operates internationally; no country-only residency guarantee</w:t>
            </w:r>
          </w:p>
        </w:tc>
      </w:tr>
      <w:tr>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Resend</w:t>
            </w:r>
          </w:p>
        </w:tc>
        <w:tc>
          <w:tcPr>
            <w:tcW w:type="dxa" w:w="3888"/>
            <w:tcBorders>
              <w:top w:val="single" w:sz="4" w:color="D9D9D9"/>
              <w:left w:val="single" w:sz="4" w:color="D9D9D9"/>
              <w:bottom w:val="single" w:sz="4" w:color="D9D9D9"/>
              <w:right w:val="single" w:sz="4" w:color="D9D9D9"/>
            </w:tcBorders>
            <w:shd w:fill="F6F7F9"/>
          </w:tcPr>
          <w:p>
            <w:pPr>
              <w:spacing w:after="100" w:before="100"/>
            </w:pPr>
            <w:r>
              <w:rPr>
                <w:b w:val="0"/>
                <w:sz w:val="18"/>
              </w:rPr>
              <w:t>Transactional email only — verification, password reset, invitations</w:t>
            </w:r>
          </w:p>
        </w:tc>
        <w:tc>
          <w:tcPr>
            <w:tcW w:type="dxa" w:w="4608"/>
            <w:tcBorders>
              <w:top w:val="single" w:sz="4" w:color="D9D9D9"/>
              <w:left w:val="single" w:sz="4" w:color="D9D9D9"/>
              <w:bottom w:val="single" w:sz="4" w:color="D9D9D9"/>
              <w:right w:val="single" w:sz="4" w:color="D9D9D9"/>
            </w:tcBorders>
            <w:shd w:fill="F6F7F9"/>
          </w:tcPr>
          <w:p>
            <w:pPr>
              <w:spacing w:after="100" w:before="100"/>
            </w:pPr>
            <w:r>
              <w:rPr>
                <w:b w:val="0"/>
                <w:sz w:val="18"/>
              </w:rPr>
              <w:t>United States (storage)</w:t>
            </w:r>
          </w:p>
        </w:tc>
      </w:tr>
    </w:tbl>
    <w:p/>
    <w:p>
      <w:pPr/>
      <w:r>
        <w:t>Resend delivers through Amazon SES, which is Resend's own subprocessor rather than a service we contract with directly. Transactional email carries your name, your email address and a link — never CRM record contents.</w:t>
      </w:r>
    </w:p>
    <w:p>
      <w:pPr/>
      <w:r>
        <w:t>Resend stores account data, email metadata and delivery logs in the United States whatever sending region is selected; the sending region affects only where a message is dispatched from. Resend publishes its own subprocessor list and gives at least 14 days' notice before changing it.</w:t>
      </w:r>
    </w:p>
    <w:p>
      <w:pPr/>
      <w:r>
        <w:t>International processing. Artifact Digital LLC is based in the United States. TinyCRM and its service providers may process personal data outside your country. Our provider table describes the locations we have confirmed; we do not promise that data remains in your country.</w:t>
      </w:r>
    </w:p>
    <w:p>
      <w:pPr/>
      <w:r>
        <w:t>We do not currently offer a data processing agreement. If your use requires processing terms or international-transfer safeguards, contact privacy@tinycrm.biz before uploading personal data so we can determine whether we can support your requirements.</w:t>
      </w:r>
    </w:p>
    <w:p>
      <w:pPr>
        <w:pStyle w:val="Heading2"/>
      </w:pPr>
      <w:r>
        <w:t>6 Artificial intelligence</w:t>
      </w:r>
    </w:p>
    <w:p>
      <w:pPr/>
      <w:r>
        <w:t>AI is controlled per workspace, not per account. One person may run their own business and a client's in the same account under different obligations, so the setting lives on the workspace.</w:t>
      </w:r>
    </w:p>
    <w:p>
      <w:pPr/>
      <w:r>
        <w:t>With workspace AI disabled, no workspace content is sent to a model provider. Built-in scoring, detection and brief features continue to run within the application.</w:t>
      </w:r>
    </w:p>
    <w:p>
      <w:pPr/>
      <w:r>
        <w:t>Enabled — a bounded slice of workspace content may be sent to the provider to write prose and answer questions. The amount is capped in code at 16,000 characters per request, including the question and any prior turns; longer context is truncated before it is sent, not after.</w:t>
      </w:r>
    </w:p>
    <w:p>
      <w:pPr/>
      <w:r>
        <w:t>The Private AI mode is reserved for a provider covered by a zero-retention agreement. We currently hold no such agreement; this mode therefore behaves like Disabled.</w:t>
      </w:r>
    </w:p>
    <w:p>
      <w:pPr/>
      <w:r>
        <w:t>If an AI request spans several workspaces and any has AI disabled, the answer is produced locally rather than sending workspace content to a model provider.</w:t>
      </w:r>
    </w:p>
    <w:p>
      <w:pPr/>
      <w:r>
        <w:t>Never sent to a model provider, in any mode: passwords, session tokens, API keys or any other credential. A contact's email address or phone number is included only when that specific record is the one being summarised.</w:t>
      </w:r>
    </w:p>
    <w:p>
      <w:pPr/>
      <w:r>
        <w:t>Only requests that actually reach a paid model count against your monthly allowance. The built-in engine is unmetered on every plan, including Free.</w:t>
      </w:r>
    </w:p>
    <w:p>
      <w:pPr/>
      <w:r>
        <w:t>We hold no zero-retention agreement with Anthropic. Its published commercial policy describes deletion of API inputs and outputs within 30 days, subject to exceptions, and no model training without express permission. Content flagged by its safety systems may be retained longer, including for up to two years. These are provider policies, not a guarantee by Artifact Digital LLC. Disable workspace AI if you do not want workspace content sent to a model provider.</w:t>
      </w:r>
    </w:p>
    <w:p>
      <w:pPr/>
      <w:r>
        <w:t>Those are the provider's published terms rather than a commitment we are making on their behalf, and we have not negotiated anything different.</w:t>
      </w:r>
    </w:p>
    <w:p>
      <w:pPr>
        <w:pStyle w:val="Heading2"/>
      </w:pPr>
      <w:r>
        <w:t>7 Security</w:t>
      </w:r>
    </w:p>
    <w:p>
      <w:pPr/>
      <w:r>
        <w:t>Passwords are hashed with bcrypt and never stored in a readable form.</w:t>
      </w:r>
    </w:p>
    <w:p>
      <w:pPr/>
      <w:r>
        <w:t>Workspace isolation is enforced by the database itself through row-level security, not only by application code. A query that arrives without a workspace context returns nothing rather than everything.</w:t>
      </w:r>
    </w:p>
    <w:p>
      <w:pPr/>
      <w:r>
        <w:t>Optional two-factor authentication, with recovery codes.</w:t>
      </w:r>
    </w:p>
    <w:p>
      <w:pPr/>
      <w:r>
        <w:t>Sessions can be revoked individually or all at once, and a password change invalidates existing sessions.</w:t>
      </w:r>
    </w:p>
    <w:p>
      <w:pPr/>
      <w:r>
        <w:t>The audit log is append-only: the application's database role is not permitted to update or delete its rows.</w:t>
      </w:r>
    </w:p>
    <w:p>
      <w:pPr/>
      <w:r>
        <w:t>All traffic is served over HTTPS.</w:t>
      </w:r>
    </w:p>
    <w:p>
      <w:pPr/>
      <w:r>
        <w:t>No security measure is a guarantee. If we become aware of a personal-data breach affecting your data, we will notify you without undue delay, subject to applicable legal requirements, by email to your account address. Our notice will describe the information available to us, the likely effects, the steps we are taking, and any steps we recommend you take. We may provide information in stages as our investigation progresses. We will comply with any applicable notification deadlines and obligations.</w:t>
      </w:r>
    </w:p>
    <w:p>
      <w:pPr>
        <w:pStyle w:val="Heading2"/>
      </w:pPr>
      <w:r>
        <w:t>8 Retention</w:t>
      </w:r>
    </w:p>
    <w:p>
      <w:pPr/>
      <w:r>
        <w:t>The following describes our current retention practices. These practices do not override applicable legal requirements or your statutory rights.</w:t>
      </w:r>
    </w:p>
    <w:p>
      <w:pPr/>
      <w:r>
        <w:t>Deleted automatically, on a daily sweep</w:t>
      </w:r>
    </w:p>
    <w:p>
      <w:pPr/>
      <w:r>
        <w:t>Expired sessions, and authentication tokens once they have been used or have expired.</w:t>
      </w:r>
    </w:p>
    <w:p>
      <w:pPr/>
      <w:r>
        <w:t>Completed background jobs, 30 days after they finish.</w:t>
      </w:r>
    </w:p>
    <w:p>
      <w:pPr/>
      <w:r>
        <w:t>Expired idempotency keys, and rate-limit counters.</w:t>
      </w:r>
    </w:p>
    <w:p>
      <w:pPr/>
      <w:r>
        <w:t>Security alerts are deleted 365 days after they are acknowledged. Unacknowledged alerts are not automatically deleted. This is separate from the audit log below.</w:t>
      </w:r>
    </w:p>
    <w:p>
      <w:pPr/>
      <w:r>
        <w:t>Not deleted automatically</w:t>
      </w:r>
    </w:p>
    <w:p>
      <w:pPr/>
      <w:r>
        <w:t>Business records are retained while stored in your workspace. Moving records to Trash does not permanently erase them.</w:t>
      </w:r>
    </w:p>
    <w:p>
      <w:pPr/>
      <w:r>
        <w:t>Records you delete go to Trash and stay there. They remain recoverable by you, and no job empties the Trash, so in practice they are kept indefinitely.</w:t>
      </w:r>
    </w:p>
    <w:p>
      <w:pPr/>
      <w:r>
        <w:t>Audit records are retained indefinitely by the current implementation; no automatic purge is configured. Requests concerning personal data in these records will be assessed under applicable law.</w:t>
      </w:r>
    </w:p>
    <w:p>
      <w:pPr/>
      <w:r>
        <w:t>Deleting a workspace</w:t>
      </w:r>
    </w:p>
    <w:p>
      <w:pPr/>
      <w:r>
        <w:t>Workspace deletion is scheduled rather than immediate. The workspace becomes read-only for a 7-day grace period during which the deletion can be cancelled, so an accidental or hostile deletion can be reversed before anything is destroyed. After the grace period it is carried out and cascades to that workspace's records.</w:t>
      </w:r>
    </w:p>
    <w:p>
      <w:pPr/>
      <w:r>
        <w:t>Closing an account</w:t>
      </w:r>
    </w:p>
    <w:p>
      <w:pPr/>
      <w:r>
        <w:t>Account closure is not currently available inside the product. Send closure or deletion requests to privacy@tinycrm.biz. Requests involving shared workspaces may require coordination with other authorised users so that one person’s request does not improperly remove another person’s data.</w:t>
      </w:r>
    </w:p>
    <w:p>
      <w:pPr/>
      <w:r>
        <w:t>Point-in-time recovery</w:t>
      </w:r>
    </w:p>
    <w:p>
      <w:pPr/>
      <w:r>
        <w:t>Our configured database point-in-time recovery window is six hours. This is the period available for restoring the database to an earlier state; recovery is not guaranteed.</w:t>
      </w:r>
    </w:p>
    <w:p>
      <w:pPr/>
      <w:r>
        <w:t>That number is a recovery window, not a deletion guarantee. It does not mean data is erased six hours after you delete it.</w:t>
      </w:r>
    </w:p>
    <w:p>
      <w:pPr/>
      <w:r>
        <w:t>Separately, our database provider publishes a 30-day retention period for its encrypted backups. Information permanently removed from the live database may remain in provider backups. We cannot remove individual records from those backups. The published retention period is not a guarantee that every copy of a particular record will be erased exactly 30 days after a request.</w:t>
      </w:r>
    </w:p>
    <w:p>
      <w:pPr/>
      <w:r>
        <w:t>Application recovery is separate: records remain in Trash until permanently removed, and scheduled workspace deletion can be cancelled during its seven-day grace period.</w:t>
      </w:r>
    </w:p>
    <w:p>
      <w:pPr>
        <w:pStyle w:val="Heading2"/>
      </w:pPr>
      <w:r>
        <w:t>9 Your choices</w:t>
      </w:r>
    </w:p>
    <w:p>
      <w:pPr/>
      <w:r>
        <w:t>You can export contacts, companies, deals, projects, opportunities and tasks as CSV, with up to 50,000 rows per export, excluding records in Trash. Notes, activity history, uploaded files, tags and custom field values are not included in these exports. Files can be downloaded individually.</w:t>
      </w:r>
    </w:p>
    <w:p>
      <w:pPr/>
      <w:r>
        <w:t>Turn AI off per workspace, and keep every deterministic feature.</w:t>
      </w:r>
    </w:p>
    <w:p>
      <w:pPr/>
      <w:r>
        <w:t>Review and revoke sessions; enable two-factor authentication.</w:t>
      </w:r>
    </w:p>
    <w:p>
      <w:pPr/>
      <w:r>
        <w:t>Delete records, or a whole workspace.</w:t>
      </w:r>
    </w:p>
    <w:p>
      <w:pPr/>
      <w:r>
        <w:t>To make a request about your TinyCRM account information, email privacy@tinycrm.biz. Depending on applicable law, you may have rights to access, correct, delete or receive a copy of your personal data, or to object to or restrict certain processing. You may also have the right to complain to your local data-protection authority. We may request information needed to verify your identity. We will respond within applicable legal deadlines and explain any lawful exception that prevents us from fulfilling a request.</w:t>
      </w:r>
    </w:p>
    <w:p>
      <w:pPr/>
      <w:r>
        <w:t>If your request concerns information a TinyCRM customer has entered about you, contact that customer first. If you contact us directly, we will coordinate with the relevant customer and assist as required by law. Account closure is not currently available inside the product; requests can be sent to the email above. Some information may remain in backups or be retained for lawful purposes, as described in our retention section.</w:t>
      </w:r>
    </w:p>
    <w:p>
      <w:pPr>
        <w:pStyle w:val="Heading2"/>
      </w:pPr>
      <w:r>
        <w:t>10 What is deliberately not claimed</w:t>
      </w:r>
    </w:p>
    <w:p>
      <w:pPr/>
      <w:r>
        <w:t>No certification is claimed — not SOC 2, not ISO 27001, not HIPAA.</w:t>
      </w:r>
    </w:p>
    <w:p>
      <w:pPr/>
      <w:r>
        <w:t>No zero-retention guarantee from any AI provider.</w:t>
      </w:r>
    </w:p>
    <w:p>
      <w:pPr/>
      <w:r>
        <w:t>No uptime or availability commitment.</w:t>
      </w:r>
    </w:p>
    <w:p>
      <w:pPr/>
      <w:r>
        <w:t>We do not maintain an independent off-provider backup. Our tested database recovery is held by the same provider within the same project. It is not protection against every form of account loss, project deletion or provider failure. Consider keeping your own exports, noting the export limitations described above.</w:t>
      </w:r>
    </w:p>
    <w:p>
      <w:pPr/>
      <w:r>
        <w:t>No recovery-time guarantee is offered.</w:t>
      </w:r>
    </w:p>
    <w:p>
      <w:pPr>
        <w:pStyle w:val="Heading2"/>
      </w:pPr>
      <w:r>
        <w:t>11 Children</w:t>
      </w:r>
    </w:p>
    <w:p>
      <w:pPr/>
      <w:r>
        <w:t>Tiny CRM is a business tool and is not directed at children.</w:t>
      </w:r>
    </w:p>
    <w:p>
      <w:pPr>
        <w:pStyle w:val="Heading2"/>
      </w:pPr>
      <w:r>
        <w:t>12 Changes and contact</w:t>
      </w:r>
    </w:p>
    <w:p>
      <w:pPr/>
      <w:r>
        <w:t>If this notice changes materially, we will give at least 30 days’ notice by email to your account address. Changes required sooner by law may take effect sooner, with notice as appropriate.</w:t>
      </w:r>
    </w:p>
    <w:p>
      <w:pPr/>
      <w:r>
        <w:t>Artifact Digital LLC, 178 N. Cuyamaca St., El Cajon, CA 92020, United States. Contact: privacy@tinycrm.biz. The governing-law and dispute provisions are set out in our Terms of Service and do not limit mandatory privacy rights.</w:t>
      </w:r>
    </w:p>
    <w:p>
      <w:pPr>
        <w:pStyle w:val="Heading1"/>
        <w:pageBreakBefore/>
      </w:pPr>
      <w:r>
        <w:t>Terms of Service</w:t>
      </w:r>
    </w:p>
    <w:p>
      <w:pPr>
        <w:pStyle w:val="Heading2"/>
      </w:pPr>
      <w:r>
        <w:t>1 Who these terms are between</w:t>
      </w:r>
    </w:p>
    <w:p>
      <w:pPr/>
      <w:r>
        <w:t>These terms are between you and Artifact Digital LLC, 178 N. Cuyamaca St., El Cajon, CA 92020, United States (“we”, “us”), covering your use of Tiny CRM.</w:t>
      </w:r>
    </w:p>
    <w:p>
      <w:pPr/>
      <w:r>
        <w:t>By creating an account you accept them. If you are accepting on behalf of an organisation, you confirm you are authorised to do so.</w:t>
      </w:r>
    </w:p>
    <w:p>
      <w:pPr>
        <w:pStyle w:val="Heading2"/>
      </w:pPr>
      <w:r>
        <w:t>2 What the service does</w:t>
      </w:r>
    </w:p>
    <w:p>
      <w:pPr/>
      <w:r>
        <w:t>Tiny CRM stores and organises contacts, companies, deals, opportunities, projects, tasks and notes, and offers two distinct kinds of assistance:</w:t>
      </w:r>
    </w:p>
    <w:p>
      <w:pPr/>
      <w:r>
        <w:t>A built-in engine that computes relationship scores, deal momentum, project health, duplicate detection, hygiene checks and a daily brief. It runs locally, is unmetered on every plan, and needs no AI model.</w:t>
      </w:r>
    </w:p>
    <w:p>
      <w:pPr/>
      <w:r>
        <w:t>Tiny AI, which answers open-ended questions in prose using a third-party model. This is metered, because each request costs us money to serve.</w:t>
      </w:r>
    </w:p>
    <w:p>
      <w:pPr>
        <w:pStyle w:val="Heading2"/>
      </w:pPr>
      <w:r>
        <w:t>3 Plans prices and limits</w:t>
      </w:r>
    </w:p>
    <w:p>
      <w:pPr/>
      <w:r>
        <w:t>Prices are in US dollars and billed monthly. Current plans:</w:t>
      </w:r>
    </w:p>
    <w:tbl>
      <w:tblPr>
        <w:tblW w:type="auto" w:w="0"/>
        <w:tblLayout w:type="fixed"/>
        <w:tblLook w:firstColumn="1" w:firstRow="1" w:lastColumn="0" w:lastRow="0" w:noHBand="0" w:noVBand="1" w:val="04A0"/>
      </w:tblPr>
      <w:tblGrid>
        <w:gridCol w:w="1440"/>
        <w:gridCol w:w="1440"/>
        <w:gridCol w:w="1440"/>
        <w:gridCol w:w="1584"/>
        <w:gridCol w:w="1440"/>
        <w:gridCol w:w="2160"/>
      </w:tblGrid>
      <w:tr>
        <w:trPr>
          <w:tblHeader/>
        </w:trPr>
        <w:tc>
          <w:tcPr>
            <w:tcW w:type="dxa" w:w="1440"/>
            <w:tcBorders>
              <w:top w:val="single" w:sz="4" w:color="D9D9D9"/>
              <w:left w:val="single" w:sz="4" w:color="D9D9D9"/>
              <w:bottom w:val="single" w:sz="4" w:color="D9D9D9"/>
              <w:right w:val="single" w:sz="4" w:color="D9D9D9"/>
            </w:tcBorders>
            <w:shd w:fill="E8EEF4"/>
          </w:tcPr>
          <w:p>
            <w:pPr>
              <w:spacing w:after="100" w:before="100"/>
            </w:pPr>
            <w:r>
              <w:rPr>
                <w:b/>
                <w:sz w:val="18"/>
              </w:rPr>
              <w:t>Plan</w:t>
            </w:r>
          </w:p>
        </w:tc>
        <w:tc>
          <w:tcPr>
            <w:tcW w:type="dxa" w:w="1440"/>
            <w:tcBorders>
              <w:top w:val="single" w:sz="4" w:color="D9D9D9"/>
              <w:left w:val="single" w:sz="4" w:color="D9D9D9"/>
              <w:bottom w:val="single" w:sz="4" w:color="D9D9D9"/>
              <w:right w:val="single" w:sz="4" w:color="D9D9D9"/>
            </w:tcBorders>
            <w:shd w:fill="E8EEF4"/>
          </w:tcPr>
          <w:p>
            <w:pPr>
              <w:spacing w:after="100" w:before="100"/>
            </w:pPr>
            <w:r>
              <w:rPr>
                <w:b/>
                <w:sz w:val="18"/>
              </w:rPr>
              <w:t>Monthly price</w:t>
            </w:r>
          </w:p>
        </w:tc>
        <w:tc>
          <w:tcPr>
            <w:tcW w:type="dxa" w:w="1440"/>
            <w:tcBorders>
              <w:top w:val="single" w:sz="4" w:color="D9D9D9"/>
              <w:left w:val="single" w:sz="4" w:color="D9D9D9"/>
              <w:bottom w:val="single" w:sz="4" w:color="D9D9D9"/>
              <w:right w:val="single" w:sz="4" w:color="D9D9D9"/>
            </w:tcBorders>
            <w:shd w:fill="E8EEF4"/>
          </w:tcPr>
          <w:p>
            <w:pPr>
              <w:spacing w:after="100" w:before="100"/>
            </w:pPr>
            <w:r>
              <w:rPr>
                <w:b/>
                <w:sz w:val="18"/>
              </w:rPr>
              <w:t>Contacts</w:t>
            </w:r>
          </w:p>
        </w:tc>
        <w:tc>
          <w:tcPr>
            <w:tcW w:type="dxa" w:w="1584"/>
            <w:tcBorders>
              <w:top w:val="single" w:sz="4" w:color="D9D9D9"/>
              <w:left w:val="single" w:sz="4" w:color="D9D9D9"/>
              <w:bottom w:val="single" w:sz="4" w:color="D9D9D9"/>
              <w:right w:val="single" w:sz="4" w:color="D9D9D9"/>
            </w:tcBorders>
            <w:shd w:fill="E8EEF4"/>
          </w:tcPr>
          <w:p>
            <w:pPr>
              <w:spacing w:after="100" w:before="100"/>
            </w:pPr>
            <w:r>
              <w:rPr>
                <w:b/>
                <w:sz w:val="18"/>
              </w:rPr>
              <w:t>Workspaces</w:t>
            </w:r>
          </w:p>
        </w:tc>
        <w:tc>
          <w:tcPr>
            <w:tcW w:type="dxa" w:w="1440"/>
            <w:tcBorders>
              <w:top w:val="single" w:sz="4" w:color="D9D9D9"/>
              <w:left w:val="single" w:sz="4" w:color="D9D9D9"/>
              <w:bottom w:val="single" w:sz="4" w:color="D9D9D9"/>
              <w:right w:val="single" w:sz="4" w:color="D9D9D9"/>
            </w:tcBorders>
            <w:shd w:fill="E8EEF4"/>
          </w:tcPr>
          <w:p>
            <w:pPr>
              <w:spacing w:after="100" w:before="100"/>
            </w:pPr>
            <w:r>
              <w:rPr>
                <w:b/>
                <w:sz w:val="18"/>
              </w:rPr>
              <w:t>Seats</w:t>
            </w:r>
          </w:p>
        </w:tc>
        <w:tc>
          <w:tcPr>
            <w:tcW w:type="dxa" w:w="2160"/>
            <w:tcBorders>
              <w:top w:val="single" w:sz="4" w:color="D9D9D9"/>
              <w:left w:val="single" w:sz="4" w:color="D9D9D9"/>
              <w:bottom w:val="single" w:sz="4" w:color="D9D9D9"/>
              <w:right w:val="single" w:sz="4" w:color="D9D9D9"/>
            </w:tcBorders>
            <w:shd w:fill="E8EEF4"/>
          </w:tcPr>
          <w:p>
            <w:pPr>
              <w:spacing w:after="100" w:before="100"/>
            </w:pPr>
            <w:r>
              <w:rPr>
                <w:b/>
                <w:sz w:val="18"/>
              </w:rPr>
              <w:t>AI answers per month</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Free</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$0</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100</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1</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1</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10</w:t>
            </w:r>
          </w:p>
        </w:tc>
      </w:tr>
      <w:tr>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Plus</w:t>
            </w:r>
          </w:p>
        </w:tc>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$10</w:t>
            </w:r>
          </w:p>
        </w:tc>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2,000</w:t>
            </w:r>
          </w:p>
        </w:tc>
        <w:tc>
          <w:tcPr>
            <w:tcW w:type="dxa" w:w="1584"/>
            <w:tcBorders>
              <w:top w:val="single" w:sz="4" w:color="D9D9D9"/>
              <w:left w:val="single" w:sz="4" w:color="D9D9D9"/>
              <w:bottom w:val="single" w:sz="4" w:color="D9D9D9"/>
              <w:right w:val="single" w:sz="4" w:color="D9D9D9"/>
            </w:tcBorders>
            <w:shd w:fill="F6F7F9"/>
          </w:tcPr>
          <w:p>
            <w:pPr>
              <w:spacing w:after="100" w:before="100"/>
            </w:pPr>
            <w:r>
              <w:rPr>
                <w:b w:val="0"/>
                <w:sz w:val="18"/>
              </w:rPr>
              <w:t>3</w:t>
            </w:r>
          </w:p>
        </w:tc>
        <w:tc>
          <w:tcPr>
            <w:tcW w:type="dxa" w:w="1440"/>
            <w:tcBorders>
              <w:top w:val="single" w:sz="4" w:color="D9D9D9"/>
              <w:left w:val="single" w:sz="4" w:color="D9D9D9"/>
              <w:bottom w:val="single" w:sz="4" w:color="D9D9D9"/>
              <w:right w:val="single" w:sz="4" w:color="D9D9D9"/>
            </w:tcBorders>
            <w:shd w:fill="F6F7F9"/>
          </w:tcPr>
          <w:p>
            <w:pPr>
              <w:spacing w:after="100" w:before="100"/>
            </w:pPr>
            <w:r>
              <w:rPr>
                <w:b w:val="0"/>
                <w:sz w:val="18"/>
              </w:rPr>
              <w:t>3</w:t>
            </w:r>
          </w:p>
        </w:tc>
        <w:tc>
          <w:tcPr>
            <w:tcW w:type="dxa" w:w="2160"/>
            <w:tcBorders>
              <w:top w:val="single" w:sz="4" w:color="D9D9D9"/>
              <w:left w:val="single" w:sz="4" w:color="D9D9D9"/>
              <w:bottom w:val="single" w:sz="4" w:color="D9D9D9"/>
              <w:right w:val="single" w:sz="4" w:color="D9D9D9"/>
            </w:tcBorders>
            <w:shd w:fill="F6F7F9"/>
          </w:tcPr>
          <w:p>
            <w:pPr>
              <w:spacing w:after="100" w:before="100"/>
            </w:pPr>
            <w:r>
              <w:rPr>
                <w:b w:val="0"/>
                <w:sz w:val="18"/>
              </w:rPr>
              <w:t>30</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Pro</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$20</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5,000</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10</w:t>
            </w:r>
          </w:p>
        </w:tc>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10</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60</w:t>
            </w:r>
          </w:p>
        </w:tc>
      </w:tr>
    </w:tbl>
    <w:p/>
    <w:p>
      <w:r>
        <w:t>For October 2026, Free accounts retain a temporary allowance of 25 AI answers. The standing allowance is 10 per month thereafter. Original Lifetime entitlements remain preserved and are not offered for new purchase.</w:t>
      </w:r>
    </w:p>
    <w:p>
      <w:pPr/>
      <w:r>
        <w:t>Current plan limits and usage are shown on the pricing page and in billing settings. Server-side enforcement applies.</w:t>
      </w:r>
    </w:p>
    <w:p>
      <w:pPr/>
      <w:r>
        <w:t>Reaching a record limit does not delete existing records. It prevents creating more of that record type. If you move to a smaller plan and exceed a ceiling, existing records remain readable, editable and exportable within the export limitations described in the privacy notice; you cannot add more until you are within the limit.</w:t>
      </w:r>
    </w:p>
    <w:p>
      <w:pPr>
        <w:pStyle w:val="Heading2"/>
      </w:pPr>
      <w:r>
        <w:t>4 Billing cancellation and refunds</w:t>
      </w:r>
    </w:p>
    <w:p>
      <w:pPr/>
      <w:r>
        <w:t>Payments are processed by Stripe. Card details are entered on Stripe's pages and never reach our servers.</w:t>
      </w:r>
    </w:p>
    <w:p>
      <w:pPr/>
      <w:r>
        <w:t>Paid plans renew monthly until cancelled.</w:t>
      </w:r>
    </w:p>
    <w:p>
      <w:pPr/>
      <w:r>
        <w:t>You can change plan or cancel yourself, at any time, from billing settings.</w:t>
      </w:r>
    </w:p>
    <w:p>
      <w:pPr/>
      <w:r>
        <w:t>Cancelling takes effect at the end of the period you have already paid for. You keep your plan until then.</w:t>
      </w:r>
    </w:p>
    <w:p>
      <w:pPr/>
      <w:r>
        <w:t>A failed payment does not immediately remove access. Stripe may retry payment; plan access can end when the subscription becomes unpaid or is cancelled.</w:t>
      </w:r>
    </w:p>
    <w:p>
      <w:pPr/>
      <w:r>
        <w:t>Cancellation. If you cancel, no refund or credit is issued for unused time. Your plan continues until the end of the period you have already paid for, and the account then moves to Free.</w:t>
      </w:r>
    </w:p>
    <w:p>
      <w:pPr/>
      <w:r>
        <w:t>Changing plan mid-period is prorated, and the direction matters. A downgrade produces a credit for the time you did not use at the higher rate. An upgrade produces an additional charge for the remainder of the period. In both cases the adjustment appears on your next invoice rather than being charged or refunded immediately.</w:t>
      </w:r>
    </w:p>
    <w:p>
      <w:pPr/>
      <w:r>
        <w:t>If you were charged in error, contact us and we will refund it.</w:t>
      </w:r>
    </w:p>
    <w:p>
      <w:pPr/>
      <w:r>
        <w:t>Taxes. Subscription prices are stated in USD. We do not currently add sales tax or VAT to API-created Checkout purchases, so the subscription charge is the displayed plan price. If we begin collecting applicable taxes, they will be shown before you complete a purchase. Our 30-day notice policy applies to increases in the subscription price itself; it does not delay tax collection or other changes required by law.</w:t>
      </w:r>
    </w:p>
    <w:p>
      <w:pPr>
        <w:pStyle w:val="Heading2"/>
      </w:pPr>
      <w:r>
        <w:t>5 Your data</w:t>
      </w:r>
    </w:p>
    <w:p>
      <w:pPr/>
      <w:r>
        <w:t>Your content remains yours. We claim no ownership of it. You authorise us to store and process it as needed to provide the service and follow your instructions, subject to applicable law.</w:t>
      </w:r>
    </w:p>
    <w:p>
      <w:pPr/>
      <w:r>
        <w:t>You can export contacts, companies, deals, projects, opportunities and tasks as CSV, including after cancelling a paid plan, with up to 50,000 rows per export and excluding records in Trash. Notes, activity history, uploaded files, tags and custom field values are not included; see the privacy notice for details.</w:t>
      </w:r>
    </w:p>
    <w:p>
      <w:pPr/>
      <w:r>
        <w:t>We do not use your CRM content to train machine-learning models or sell or share it for advertising. AI-provider handling is described in the privacy notice’s Artificial intelligence section.</w:t>
      </w:r>
    </w:p>
    <w:p>
      <w:pPr/>
      <w:r>
        <w:t>How we handle your data is described in the privacy notice, which forms part of these terms.</w:t>
      </w:r>
    </w:p>
    <w:p>
      <w:pPr/>
      <w:r>
        <w:t>You are responsible for having a lawful basis to store information about the people you add, and for telling them if that is required where you are.</w:t>
      </w:r>
    </w:p>
    <w:p>
      <w:pPr>
        <w:pStyle w:val="Heading2"/>
      </w:pPr>
      <w:r>
        <w:t>6 Acceptable use</w:t>
      </w:r>
    </w:p>
    <w:p>
      <w:pPr/>
      <w:r>
        <w:t>You agree not to:</w:t>
      </w:r>
    </w:p>
    <w:p>
      <w:pPr/>
      <w:r>
        <w:t>Use the service to send unsolicited bulk messages, or to store data obtained unlawfully.</w:t>
      </w:r>
    </w:p>
    <w:p>
      <w:pPr/>
      <w:r>
        <w:t>Attempt to access another account or workspace, or to circumvent plan limits or rate limits.</w:t>
      </w:r>
    </w:p>
    <w:p>
      <w:pPr/>
      <w:r>
        <w:t>Probe, scan or load-test the service without written permission.</w:t>
      </w:r>
    </w:p>
    <w:p>
      <w:pPr/>
      <w:r>
        <w:t>Resell or sublicense the service without an agreement with us.</w:t>
      </w:r>
    </w:p>
    <w:p>
      <w:pPr/>
      <w:r>
        <w:t>Suspension. If an account puts the service or other customers at risk — through abuse, an attempt to reach another account or workspace, or anything unlawful — we may suspend it immediately and without advance notice. We will email the account address explaining the reason, where we are legally permitted to say.</w:t>
      </w:r>
    </w:p>
    <w:p>
      <w:pPr/>
      <w:r>
        <w:t>Appeals. Write to privacy@tinycrm.biz . We aim to respond within five business days. Suspension is not deletion: your records are not removed, and a suspension that we got wrong is reversible.</w:t>
      </w:r>
    </w:p>
    <w:p>
      <w:pPr>
        <w:pStyle w:val="Heading2"/>
      </w:pPr>
      <w:r>
        <w:t>7 Tiny AI specifically</w:t>
      </w:r>
    </w:p>
    <w:p>
      <w:pPr/>
      <w:r>
        <w:t>AI is controlled per workspace. With AI disabled, no workspace content is sent to any model provider, and every built-in feature keeps working.</w:t>
      </w:r>
    </w:p>
    <w:p>
      <w:pPr/>
      <w:r>
        <w:t>Each plan includes a monthly allowance of model answers. Only requests that reach a paid provider count; the built-in engine never does.</w:t>
      </w:r>
    </w:p>
    <w:p>
      <w:pPr/>
      <w:r>
        <w:t>When the allowance is spent, the built-in engine keeps working and the allowance resets at the start of the next month.</w:t>
      </w:r>
    </w:p>
    <w:p>
      <w:pPr/>
      <w:r>
        <w:t>Model output can be wrong. Check anything you intend to act on; we do not warrant that an answer is accurate.</w:t>
      </w:r>
    </w:p>
    <w:p>
      <w:pPr/>
      <w:r>
        <w:t>We make no zero-retention claim on behalf of the model provider. See the privacy notice.</w:t>
      </w:r>
    </w:p>
    <w:p>
      <w:pPr>
        <w:pStyle w:val="Heading2"/>
      </w:pPr>
      <w:r>
        <w:t>8 Availability</w:t>
      </w:r>
    </w:p>
    <w:p>
      <w:pPr/>
      <w:r>
        <w:t>The service is provided as available, with no uptime commitment, service-level agreement or recovery-time guarantee. Database recovery has been tested within our configured six-hour window and is held by the same provider in the same project. It is not an independent backup. Consider keeping your own exports, noting the limitations described in the privacy notice.</w:t>
      </w:r>
    </w:p>
    <w:p>
      <w:pPr>
        <w:pStyle w:val="Heading2"/>
      </w:pPr>
      <w:r>
        <w:t>9 Warranties and liability</w:t>
      </w:r>
    </w:p>
    <w:p>
      <w:pPr/>
      <w:r>
        <w:t>To the extent permitted by applicable law, the service is provided “as is” and “as available”, without warranties of any kind, whether express or implied, including implied warranties of merchantability, fitness for a particular purpose or non-infringement.</w:t>
      </w:r>
    </w:p>
    <w:p>
      <w:pPr/>
      <w:r>
        <w:t>Limitation of liability. To the extent permitted by applicable law, Artifact Digital LLC’s total liability to you for all claims arising from or relating to TinyCRM or these terms will not exceed the greater of $100 USD or the total fees you paid us for TinyCRM during the 12 months immediately preceding the event giving rise to the claim.</w:t>
      </w:r>
    </w:p>
    <w:p>
      <w:pPr/>
      <w:r>
        <w:t>This limit does not apply to fraud, willful misconduct, or any liability that applicable law does not allow us to limit. Nothing in these terms excludes or restricts your mandatory statutory rights.</w:t>
      </w:r>
    </w:p>
    <w:p>
      <w:pPr>
        <w:pStyle w:val="Heading2"/>
      </w:pPr>
      <w:r>
        <w:t>10 Ending the agreement</w:t>
      </w:r>
    </w:p>
    <w:p>
      <w:pPr/>
      <w:r>
        <w:t>You may stop using the service at any time, and cancel a paid plan yourself from billing settings.</w:t>
      </w:r>
    </w:p>
    <w:p>
      <w:pPr/>
      <w:r>
        <w:t>You can delete individual records, and whole workspaces. Deleting a workspace is scheduled rather than immediate, so it can be reversed during a 7-day grace period before anything is destroyed.</w:t>
      </w:r>
    </w:p>
    <w:p>
      <w:pPr/>
      <w:r>
        <w:t>Account closure is not currently available inside the product. Send closure requests to privacy@tinycrm.biz.</w:t>
      </w:r>
    </w:p>
    <w:p>
      <w:pPr/>
      <w:r>
        <w:t>Export your data before you stop using the service. What an export covers, and what it does not, is set out in the privacy notice.</w:t>
      </w:r>
    </w:p>
    <w:p>
      <w:pPr/>
      <w:r>
        <w:t>Our current retention practices are described in section 8 of the privacy notice. Those practices do not override applicable legal requirements or your statutory rights.</w:t>
      </w:r>
    </w:p>
    <w:p>
      <w:pPr>
        <w:pStyle w:val="Heading2"/>
      </w:pPr>
      <w:r>
        <w:t>11 Changes law and contact</w:t>
      </w:r>
    </w:p>
    <w:p>
      <w:pPr/>
      <w:r>
        <w:t>We will give at least 30 days’ notice by email to your account address before a subscription price increase or a material change to these terms applies to an existing subscription. You can cancel before it takes effect. Changes required sooner by law may take effect sooner, with notice as appropriate.</w:t>
      </w:r>
    </w:p>
    <w:p>
      <w:pPr/>
      <w:r>
        <w:t>Governing law and disputes. These terms are governed by California law, excluding its conflict-of-law rules. Unless applicable law requires otherwise, disputes arising from these terms or your use of TinyCRM will be brought in the state or federal courts located in San Diego County, California. Nothing in these terms deprives you of mandatory protections under applicable law or any right to bring a claim in another court where that right cannot lawfully be restricted. Contact for legal notices: privacy@tinycrm.biz.</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Working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ageBreakBefore w:val="0"/>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pageBreakBefore w:val="0"/>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