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>
          <w:b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Create authentication service that returns JWT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  <w:br w:type="textWrapping"/>
        <w:br w:type="textWrapping"/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As part of first step of JWT process, the user credentials needs to be sent to authentication service request that generates and returns the JWT.</w:t>
        <w:br w:type="textWrapping"/>
        <w:br w:type="textWrapping"/>
        <w:t xml:space="preserve"> Ideally when the below curl command is executed that calls the new authentication service, the token should be responded. Kindly note that the credentials are passed using -u option.</w:t>
        <w:br w:type="textWrapping"/>
        <w:br w:type="textWrapping"/>
        <w:t xml:space="preserve"> </w:t>
      </w: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Request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curl -s -u user:pwd http://localhost:8090/authenticate</w:t>
      </w:r>
    </w:p>
    <w:p w:rsidR="00000000" w:rsidDel="00000000" w:rsidP="00000000" w:rsidRDefault="00000000" w:rsidRPr="00000000" w14:paraId="00000003">
      <w:pPr>
        <w:spacing w:before="240" w:lineRule="auto"/>
        <w:rPr>
          <w:b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Response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5f5" w:val="clear"/>
        <w:spacing w:after="160" w:before="240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{"token":"eyJhbGciOiJIUzI1NiJ9.eyJzdWIiOiJ1c2VyIiwiaWF0IjoxNTcwMzc5NDc0LCJleHAiOjE1NzAzODA2NzR9.t3LRvlCV-hwKfoqZYlaVQqEUiBloWcWn0ft3tgv0dL0"}</w:t>
      </w:r>
    </w:p>
    <w:p w:rsidR="00000000" w:rsidDel="00000000" w:rsidP="00000000" w:rsidRDefault="00000000" w:rsidRPr="00000000" w14:paraId="00000005">
      <w:pPr>
        <w:spacing w:before="240" w:lineRule="auto"/>
        <w:rPr>
          <w:color w:val="333333"/>
          <w:sz w:val="27"/>
          <w:szCs w:val="27"/>
          <w:highlight w:val="white"/>
        </w:rPr>
      </w:pPr>
      <w:r w:rsidDel="00000000" w:rsidR="00000000" w:rsidRPr="00000000">
        <w:rPr>
          <w:color w:val="333333"/>
          <w:sz w:val="20"/>
          <w:szCs w:val="20"/>
          <w:rtl w:val="0"/>
        </w:rPr>
        <w:br w:type="textWrapping"/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This can be incorporated as three major steps: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Create authentication controller and configure it in SecurityConfig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Read Authorization header and decode the username and password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color w:val="333333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Generate token based on the user retrieved in the previous step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7"/>
          <w:szCs w:val="27"/>
          <w:highlight w:val="white"/>
          <w:rtl w:val="0"/>
        </w:rPr>
        <w:t xml:space="preserve">Let incorporate the above as separate hands on exercises.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497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7117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97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1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11.png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