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Hello World RESTful Web Service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Write a REST service in the spring learn application created earlier, that returns the text "Hello World!!" using Spring Web Framework. Refer details below:</w:t>
        <w:br w:type="textWrapping"/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Method: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GET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URL: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/hello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Controller: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com.cognizant.spring-learn.controller.HelloController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Method Signature: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public String sayHello()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Method Implementation: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return hard coded string "Hello World!!"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Sample Request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http://localhost:8083/hello</w:t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Sample Response: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 Hello World!!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c0392b"/>
          <w:sz w:val="27"/>
          <w:szCs w:val="27"/>
          <w:highlight w:val="white"/>
          <w:rtl w:val="0"/>
        </w:rPr>
        <w:t xml:space="preserve">IMPORTANT NOTE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: Don't forget to include start and end log in the sayHello() method.</w:t>
        <w:br w:type="textWrapping"/>
        <w:br w:type="textWrapping"/>
        <w:t xml:space="preserve"> Try the URL http://localhost:8083/hello in both chrome browser and postman.</w:t>
        <w:br w:type="textWrapping"/>
        <w:br w:type="textWrapping"/>
        <w:t xml:space="preserve"> SME to explain the following aspects: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In network tab of developer tools show the HTTP header details received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In postman click on "Headers" tab to view the HTTP header details received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14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84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3967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5542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9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