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z w:val="64"/>
          <w:szCs w:val="64"/>
        </w:rPr>
      </w:pPr>
      <w:bookmarkStart w:colFirst="0" w:colLast="0" w:name="_heading=h.17f0dgufbwi3" w:id="0"/>
      <w:bookmarkEnd w:id="0"/>
      <w:r w:rsidDel="00000000" w:rsidR="00000000" w:rsidRPr="00000000">
        <w:rPr>
          <w:b w:val="1"/>
          <w:bCs w:val="1"/>
          <w:color w:val="21472e"/>
          <w:sz w:val="64"/>
          <w:szCs w:val="64"/>
          <w:rtl w:val="0"/>
        </w:rPr>
        <w:t xml:space="preserve">Measuring what matters: tracking climate adaptation processes and outcomes for smallholder producers in the agriculture sector</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-933442</wp:posOffset>
            </wp:positionH>
            <wp:positionV relativeFrom="paragraph">
              <wp:posOffset>523875</wp:posOffset>
            </wp:positionV>
            <wp:extent cx="7810500" cy="5860253"/>
            <wp:effectExtent b="0" l="0" r="0" t="0"/>
            <wp:wrapNone/>
            <wp:docPr id="2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810500" cy="5860253"/>
                    </a:xfrm>
                    <a:prstGeom prst="rect"/>
                    <a:ln/>
                  </pic:spPr>
                </pic:pic>
              </a:graphicData>
            </a:graphic>
          </wp:anchor>
        </w:drawing>
      </w:r>
    </w:p>
    <w:p w:rsidR="00000000" w:rsidDel="00000000" w:rsidP="00000000" w:rsidRDefault="00000000" w:rsidRPr="00000000" w14:paraId="00000002">
      <w:pPr>
        <w:rPr>
          <w:b w:val="1"/>
          <w:bCs w:val="1"/>
          <w:color w:val="4d311a"/>
          <w:sz w:val="44"/>
          <w:szCs w:val="44"/>
        </w:rPr>
      </w:pPr>
      <w:r w:rsidDel="00000000" w:rsidR="00000000" w:rsidRPr="00000000">
        <w:rPr>
          <w:rtl w:val="0"/>
        </w:rPr>
      </w:r>
    </w:p>
    <w:p w:rsidR="00000000" w:rsidDel="00000000" w:rsidP="00000000" w:rsidRDefault="00000000" w:rsidRPr="00000000" w14:paraId="00000003">
      <w:pPr>
        <w:jc w:val="center"/>
        <w:rPr>
          <w:b w:val="1"/>
          <w:bCs w:val="1"/>
          <w:color w:val="4d311a"/>
          <w:sz w:val="44"/>
          <w:szCs w:val="44"/>
        </w:rPr>
      </w:pPr>
      <w:r w:rsidDel="00000000" w:rsidR="00000000" w:rsidRPr="00000000">
        <w:rPr>
          <w:b w:val="1"/>
          <w:bCs w:val="1"/>
          <w:color w:val="4d311a"/>
          <w:sz w:val="52"/>
          <w:szCs w:val="52"/>
          <w:rtl w:val="0"/>
        </w:rPr>
        <w:t xml:space="preserve">Deliverable 5: Systematic Map </w:t>
      </w:r>
      <w:r w:rsidDel="00000000" w:rsidR="00000000" w:rsidRPr="00000000">
        <w:rPr>
          <w:rtl w:val="0"/>
        </w:rPr>
      </w:r>
    </w:p>
    <w:p w:rsidR="00000000" w:rsidDel="00000000" w:rsidP="00000000" w:rsidRDefault="00000000" w:rsidRPr="00000000" w14:paraId="00000004">
      <w:pPr>
        <w:jc w:val="center"/>
        <w:rPr>
          <w:color w:val="3c3c3c"/>
          <w:sz w:val="40"/>
          <w:szCs w:val="40"/>
        </w:rPr>
      </w:pPr>
      <w:r w:rsidDel="00000000" w:rsidR="00000000" w:rsidRPr="00000000">
        <w:rPr>
          <w:rtl w:val="0"/>
        </w:rPr>
      </w:r>
    </w:p>
    <w:p w:rsidR="00000000" w:rsidDel="00000000" w:rsidP="00000000" w:rsidRDefault="00000000" w:rsidRPr="00000000" w14:paraId="00000005">
      <w:pPr>
        <w:spacing w:after="0" w:before="0" w:line="276" w:lineRule="auto"/>
        <w:jc w:val="center"/>
        <w:rPr>
          <w:b w:val="1"/>
          <w:bCs w:val="1"/>
          <w:color w:val="3c3c3c"/>
          <w:sz w:val="32"/>
          <w:szCs w:val="32"/>
        </w:rPr>
      </w:pPr>
      <w:r w:rsidDel="00000000" w:rsidR="00000000" w:rsidRPr="00000000">
        <w:rPr>
          <w:b w:val="1"/>
          <w:bCs w:val="1"/>
          <w:color w:val="3c3c3c"/>
          <w:sz w:val="32"/>
          <w:szCs w:val="32"/>
          <w:rtl w:val="0"/>
        </w:rPr>
        <w:t xml:space="preserve">June 2026, v01</w:t>
      </w:r>
    </w:p>
    <w:p w:rsidR="00000000" w:rsidDel="00000000" w:rsidP="00000000" w:rsidRDefault="00000000" w:rsidRPr="00000000" w14:paraId="00000006">
      <w:pPr>
        <w:spacing w:after="0" w:before="200" w:lineRule="auto"/>
        <w:ind w:left="1710" w:firstLine="450"/>
        <w:rPr>
          <w:i w:val="1"/>
          <w:iCs w:val="1"/>
          <w:color w:val="4d311a"/>
          <w:sz w:val="32"/>
          <w:szCs w:val="32"/>
        </w:rPr>
      </w:pPr>
      <w:r w:rsidDel="00000000" w:rsidR="00000000" w:rsidRPr="00000000">
        <w:rPr>
          <w:rtl w:val="0"/>
        </w:rPr>
      </w:r>
    </w:p>
    <w:p w:rsidR="00000000" w:rsidDel="00000000" w:rsidP="00000000" w:rsidRDefault="00000000" w:rsidRPr="00000000" w14:paraId="00000007">
      <w:pPr>
        <w:spacing w:after="0" w:before="200" w:lineRule="auto"/>
        <w:ind w:left="1710" w:firstLine="450"/>
        <w:rPr>
          <w:i w:val="1"/>
          <w:iCs w:val="1"/>
          <w:color w:val="4d311a"/>
          <w:sz w:val="32"/>
          <w:szCs w:val="32"/>
        </w:rPr>
      </w:pPr>
      <w:r w:rsidDel="00000000" w:rsidR="00000000" w:rsidRPr="00000000">
        <w:rPr>
          <w:rtl w:val="0"/>
        </w:rPr>
      </w:r>
    </w:p>
    <w:p w:rsidR="00000000" w:rsidDel="00000000" w:rsidP="00000000" w:rsidRDefault="00000000" w:rsidRPr="00000000" w14:paraId="00000008">
      <w:pPr>
        <w:spacing w:after="0" w:before="200" w:lineRule="auto"/>
        <w:ind w:left="1710" w:firstLine="450"/>
        <w:rPr>
          <w:color w:val="3c3c3c"/>
          <w:sz w:val="14"/>
          <w:szCs w:val="14"/>
        </w:rPr>
      </w:pPr>
      <w:r w:rsidDel="00000000" w:rsidR="00000000" w:rsidRPr="00000000">
        <w:rPr>
          <w:color w:val="3c3c3c"/>
          <w:sz w:val="24"/>
          <w:szCs w:val="24"/>
          <w:rtl w:val="0"/>
        </w:rPr>
        <w:tab/>
        <w:t xml:space="preserve">           </w:t>
      </w:r>
      <w:r w:rsidDel="00000000" w:rsidR="00000000" w:rsidRPr="00000000">
        <w:rPr>
          <w:rtl w:val="0"/>
        </w:rPr>
      </w:r>
    </w:p>
    <w:p w:rsidR="00000000" w:rsidDel="00000000" w:rsidP="00000000" w:rsidRDefault="00000000" w:rsidRPr="00000000" w14:paraId="00000009">
      <w:pPr>
        <w:ind w:left="1710" w:firstLine="450"/>
        <w:rPr>
          <w:color w:val="4d311a"/>
          <w:sz w:val="40"/>
          <w:szCs w:val="40"/>
        </w:rPr>
      </w:pPr>
      <w:r w:rsidDel="00000000" w:rsidR="00000000" w:rsidRPr="00000000">
        <w:rPr>
          <w:color w:val="3c3c3c"/>
          <w:sz w:val="24"/>
          <w:szCs w:val="24"/>
          <w:rtl w:val="0"/>
        </w:rPr>
        <w:tab/>
        <w:t xml:space="preserve">          </w:t>
      </w:r>
      <w:r w:rsidDel="00000000" w:rsidR="00000000" w:rsidRPr="00000000">
        <w:rPr>
          <w:rtl w:val="0"/>
        </w:rPr>
      </w:r>
    </w:p>
    <w:p w:rsidR="00000000" w:rsidDel="00000000" w:rsidP="00000000" w:rsidRDefault="00000000" w:rsidRPr="00000000" w14:paraId="0000000A">
      <w:pPr>
        <w:spacing w:after="0" w:before="0" w:line="276" w:lineRule="auto"/>
        <w:rPr>
          <w:color w:val="4d311a"/>
          <w:sz w:val="40"/>
          <w:szCs w:val="40"/>
        </w:rPr>
      </w:pPr>
      <w:r w:rsidDel="00000000" w:rsidR="00000000" w:rsidRPr="00000000">
        <w:rPr>
          <w:rtl w:val="0"/>
        </w:rPr>
      </w:r>
    </w:p>
    <w:p w:rsidR="00000000" w:rsidDel="00000000" w:rsidP="00000000" w:rsidRDefault="00000000" w:rsidRPr="00000000" w14:paraId="0000000B">
      <w:pPr>
        <w:spacing w:after="0" w:before="0" w:line="276" w:lineRule="auto"/>
        <w:rPr>
          <w:color w:val="4d311a"/>
        </w:rPr>
      </w:pPr>
      <w:r w:rsidDel="00000000" w:rsidR="00000000" w:rsidRPr="00000000">
        <w:rPr>
          <w:color w:val="4d311a"/>
          <w:rtl w:val="0"/>
        </w:rPr>
        <w:t xml:space="preserve">Jennifer Denno Cissé*, </w:t>
      </w:r>
      <w:hyperlink r:id="rId10">
        <w:r w:rsidDel="00000000" w:rsidR="00000000" w:rsidRPr="00000000">
          <w:rPr>
            <w:color w:val="4d311a"/>
            <w:u w:val="single"/>
            <w:rtl w:val="0"/>
          </w:rPr>
          <w:t xml:space="preserve">jenn@bristlep.com</w:t>
        </w:r>
      </w:hyperlink>
      <w:r w:rsidDel="00000000" w:rsidR="00000000" w:rsidRPr="00000000">
        <w:rPr>
          <w:color w:val="4d311a"/>
          <w:rtl w:val="0"/>
        </w:rPr>
        <w:t xml:space="preserve">, USA, Bristlepine Resilience Consultants</w:t>
      </w:r>
    </w:p>
    <w:p w:rsidR="00000000" w:rsidDel="00000000" w:rsidP="00000000" w:rsidRDefault="00000000" w:rsidRPr="00000000" w14:paraId="0000000C">
      <w:pPr>
        <w:spacing w:after="0" w:before="0" w:line="276" w:lineRule="auto"/>
        <w:rPr>
          <w:color w:val="4d311a"/>
        </w:rPr>
      </w:pPr>
      <w:r w:rsidDel="00000000" w:rsidR="00000000" w:rsidRPr="00000000">
        <w:rPr>
          <w:color w:val="4d311a"/>
          <w:rtl w:val="0"/>
        </w:rPr>
        <w:t xml:space="preserve">Zarrar Khan, </w:t>
      </w:r>
      <w:hyperlink r:id="rId11">
        <w:r w:rsidDel="00000000" w:rsidR="00000000" w:rsidRPr="00000000">
          <w:rPr>
            <w:color w:val="4d311a"/>
            <w:u w:val="single"/>
            <w:rtl w:val="0"/>
          </w:rPr>
          <w:t xml:space="preserve">zarrar@bristlep.com</w:t>
        </w:r>
      </w:hyperlink>
      <w:r w:rsidDel="00000000" w:rsidR="00000000" w:rsidRPr="00000000">
        <w:rPr>
          <w:color w:val="4d311a"/>
          <w:rtl w:val="0"/>
        </w:rPr>
        <w:t xml:space="preserve">, USA, Bristlepine Resilience Consultants</w:t>
      </w:r>
    </w:p>
    <w:p w:rsidR="00000000" w:rsidDel="00000000" w:rsidP="00000000" w:rsidRDefault="00000000" w:rsidRPr="00000000" w14:paraId="0000000D">
      <w:pPr>
        <w:spacing w:after="0" w:before="0" w:line="276" w:lineRule="auto"/>
        <w:rPr>
          <w:color w:val="4d311a"/>
        </w:rPr>
      </w:pPr>
      <w:r w:rsidDel="00000000" w:rsidR="00000000" w:rsidRPr="00000000">
        <w:rPr>
          <w:color w:val="4d311a"/>
          <w:rtl w:val="0"/>
        </w:rPr>
        <w:t xml:space="preserve">Caroline G. Staub, </w:t>
      </w:r>
      <w:hyperlink r:id="rId12">
        <w:r w:rsidDel="00000000" w:rsidR="00000000" w:rsidRPr="00000000">
          <w:rPr>
            <w:color w:val="4d311a"/>
            <w:u w:val="single"/>
            <w:rtl w:val="0"/>
          </w:rPr>
          <w:t xml:space="preserve">caroline@bristlep.com</w:t>
        </w:r>
      </w:hyperlink>
      <w:r w:rsidDel="00000000" w:rsidR="00000000" w:rsidRPr="00000000">
        <w:rPr>
          <w:color w:val="4d311a"/>
          <w:rtl w:val="0"/>
        </w:rPr>
        <w:t xml:space="preserve">, USA, Bristlepine Resilience Consultants</w:t>
      </w:r>
    </w:p>
    <w:p w:rsidR="00000000" w:rsidDel="00000000" w:rsidP="00000000" w:rsidRDefault="00000000" w:rsidRPr="00000000" w14:paraId="0000000E">
      <w:pPr>
        <w:spacing w:after="0" w:before="0" w:line="276" w:lineRule="auto"/>
        <w:rPr>
          <w:color w:val="4d311a"/>
        </w:rPr>
      </w:pPr>
      <w:r w:rsidDel="00000000" w:rsidR="00000000" w:rsidRPr="00000000">
        <w:rPr>
          <w:rtl w:val="0"/>
        </w:rPr>
      </w:r>
    </w:p>
    <w:p w:rsidR="00000000" w:rsidDel="00000000" w:rsidP="00000000" w:rsidRDefault="00000000" w:rsidRPr="00000000" w14:paraId="0000000F">
      <w:pPr>
        <w:spacing w:after="0" w:before="0" w:line="276" w:lineRule="auto"/>
        <w:rPr>
          <w:sz w:val="20"/>
          <w:szCs w:val="20"/>
        </w:rPr>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40" w:top="1440" w:left="1440" w:right="1440" w:header="720" w:footer="720"/>
          <w:pgNumType w:start="0"/>
          <w:titlePg w:val="1"/>
        </w:sectPr>
      </w:pPr>
      <w:r w:rsidDel="00000000" w:rsidR="00000000" w:rsidRPr="00000000">
        <w:rPr>
          <w:sz w:val="20"/>
          <w:szCs w:val="20"/>
          <w:rtl w:val="0"/>
        </w:rPr>
        <w:t xml:space="preserve">Keywords: Climate Adaptation, Adaptation Outcomes, Adaptation Process, Smallholder Farmers, Monitoring and Evaluation (M&amp;E), Agriculture</w:t>
      </w:r>
    </w:p>
    <w:p w:rsidR="00000000" w:rsidDel="00000000" w:rsidP="00000000" w:rsidRDefault="00000000" w:rsidRPr="00000000" w14:paraId="00000010">
      <w:pPr>
        <w:pStyle w:val="Heading1"/>
        <w:rPr/>
      </w:pPr>
      <w:bookmarkStart w:colFirst="0" w:colLast="0" w:name="_heading=h.b00br9k44hok" w:id="1"/>
      <w:bookmarkEnd w:id="1"/>
      <w:r w:rsidDel="00000000" w:rsidR="00000000" w:rsidRPr="00000000">
        <w:rPr>
          <w:rtl w:val="0"/>
        </w:rPr>
        <w:t xml:space="preserve">1.  Key findings</w:t>
      </w:r>
    </w:p>
    <w:p w:rsidR="00000000" w:rsidDel="00000000" w:rsidP="00000000" w:rsidRDefault="00000000" w:rsidRPr="00000000" w14:paraId="00000011">
      <w:pPr>
        <w:rPr/>
      </w:pPr>
      <w:r w:rsidDel="00000000" w:rsidR="00000000" w:rsidRPr="00000000">
        <w:rPr>
          <w:rtl w:val="0"/>
        </w:rPr>
        <w:t xml:space="preserve">This document presents a systematic map of methods used to track and measure climate adaptation processes and outcomes for smallholder producers in LMICs. This report is based on 86 studies coded across five batches (those included after full-text screening of a randomly selected 100 papers), but additional researcher-led coding is ongoing. Seven findings stand out:</w:t>
      </w:r>
    </w:p>
    <w:p w:rsidR="00000000" w:rsidDel="00000000" w:rsidP="00000000" w:rsidRDefault="00000000" w:rsidRPr="00000000" w14:paraId="00000012">
      <w:pPr>
        <w:numPr>
          <w:ilvl w:val="0"/>
          <w:numId w:val="4"/>
        </w:numPr>
        <w:spacing w:after="0" w:lineRule="auto"/>
        <w:ind w:left="720" w:hanging="360"/>
        <w:rPr/>
      </w:pPr>
      <w:r w:rsidDel="00000000" w:rsidR="00000000" w:rsidRPr="00000000">
        <w:rPr>
          <w:b w:val="1"/>
          <w:bCs w:val="1"/>
          <w:rtl w:val="0"/>
        </w:rPr>
        <w:t xml:space="preserve">Rigorous experimental approaches (like randomized control trials) and modeling with empirical validation are exceptionally rare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Only 6% of coded studies use experimental designs</w:t>
      </w:r>
      <w:r w:rsidDel="00000000" w:rsidR="00000000" w:rsidRPr="00000000">
        <w:rPr>
          <w:b w:val="1"/>
          <w:bCs w:val="1"/>
          <w:rtl w:val="0"/>
        </w:rPr>
        <w:t xml:space="preserve">. </w:t>
      </w:r>
      <w:r w:rsidDel="00000000" w:rsidR="00000000" w:rsidRPr="00000000">
        <w:rPr>
          <w:rtl w:val="0"/>
        </w:rPr>
        <w:t xml:space="preserve">Quantitative and qualitative methods dominate. The evidence base can describe what was implemented but cannot prove whether it improved outcomes.</w:t>
      </w:r>
    </w:p>
    <w:p w:rsidR="00000000" w:rsidDel="00000000" w:rsidP="00000000" w:rsidRDefault="00000000" w:rsidRPr="00000000" w14:paraId="00000013">
      <w:pPr>
        <w:numPr>
          <w:ilvl w:val="0"/>
          <w:numId w:val="4"/>
        </w:numPr>
        <w:spacing w:after="0" w:before="0" w:lineRule="auto"/>
        <w:ind w:left="720" w:hanging="360"/>
        <w:rPr/>
      </w:pPr>
      <w:r w:rsidDel="00000000" w:rsidR="00000000" w:rsidRPr="00000000">
        <w:rPr>
          <w:b w:val="1"/>
          <w:bCs w:val="1"/>
          <w:rtl w:val="0"/>
        </w:rPr>
        <w:t xml:space="preserve">Few studies measured wellbeing outcomes:</w:t>
      </w:r>
      <w:r w:rsidDel="00000000" w:rsidR="00000000" w:rsidRPr="00000000">
        <w:rPr>
          <w:rtl w:val="0"/>
        </w:rPr>
        <w:t xml:space="preserve"> Measure of health and nutrition, as well as subjective wellbeing, is the least studied outcome in the evidence base.</w:t>
      </w:r>
    </w:p>
    <w:p w:rsidR="00000000" w:rsidDel="00000000" w:rsidP="00000000" w:rsidRDefault="00000000" w:rsidRPr="00000000" w14:paraId="00000014">
      <w:pPr>
        <w:numPr>
          <w:ilvl w:val="0"/>
          <w:numId w:val="4"/>
        </w:numPr>
        <w:spacing w:after="0" w:before="0" w:lineRule="auto"/>
        <w:ind w:left="720" w:hanging="360"/>
        <w:rPr/>
      </w:pPr>
      <w:r w:rsidDel="00000000" w:rsidR="00000000" w:rsidRPr="00000000">
        <w:rPr>
          <w:b w:val="1"/>
          <w:bCs w:val="1"/>
          <w:rtl w:val="0"/>
        </w:rPr>
        <w:t xml:space="preserve">Producer bias: Adaptation research overwhelmingly targets crop farmers.  </w:t>
      </w:r>
      <w:r w:rsidDel="00000000" w:rsidR="00000000" w:rsidRPr="00000000">
        <w:rPr>
          <w:rtl w:val="0"/>
        </w:rPr>
        <w:t xml:space="preserve">Fisheries/aquaculture and agroforestry account for just 7% of producer-type tags combined. These producer systems, critical across tropical LMICs, are nearly invisible in the evidence base.</w:t>
      </w:r>
    </w:p>
    <w:p w:rsidR="00000000" w:rsidDel="00000000" w:rsidP="00000000" w:rsidRDefault="00000000" w:rsidRPr="00000000" w14:paraId="00000015">
      <w:pPr>
        <w:numPr>
          <w:ilvl w:val="0"/>
          <w:numId w:val="4"/>
        </w:numPr>
        <w:spacing w:after="0" w:before="0" w:lineRule="auto"/>
        <w:ind w:left="720" w:hanging="360"/>
        <w:rPr/>
      </w:pPr>
      <w:r w:rsidDel="00000000" w:rsidR="00000000" w:rsidRPr="00000000">
        <w:rPr>
          <w:b w:val="1"/>
          <w:bCs w:val="1"/>
          <w:rtl w:val="0"/>
        </w:rPr>
        <w:t xml:space="preserve">Institutional governance appears in only </w:t>
      </w:r>
      <w:sdt>
        <w:sdtPr>
          <w:id w:val="2044826008"/>
          <w:tag w:val="goog_rdk_0"/>
        </w:sdtPr>
        <w:sdtContent>
          <w:commentRangeStart w:id="0"/>
        </w:sdtContent>
      </w:sdt>
      <w:r w:rsidDel="00000000" w:rsidR="00000000" w:rsidRPr="00000000">
        <w:rPr>
          <w:b w:val="1"/>
          <w:bCs w:val="1"/>
          <w:rtl w:val="0"/>
        </w:rPr>
        <w:t xml:space="preserve">10 study-domain instances across all producer types:</w:t>
      </w:r>
      <w:r w:rsidDel="00000000" w:rsidR="00000000" w:rsidRPr="00000000">
        <w:rPr>
          <w:rtl w:val="0"/>
        </w:rPr>
        <w:t xml:space="preserve"> The systemic conditions that determine whether adaptation reaches people are almost entirely unmeasured. Access to services appears in only 17 instances.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numPr>
          <w:ilvl w:val="0"/>
          <w:numId w:val="4"/>
        </w:numPr>
        <w:spacing w:after="0" w:before="0" w:lineRule="auto"/>
        <w:ind w:left="720" w:hanging="360"/>
        <w:rPr/>
      </w:pPr>
      <w:r w:rsidDel="00000000" w:rsidR="00000000" w:rsidRPr="00000000">
        <w:rPr>
          <w:b w:val="1"/>
          <w:bCs w:val="1"/>
          <w:rtl w:val="0"/>
        </w:rPr>
        <w:t xml:space="preserve">Highly vulnerable groups remain largely underrepresented in the literature: </w:t>
      </w:r>
      <w:r w:rsidDel="00000000" w:rsidR="00000000" w:rsidRPr="00000000">
        <w:rPr>
          <w:rtl w:val="0"/>
        </w:rPr>
        <w:t xml:space="preserve">40% of coded studies</w:t>
      </w:r>
      <w:r w:rsidDel="00000000" w:rsidR="00000000" w:rsidRPr="00000000">
        <w:rPr>
          <w:b w:val="1"/>
          <w:bCs w:val="1"/>
          <w:rtl w:val="0"/>
        </w:rPr>
        <w:t xml:space="preserve"> do not specifically target marginalized groups.</w:t>
      </w:r>
      <w:r w:rsidDel="00000000" w:rsidR="00000000" w:rsidRPr="00000000">
        <w:rPr>
          <w:rtl w:val="0"/>
        </w:rPr>
        <w:t xml:space="preserve"> Where they do, it is mostly women, indigenous peoples and youth. Disability, ethnic minorities, and the elderly appear in 4 or fewer studies each.</w:t>
      </w:r>
    </w:p>
    <w:p w:rsidR="00000000" w:rsidDel="00000000" w:rsidP="00000000" w:rsidRDefault="00000000" w:rsidRPr="00000000" w14:paraId="00000017">
      <w:pPr>
        <w:numPr>
          <w:ilvl w:val="0"/>
          <w:numId w:val="4"/>
        </w:numPr>
        <w:spacing w:after="0" w:before="0" w:lineRule="auto"/>
        <w:ind w:left="720" w:hanging="360"/>
        <w:rPr/>
      </w:pPr>
      <w:r w:rsidDel="00000000" w:rsidR="00000000" w:rsidRPr="00000000">
        <w:rPr>
          <w:b w:val="1"/>
          <w:bCs w:val="1"/>
          <w:rtl w:val="0"/>
        </w:rPr>
        <w:t xml:space="preserve">Process over outcomes: </w:t>
      </w:r>
      <w:r w:rsidDel="00000000" w:rsidR="00000000" w:rsidRPr="00000000">
        <w:rPr>
          <w:rtl w:val="0"/>
        </w:rPr>
        <w:t xml:space="preserve">Knowledge, adoption, and decision-making account for the majority of the evidence base. Income, wellbeing, resilience, and other impact outcomes are substantially underrepresented by comparison.</w:t>
      </w:r>
    </w:p>
    <w:p w:rsidR="00000000" w:rsidDel="00000000" w:rsidP="00000000" w:rsidRDefault="00000000" w:rsidRPr="00000000" w14:paraId="00000018">
      <w:pPr>
        <w:numPr>
          <w:ilvl w:val="0"/>
          <w:numId w:val="4"/>
        </w:numPr>
        <w:spacing w:before="0" w:lineRule="auto"/>
        <w:ind w:left="720" w:hanging="360"/>
        <w:rPr/>
      </w:pPr>
      <w:r w:rsidDel="00000000" w:rsidR="00000000" w:rsidRPr="00000000">
        <w:rPr>
          <w:b w:val="1"/>
          <w:bCs w:val="1"/>
          <w:rtl w:val="0"/>
        </w:rPr>
        <w:t xml:space="preserve">Studies are heavily concentrated in Sub-Saharan Africa and South Asia</w:t>
      </w:r>
      <w:r w:rsidDel="00000000" w:rsidR="00000000" w:rsidRPr="00000000">
        <w:rPr>
          <w:rtl w:val="0"/>
        </w:rPr>
        <w:t xml:space="preserve">. Ethiopia, Ghana, and Kenya alone account for 28% of all human-coded studies. Large evidence gaps persist across Central America, Southeast Asia, the Sahel, and MENA.</w:t>
      </w:r>
    </w:p>
    <w:p w:rsidR="00000000" w:rsidDel="00000000" w:rsidP="00000000" w:rsidRDefault="00000000" w:rsidRPr="00000000" w14:paraId="00000019">
      <w:pPr>
        <w:pStyle w:val="Heading1"/>
        <w:rPr/>
      </w:pPr>
      <w:bookmarkStart w:colFirst="0" w:colLast="0" w:name="_heading=h.o0bordpe0qjq" w:id="2"/>
      <w:bookmarkEnd w:id="2"/>
      <w:r w:rsidDel="00000000" w:rsidR="00000000" w:rsidRPr="00000000">
        <w:rPr>
          <w:rtl w:val="0"/>
        </w:rPr>
        <w:t xml:space="preserve">2.  Background</w:t>
      </w:r>
    </w:p>
    <w:p w:rsidR="00000000" w:rsidDel="00000000" w:rsidP="00000000" w:rsidRDefault="00000000" w:rsidRPr="00000000" w14:paraId="0000001A">
      <w:pPr>
        <w:rPr/>
      </w:pPr>
      <w:r w:rsidDel="00000000" w:rsidR="00000000" w:rsidRPr="00000000">
        <w:rPr>
          <w:rtl w:val="0"/>
        </w:rPr>
        <w:t xml:space="preserve">A growing number of climate adaptation interventions and autonomous adaptation are being deployed across the agriculture sector to support smallholder producers in LMICs. Despite growing investment, a central challenge persists: how to measure the effectiveness of these interventions. Monitoring and evaluation (M&amp;E) in this space is particularly complex, due to long timeframes, evolving climate baselines, terminological differences, and attribution challenges. This systematic map responds to these challenges by systematically identifying, and characterising the methods used to assess climate adaptation interventions in the agriculture sector, with a focus on smallholder producers in LMICs.</w:t>
      </w:r>
    </w:p>
    <w:p w:rsidR="00000000" w:rsidDel="00000000" w:rsidP="00000000" w:rsidRDefault="00000000" w:rsidRPr="00000000" w14:paraId="0000001B">
      <w:pPr>
        <w:pStyle w:val="Heading1"/>
        <w:rPr/>
      </w:pPr>
      <w:bookmarkStart w:colFirst="0" w:colLast="0" w:name="_heading=h.5778xgh6c5ij" w:id="3"/>
      <w:bookmarkEnd w:id="3"/>
      <w:r w:rsidDel="00000000" w:rsidR="00000000" w:rsidRPr="00000000">
        <w:rPr>
          <w:rtl w:val="0"/>
        </w:rPr>
        <w:t xml:space="preserve">3.  Methods</w:t>
      </w:r>
    </w:p>
    <w:p w:rsidR="00000000" w:rsidDel="00000000" w:rsidP="00000000" w:rsidRDefault="00000000" w:rsidRPr="00000000" w14:paraId="0000001C">
      <w:pPr>
        <w:rPr/>
      </w:pPr>
      <w:sdt>
        <w:sdtPr>
          <w:id w:val="-2083419366"/>
          <w:tag w:val="goog_rdk_1"/>
        </w:sdtPr>
        <w:sdtContent>
          <w:commentRangeStart w:id="1"/>
        </w:sdtContent>
      </w:sdt>
      <w:r w:rsidDel="00000000" w:rsidR="00000000" w:rsidRPr="00000000">
        <w:rPr>
          <w:rtl w:val="0"/>
        </w:rPr>
        <w:t xml:space="preserve">A brief summary of methods is provided here. More detail can be found in the systematic map protocol.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pStyle w:val="Heading2"/>
        <w:rPr/>
      </w:pPr>
      <w:bookmarkStart w:colFirst="0" w:colLast="0" w:name="_heading=h.1e5uh27eb315" w:id="4"/>
      <w:bookmarkEnd w:id="4"/>
      <w:r w:rsidDel="00000000" w:rsidR="00000000" w:rsidRPr="00000000">
        <w:rPr>
          <w:rtl w:val="0"/>
        </w:rPr>
        <w:t xml:space="preserve">3.1  Search Strategy</w:t>
      </w:r>
    </w:p>
    <w:p w:rsidR="00000000" w:rsidDel="00000000" w:rsidP="00000000" w:rsidRDefault="00000000" w:rsidRPr="00000000" w14:paraId="0000001E">
      <w:pPr>
        <w:rPr/>
      </w:pPr>
      <w:r w:rsidDel="00000000" w:rsidR="00000000" w:rsidRPr="00000000">
        <w:rPr>
          <w:rtl w:val="0"/>
        </w:rPr>
        <w:t xml:space="preserve">Searches were conducted in Scopus (Elsevier) in January 2026, using a structured Boolean search string developed around the PCCM framework (Population: smallholder producers; Concept: adaptation processes and outcomes; Context: climate hazards, LMICs, agriculture sector; Methodological Focus: measurement, indicators, monitoring and evaluation approaches). Searches were restricted to literature published from 2005 onward and to English, French, and Spanish language sources. A total of 17,021 records were retrieved.</w:t>
      </w:r>
    </w:p>
    <w:p w:rsidR="00000000" w:rsidDel="00000000" w:rsidP="00000000" w:rsidRDefault="00000000" w:rsidRPr="00000000" w14:paraId="0000001F">
      <w:pPr>
        <w:rPr/>
      </w:pPr>
      <w:r w:rsidDel="00000000" w:rsidR="00000000" w:rsidRPr="00000000">
        <w:rPr>
          <w:rtl w:val="0"/>
        </w:rPr>
        <w:t xml:space="preserve">Additional databases searched in parallel include Web of Science Core Collection, CAB Abstracts, Academic Search Premier, EconLit, ProQuest, Google Scholar, and AGRIS. Grey literature sources (approximately 20 repositories) were also searched. Across all sources, 40,653 records were retrieved prior to deduplication. Abstract screening, full-text retrieval, and data extraction for these databases are now complete on a randomly selected subset of studies included for full-text screening.</w:t>
      </w:r>
    </w:p>
    <w:p w:rsidR="00000000" w:rsidDel="00000000" w:rsidP="00000000" w:rsidRDefault="00000000" w:rsidRPr="00000000" w14:paraId="00000020">
      <w:pPr>
        <w:pStyle w:val="Heading2"/>
        <w:rPr/>
      </w:pPr>
      <w:bookmarkStart w:colFirst="0" w:colLast="0" w:name="_heading=h.cnioewgxvkvb" w:id="5"/>
      <w:bookmarkEnd w:id="5"/>
      <w:r w:rsidDel="00000000" w:rsidR="00000000" w:rsidRPr="00000000">
        <w:rPr>
          <w:rtl w:val="0"/>
        </w:rPr>
        <w:t xml:space="preserve">3.2  Deduplication</w:t>
      </w:r>
    </w:p>
    <w:p w:rsidR="00000000" w:rsidDel="00000000" w:rsidP="00000000" w:rsidRDefault="00000000" w:rsidRPr="00000000" w14:paraId="00000021">
      <w:pPr>
        <w:rPr/>
      </w:pPr>
      <w:sdt>
        <w:sdtPr>
          <w:id w:val="484962414"/>
          <w:tag w:val="goog_rdk_2"/>
        </w:sdtPr>
        <w:sdtContent>
          <w:r w:rsidDel="00000000" w:rsidR="00000000" w:rsidRPr="00000000">
            <w:rPr>
              <w:rFonts w:ascii="Nova Mono" w:cs="Nova Mono" w:eastAsia="Nova Mono" w:hAnsi="Nova Mono"/>
              <w:rtl w:val="0"/>
            </w:rPr>
            <w:t xml:space="preserve">Records from all databases were deduplicated using a multi-stage matching algorithm: exact DOI match, then exact title and year match, then fuzzy title similarity (Jaccard ≥ 0.85). Scopus records were used as the primary reference set; net-new records from other databases were identified against this base.</w:t>
          </w:r>
        </w:sdtContent>
      </w:sdt>
    </w:p>
    <w:p w:rsidR="00000000" w:rsidDel="00000000" w:rsidP="00000000" w:rsidRDefault="00000000" w:rsidRPr="00000000" w14:paraId="00000022">
      <w:pPr>
        <w:pStyle w:val="Heading2"/>
        <w:rPr/>
      </w:pPr>
      <w:bookmarkStart w:colFirst="0" w:colLast="0" w:name="_heading=h.3iprkm8gg69u" w:id="6"/>
      <w:bookmarkEnd w:id="6"/>
      <w:r w:rsidDel="00000000" w:rsidR="00000000" w:rsidRPr="00000000">
        <w:rPr>
          <w:rtl w:val="0"/>
        </w:rPr>
        <w:t xml:space="preserve">3.3  Screening</w:t>
      </w:r>
    </w:p>
    <w:p w:rsidR="00000000" w:rsidDel="00000000" w:rsidP="00000000" w:rsidRDefault="00000000" w:rsidRPr="00000000" w14:paraId="00000023">
      <w:pPr>
        <w:rPr/>
      </w:pPr>
      <w:r w:rsidDel="00000000" w:rsidR="00000000" w:rsidRPr="00000000">
        <w:rPr>
          <w:rtl w:val="0"/>
        </w:rPr>
        <w:t xml:space="preserve">Title and abstract screening was conducted using a validated LLM-assisted screening tool (Ollama/qwen2.5:14b), calibrated against the PCCM eligibility criteria. Two calibration rounds were completed prior to full-corpus screening, achieving a sensitivity of 0.966–0.970 against human-coded benchmarks. All 26,173 deduplicated records were screened at the title and abstract stage. Of these, 8,753 (33%) were included for full-text assessment and 17,420 (67%) were excluded.</w:t>
      </w:r>
    </w:p>
    <w:p w:rsidR="00000000" w:rsidDel="00000000" w:rsidP="00000000" w:rsidRDefault="00000000" w:rsidRPr="00000000" w14:paraId="00000024">
      <w:pPr>
        <w:pStyle w:val="Heading2"/>
        <w:rPr/>
      </w:pPr>
      <w:bookmarkStart w:colFirst="0" w:colLast="0" w:name="_heading=h.rl12psrwiius" w:id="7"/>
      <w:bookmarkEnd w:id="7"/>
      <w:r w:rsidDel="00000000" w:rsidR="00000000" w:rsidRPr="00000000">
        <w:rPr>
          <w:rtl w:val="0"/>
        </w:rPr>
        <w:t xml:space="preserve">3.4  Coding and information saturation</w:t>
      </w:r>
    </w:p>
    <w:p w:rsidR="00000000" w:rsidDel="00000000" w:rsidP="00000000" w:rsidRDefault="00000000" w:rsidRPr="00000000" w14:paraId="00000025">
      <w:pPr>
        <w:rPr/>
      </w:pPr>
      <w:r w:rsidDel="00000000" w:rsidR="00000000" w:rsidRPr="00000000">
        <w:rPr>
          <w:rtl w:val="0"/>
        </w:rPr>
        <w:t xml:space="preserve">Data extraction used a random sampling approach. Of the papers included for full-text screening, studies were drawn in batches of 20 (fixed integer seeds 42–46; each batch excludes prior-batch DOIs). Coders applied the five PCCM inclusion criteria to confirm inclusion, then completed 16 extraction fields (country, scale, producer type, adaptation focus, domain, methodology, equity, etc.).</w:t>
      </w:r>
    </w:p>
    <w:p w:rsidR="00000000" w:rsidDel="00000000" w:rsidP="00000000" w:rsidRDefault="00000000" w:rsidRPr="00000000" w14:paraId="00000026">
      <w:pPr>
        <w:rPr>
          <w:highlight w:val="yellow"/>
        </w:rPr>
      </w:pPr>
      <w:r w:rsidDel="00000000" w:rsidR="00000000" w:rsidRPr="00000000">
        <w:rPr>
          <w:rtl w:val="0"/>
        </w:rPr>
        <w:t xml:space="preserve">Information saturation was tracked at each batch across three dimensions: process/outcome domains (13 canonical values), methodological approaches (5), and producer types (5). All three dimensions reached saturation within the initial few batches (49 papers coded) with zero new canonical categories added across the final two batches (37 additional papers). Across five batches, 100 papers were drawn for coding; </w:t>
      </w:r>
      <w:sdt>
        <w:sdtPr>
          <w:id w:val="2036605541"/>
          <w:tag w:val="goog_rdk_3"/>
        </w:sdtPr>
        <w:sdtContent>
          <w:commentRangeStart w:id="2"/>
        </w:sdtContent>
      </w:sdt>
      <w:r w:rsidDel="00000000" w:rsidR="00000000" w:rsidRPr="00000000">
        <w:rPr>
          <w:rtl w:val="0"/>
        </w:rPr>
        <w:t xml:space="preserve">86</w:t>
      </w:r>
      <w:commentRangeEnd w:id="2"/>
      <w:r w:rsidDel="00000000" w:rsidR="00000000" w:rsidRPr="00000000">
        <w:commentReference w:id="2"/>
      </w:r>
      <w:r w:rsidDel="00000000" w:rsidR="00000000" w:rsidRPr="00000000">
        <w:rPr>
          <w:rtl w:val="0"/>
        </w:rPr>
        <w:t xml:space="preserve"> met the inclusion criteria. </w:t>
      </w:r>
      <w:r w:rsidDel="00000000" w:rsidR="00000000" w:rsidRPr="00000000">
        <w:rPr>
          <w:highlight w:val="yellow"/>
          <w:rtl w:val="0"/>
        </w:rPr>
        <w:t xml:space="preserve">Additional batches that are already being processed will be included in the study even though saturation has already been reached.</w:t>
      </w:r>
    </w:p>
    <w:p w:rsidR="00000000" w:rsidDel="00000000" w:rsidP="00000000" w:rsidRDefault="00000000" w:rsidRPr="00000000" w14:paraId="00000027">
      <w:pPr>
        <w:pStyle w:val="Heading1"/>
        <w:rPr/>
      </w:pPr>
      <w:bookmarkStart w:colFirst="0" w:colLast="0" w:name="_heading=h.ntzrnov4nq77" w:id="8"/>
      <w:bookmarkEnd w:id="8"/>
      <w:r w:rsidDel="00000000" w:rsidR="00000000" w:rsidRPr="00000000">
        <w:rPr>
          <w:rtl w:val="0"/>
        </w:rPr>
        <w:t xml:space="preserve">4.  Final results</w:t>
      </w:r>
    </w:p>
    <w:p w:rsidR="00000000" w:rsidDel="00000000" w:rsidP="00000000" w:rsidRDefault="00000000" w:rsidRPr="00000000" w14:paraId="00000028">
      <w:pPr>
        <w:pStyle w:val="Heading2"/>
        <w:rPr/>
      </w:pPr>
      <w:bookmarkStart w:colFirst="0" w:colLast="0" w:name="_heading=h.98zqrtpt3hi1" w:id="9"/>
      <w:bookmarkEnd w:id="9"/>
      <w:r w:rsidDel="00000000" w:rsidR="00000000" w:rsidRPr="00000000">
        <w:rPr>
          <w:rtl w:val="0"/>
        </w:rPr>
        <w:t xml:space="preserve">4.1  Search and screening summary</w:t>
      </w:r>
    </w:p>
    <w:p w:rsidR="00000000" w:rsidDel="00000000" w:rsidP="00000000" w:rsidRDefault="00000000" w:rsidRPr="00000000" w14:paraId="00000029">
      <w:pPr>
        <w:rPr/>
      </w:pPr>
      <w:r w:rsidDel="00000000" w:rsidR="00000000" w:rsidRPr="00000000">
        <w:rPr>
          <w:rtl w:val="0"/>
        </w:rPr>
        <w:t xml:space="preserve">A total of 40,653 records were identified across eight bibliographic databases and 20 grey literature sources. After deduplication, 26,173 unique records entered title and abstract screening. The validated LLM screening tool identified 8,753 records for full-text assessment. Papers were coded in batches of 20 by research assistants. Of 100 papers drawn across five batches, 86 met the inclusion criteria; additional batches are in process.</w:t>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Table 1. Search and screening results by database</w:t>
      </w:r>
    </w:p>
    <w:tbl>
      <w:tblPr>
        <w:tblStyle w:val="Table1"/>
        <w:tblpPr w:leftFromText="180" w:rightFromText="180" w:topFromText="180" w:bottomFromText="180" w:vertAnchor="text" w:horzAnchor="text" w:tblpX="330" w:tblpY="0"/>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340"/>
        <w:gridCol w:w="1935"/>
        <w:gridCol w:w="2250"/>
        <w:tblGridChange w:id="0">
          <w:tblGrid>
            <w:gridCol w:w="1890"/>
            <w:gridCol w:w="2340"/>
            <w:gridCol w:w="1935"/>
            <w:gridCol w:w="2250"/>
          </w:tblGrid>
        </w:tblGridChange>
      </w:tblGrid>
      <w:tr>
        <w:trPr>
          <w:cantSplit w:val="0"/>
          <w:tblHeader w:val="0"/>
        </w:trPr>
        <w:tc>
          <w:tcPr>
            <w:shd w:fill="21472e" w:val="clear"/>
          </w:tcPr>
          <w:p w:rsidR="00000000" w:rsidDel="00000000" w:rsidP="00000000" w:rsidRDefault="00000000" w:rsidRPr="00000000" w14:paraId="0000002B">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Database</w:t>
            </w:r>
          </w:p>
        </w:tc>
        <w:tc>
          <w:tcPr>
            <w:shd w:fill="21472e" w:val="clear"/>
          </w:tcPr>
          <w:p w:rsidR="00000000" w:rsidDel="00000000" w:rsidP="00000000" w:rsidRDefault="00000000" w:rsidRPr="00000000" w14:paraId="0000002C">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Returned</w:t>
            </w:r>
          </w:p>
        </w:tc>
        <w:tc>
          <w:tcPr>
            <w:shd w:fill="21472e" w:val="clear"/>
          </w:tcPr>
          <w:p w:rsidR="00000000" w:rsidDel="00000000" w:rsidP="00000000" w:rsidRDefault="00000000" w:rsidRPr="00000000" w14:paraId="0000002D">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After dedup</w:t>
            </w:r>
          </w:p>
        </w:tc>
        <w:tc>
          <w:tcPr>
            <w:shd w:fill="21472e" w:val="clear"/>
          </w:tcPr>
          <w:p w:rsidR="00000000" w:rsidDel="00000000" w:rsidP="00000000" w:rsidRDefault="00000000" w:rsidRPr="00000000" w14:paraId="0000002E">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Abstr. incl.</w:t>
            </w:r>
          </w:p>
        </w:tc>
      </w:tr>
      <w:tr>
        <w:trPr>
          <w:cantSplit w:val="0"/>
          <w:tblHeader w:val="0"/>
        </w:trPr>
        <w:tc>
          <w:tcPr/>
          <w:p w:rsidR="00000000" w:rsidDel="00000000" w:rsidP="00000000" w:rsidRDefault="00000000" w:rsidRPr="00000000" w14:paraId="0000002F">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Scopus</w:t>
            </w:r>
          </w:p>
        </w:tc>
        <w:tc>
          <w:tcPr/>
          <w:p w:rsidR="00000000" w:rsidDel="00000000" w:rsidP="00000000" w:rsidRDefault="00000000" w:rsidRPr="00000000" w14:paraId="00000030">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17,021</w:t>
            </w:r>
          </w:p>
        </w:tc>
        <w:tc>
          <w:tcPr/>
          <w:p w:rsidR="00000000" w:rsidDel="00000000" w:rsidP="00000000" w:rsidRDefault="00000000" w:rsidRPr="00000000" w14:paraId="00000031">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17,021</w:t>
            </w:r>
          </w:p>
        </w:tc>
        <w:tc>
          <w:tcPr/>
          <w:p w:rsidR="00000000" w:rsidDel="00000000" w:rsidP="00000000" w:rsidRDefault="00000000" w:rsidRPr="00000000" w14:paraId="00000032">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6,218</w:t>
            </w:r>
          </w:p>
        </w:tc>
      </w:tr>
      <w:tr>
        <w:trPr>
          <w:cantSplit w:val="0"/>
          <w:tblHeader w:val="0"/>
        </w:trPr>
        <w:tc>
          <w:tcPr/>
          <w:p w:rsidR="00000000" w:rsidDel="00000000" w:rsidP="00000000" w:rsidRDefault="00000000" w:rsidRPr="00000000" w14:paraId="00000033">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Web of Science</w:t>
            </w:r>
          </w:p>
        </w:tc>
        <w:tc>
          <w:tcPr/>
          <w:p w:rsidR="00000000" w:rsidDel="00000000" w:rsidP="00000000" w:rsidRDefault="00000000" w:rsidRPr="00000000" w14:paraId="00000034">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15,179</w:t>
            </w:r>
          </w:p>
        </w:tc>
        <w:tc>
          <w:tcPr/>
          <w:p w:rsidR="00000000" w:rsidDel="00000000" w:rsidP="00000000" w:rsidRDefault="00000000" w:rsidRPr="00000000" w14:paraId="00000035">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4,683</w:t>
            </w:r>
          </w:p>
        </w:tc>
        <w:tc>
          <w:tcPr/>
          <w:p w:rsidR="00000000" w:rsidDel="00000000" w:rsidP="00000000" w:rsidRDefault="00000000" w:rsidRPr="00000000" w14:paraId="00000036">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1,137</w:t>
            </w:r>
          </w:p>
        </w:tc>
      </w:tr>
      <w:tr>
        <w:trPr>
          <w:cantSplit w:val="0"/>
          <w:tblHeader w:val="0"/>
        </w:trPr>
        <w:tc>
          <w:tcPr/>
          <w:p w:rsidR="00000000" w:rsidDel="00000000" w:rsidP="00000000" w:rsidRDefault="00000000" w:rsidRPr="00000000" w14:paraId="00000037">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CAB Abstracts</w:t>
            </w:r>
          </w:p>
        </w:tc>
        <w:tc>
          <w:tcPr/>
          <w:p w:rsidR="00000000" w:rsidDel="00000000" w:rsidP="00000000" w:rsidRDefault="00000000" w:rsidRPr="00000000" w14:paraId="00000038">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5,723</w:t>
            </w:r>
          </w:p>
        </w:tc>
        <w:tc>
          <w:tcPr/>
          <w:p w:rsidR="00000000" w:rsidDel="00000000" w:rsidP="00000000" w:rsidRDefault="00000000" w:rsidRPr="00000000" w14:paraId="00000039">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3,229</w:t>
            </w:r>
          </w:p>
        </w:tc>
        <w:tc>
          <w:tcPr/>
          <w:p w:rsidR="00000000" w:rsidDel="00000000" w:rsidP="00000000" w:rsidRDefault="00000000" w:rsidRPr="00000000" w14:paraId="0000003A">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1,133</w:t>
            </w:r>
          </w:p>
        </w:tc>
      </w:tr>
      <w:tr>
        <w:trPr>
          <w:cantSplit w:val="0"/>
          <w:tblHeader w:val="0"/>
        </w:trPr>
        <w:tc>
          <w:tcPr/>
          <w:p w:rsidR="00000000" w:rsidDel="00000000" w:rsidP="00000000" w:rsidRDefault="00000000" w:rsidRPr="00000000" w14:paraId="0000003B">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Academic Search Premier</w:t>
            </w:r>
          </w:p>
        </w:tc>
        <w:tc>
          <w:tcPr/>
          <w:p w:rsidR="00000000" w:rsidDel="00000000" w:rsidP="00000000" w:rsidRDefault="00000000" w:rsidRPr="00000000" w14:paraId="0000003C">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1,187</w:t>
            </w:r>
          </w:p>
        </w:tc>
        <w:tc>
          <w:tcPr/>
          <w:p w:rsidR="00000000" w:rsidDel="00000000" w:rsidP="00000000" w:rsidRDefault="00000000" w:rsidRPr="00000000" w14:paraId="0000003D">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274</w:t>
            </w:r>
          </w:p>
        </w:tc>
        <w:tc>
          <w:tcPr/>
          <w:p w:rsidR="00000000" w:rsidDel="00000000" w:rsidP="00000000" w:rsidRDefault="00000000" w:rsidRPr="00000000" w14:paraId="0000003E">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66</w:t>
            </w:r>
          </w:p>
        </w:tc>
      </w:tr>
      <w:tr>
        <w:trPr>
          <w:cantSplit w:val="0"/>
          <w:tblHeader w:val="0"/>
        </w:trPr>
        <w:tc>
          <w:tcPr/>
          <w:p w:rsidR="00000000" w:rsidDel="00000000" w:rsidP="00000000" w:rsidRDefault="00000000" w:rsidRPr="00000000" w14:paraId="0000003F">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AGRIS</w:t>
            </w:r>
          </w:p>
        </w:tc>
        <w:tc>
          <w:tcPr/>
          <w:p w:rsidR="00000000" w:rsidDel="00000000" w:rsidP="00000000" w:rsidRDefault="00000000" w:rsidRPr="00000000" w14:paraId="00000040">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3</w:t>
            </w:r>
          </w:p>
        </w:tc>
        <w:tc>
          <w:tcPr/>
          <w:p w:rsidR="00000000" w:rsidDel="00000000" w:rsidP="00000000" w:rsidRDefault="00000000" w:rsidRPr="00000000" w14:paraId="00000041">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w:t>
            </w:r>
          </w:p>
        </w:tc>
        <w:tc>
          <w:tcPr/>
          <w:p w:rsidR="00000000" w:rsidDel="00000000" w:rsidP="00000000" w:rsidRDefault="00000000" w:rsidRPr="00000000" w14:paraId="00000042">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w:t>
            </w:r>
          </w:p>
        </w:tc>
      </w:tr>
      <w:tr>
        <w:trPr>
          <w:cantSplit w:val="0"/>
          <w:tblHeader w:val="0"/>
        </w:trPr>
        <w:tc>
          <w:tcPr/>
          <w:p w:rsidR="00000000" w:rsidDel="00000000" w:rsidP="00000000" w:rsidRDefault="00000000" w:rsidRPr="00000000" w14:paraId="00000043">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EconLit</w:t>
            </w:r>
          </w:p>
        </w:tc>
        <w:tc>
          <w:tcPr/>
          <w:p w:rsidR="00000000" w:rsidDel="00000000" w:rsidP="00000000" w:rsidRDefault="00000000" w:rsidRPr="00000000" w14:paraId="00000044">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479</w:t>
            </w:r>
          </w:p>
        </w:tc>
        <w:tc>
          <w:tcPr/>
          <w:p w:rsidR="00000000" w:rsidDel="00000000" w:rsidP="00000000" w:rsidRDefault="00000000" w:rsidRPr="00000000" w14:paraId="00000045">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263</w:t>
            </w:r>
          </w:p>
        </w:tc>
        <w:tc>
          <w:tcPr/>
          <w:p w:rsidR="00000000" w:rsidDel="00000000" w:rsidP="00000000" w:rsidRDefault="00000000" w:rsidRPr="00000000" w14:paraId="00000046">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83</w:t>
            </w:r>
          </w:p>
        </w:tc>
      </w:tr>
      <w:tr>
        <w:trPr>
          <w:cantSplit w:val="0"/>
          <w:tblHeader w:val="0"/>
        </w:trPr>
        <w:tc>
          <w:tcPr/>
          <w:p w:rsidR="00000000" w:rsidDel="00000000" w:rsidP="00000000" w:rsidRDefault="00000000" w:rsidRPr="00000000" w14:paraId="00000047">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ProQuest</w:t>
            </w:r>
          </w:p>
        </w:tc>
        <w:tc>
          <w:tcPr/>
          <w:p w:rsidR="00000000" w:rsidDel="00000000" w:rsidP="00000000" w:rsidRDefault="00000000" w:rsidRPr="00000000" w14:paraId="00000048">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368</w:t>
            </w:r>
          </w:p>
        </w:tc>
        <w:tc>
          <w:tcPr/>
          <w:p w:rsidR="00000000" w:rsidDel="00000000" w:rsidP="00000000" w:rsidRDefault="00000000" w:rsidRPr="00000000" w14:paraId="00000049">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117</w:t>
            </w:r>
          </w:p>
        </w:tc>
        <w:tc>
          <w:tcPr/>
          <w:p w:rsidR="00000000" w:rsidDel="00000000" w:rsidP="00000000" w:rsidRDefault="00000000" w:rsidRPr="00000000" w14:paraId="0000004A">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40</w:t>
            </w:r>
          </w:p>
        </w:tc>
      </w:tr>
      <w:tr>
        <w:trPr>
          <w:cantSplit w:val="0"/>
          <w:tblHeader w:val="0"/>
        </w:trPr>
        <w:tc>
          <w:tcPr/>
          <w:p w:rsidR="00000000" w:rsidDel="00000000" w:rsidP="00000000" w:rsidRDefault="00000000" w:rsidRPr="00000000" w14:paraId="0000004B">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Google Scholar</w:t>
            </w:r>
          </w:p>
        </w:tc>
        <w:tc>
          <w:tcPr/>
          <w:p w:rsidR="00000000" w:rsidDel="00000000" w:rsidP="00000000" w:rsidRDefault="00000000" w:rsidRPr="00000000" w14:paraId="0000004C">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198</w:t>
            </w:r>
          </w:p>
        </w:tc>
        <w:tc>
          <w:tcPr/>
          <w:p w:rsidR="00000000" w:rsidDel="00000000" w:rsidP="00000000" w:rsidRDefault="00000000" w:rsidRPr="00000000" w14:paraId="0000004D">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100</w:t>
            </w:r>
          </w:p>
        </w:tc>
        <w:tc>
          <w:tcPr/>
          <w:p w:rsidR="00000000" w:rsidDel="00000000" w:rsidP="00000000" w:rsidRDefault="00000000" w:rsidRPr="00000000" w14:paraId="0000004E">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34</w:t>
            </w:r>
          </w:p>
        </w:tc>
      </w:tr>
      <w:tr>
        <w:trPr>
          <w:cantSplit w:val="0"/>
          <w:tblHeader w:val="0"/>
        </w:trPr>
        <w:tc>
          <w:tcPr/>
          <w:p w:rsidR="00000000" w:rsidDel="00000000" w:rsidP="00000000" w:rsidRDefault="00000000" w:rsidRPr="00000000" w14:paraId="0000004F">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Grey literature (20 sources)</w:t>
            </w:r>
          </w:p>
        </w:tc>
        <w:tc>
          <w:tcPr/>
          <w:p w:rsidR="00000000" w:rsidDel="00000000" w:rsidP="00000000" w:rsidRDefault="00000000" w:rsidRPr="00000000" w14:paraId="00000050">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495</w:t>
            </w:r>
          </w:p>
        </w:tc>
        <w:tc>
          <w:tcPr/>
          <w:p w:rsidR="00000000" w:rsidDel="00000000" w:rsidP="00000000" w:rsidRDefault="00000000" w:rsidRPr="00000000" w14:paraId="00000051">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485</w:t>
            </w:r>
          </w:p>
        </w:tc>
        <w:tc>
          <w:tcPr/>
          <w:p w:rsidR="00000000" w:rsidDel="00000000" w:rsidP="00000000" w:rsidRDefault="00000000" w:rsidRPr="00000000" w14:paraId="00000052">
            <w:pPr>
              <w:widowControl w:val="0"/>
              <w:spacing w:after="0" w:before="0" w:line="240" w:lineRule="auto"/>
              <w:jc w:val="center"/>
              <w:rPr>
                <w:color w:val="3c3c3c"/>
                <w:sz w:val="16"/>
                <w:szCs w:val="16"/>
              </w:rPr>
            </w:pPr>
            <w:r w:rsidDel="00000000" w:rsidR="00000000" w:rsidRPr="00000000">
              <w:rPr>
                <w:color w:val="3c3c3c"/>
                <w:sz w:val="16"/>
                <w:szCs w:val="16"/>
                <w:rtl w:val="0"/>
              </w:rPr>
              <w:t xml:space="preserve">41</w:t>
            </w:r>
          </w:p>
        </w:tc>
      </w:tr>
      <w:tr>
        <w:trPr>
          <w:cantSplit w:val="0"/>
          <w:tblHeader w:val="0"/>
        </w:trPr>
        <w:tc>
          <w:tcPr>
            <w:shd w:fill="3c3c3c" w:val="clear"/>
          </w:tcPr>
          <w:p w:rsidR="00000000" w:rsidDel="00000000" w:rsidP="00000000" w:rsidRDefault="00000000" w:rsidRPr="00000000" w14:paraId="00000053">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Total</w:t>
            </w:r>
          </w:p>
        </w:tc>
        <w:tc>
          <w:tcPr>
            <w:shd w:fill="3c3c3c" w:val="clear"/>
          </w:tcPr>
          <w:p w:rsidR="00000000" w:rsidDel="00000000" w:rsidP="00000000" w:rsidRDefault="00000000" w:rsidRPr="00000000" w14:paraId="00000054">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40,653</w:t>
            </w:r>
          </w:p>
        </w:tc>
        <w:tc>
          <w:tcPr>
            <w:shd w:fill="3c3c3c" w:val="clear"/>
          </w:tcPr>
          <w:p w:rsidR="00000000" w:rsidDel="00000000" w:rsidP="00000000" w:rsidRDefault="00000000" w:rsidRPr="00000000" w14:paraId="00000055">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26,173</w:t>
            </w:r>
          </w:p>
        </w:tc>
        <w:tc>
          <w:tcPr>
            <w:shd w:fill="3c3c3c" w:val="clear"/>
          </w:tcPr>
          <w:p w:rsidR="00000000" w:rsidDel="00000000" w:rsidP="00000000" w:rsidRDefault="00000000" w:rsidRPr="00000000" w14:paraId="00000056">
            <w:pPr>
              <w:widowControl w:val="0"/>
              <w:spacing w:after="0" w:before="0" w:line="240" w:lineRule="auto"/>
              <w:jc w:val="center"/>
              <w:rPr>
                <w:b w:val="1"/>
                <w:bCs w:val="1"/>
                <w:color w:val="ffffff"/>
                <w:sz w:val="16"/>
                <w:szCs w:val="16"/>
              </w:rPr>
            </w:pPr>
            <w:r w:rsidDel="00000000" w:rsidR="00000000" w:rsidRPr="00000000">
              <w:rPr>
                <w:b w:val="1"/>
                <w:bCs w:val="1"/>
                <w:color w:val="ffffff"/>
                <w:sz w:val="16"/>
                <w:szCs w:val="16"/>
                <w:rtl w:val="0"/>
              </w:rPr>
              <w:t xml:space="preserve">8,753</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Figure 1 presents the PRISMA flow diagram showing record flow across 28 sources and all screening stages. </w:t>
      </w:r>
    </w:p>
    <w:p w:rsidR="00000000" w:rsidDel="00000000" w:rsidP="00000000" w:rsidRDefault="00000000" w:rsidRPr="00000000" w14:paraId="00000059">
      <w:pPr>
        <w:rPr/>
      </w:pPr>
      <w:r w:rsidDel="00000000" w:rsidR="00000000" w:rsidRPr="00000000">
        <w:rPr/>
        <w:drawing>
          <wp:inline distB="114300" distT="114300" distL="114300" distR="114300">
            <wp:extent cx="5943600" cy="6553009"/>
            <wp:effectExtent b="0" l="0" r="0" t="0"/>
            <wp:docPr id="23" name="image4.png"/>
            <a:graphic>
              <a:graphicData uri="http://schemas.openxmlformats.org/drawingml/2006/picture">
                <pic:pic>
                  <pic:nvPicPr>
                    <pic:cNvPr id="0" name="image4.png"/>
                    <pic:cNvPicPr preferRelativeResize="0"/>
                  </pic:nvPicPr>
                  <pic:blipFill>
                    <a:blip r:embed="rId19"/>
                    <a:srcRect b="0" l="0" r="0" t="5367"/>
                    <a:stretch>
                      <a:fillRect/>
                    </a:stretch>
                  </pic:blipFill>
                  <pic:spPr>
                    <a:xfrm>
                      <a:off x="0" y="0"/>
                      <a:ext cx="5943600" cy="655300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Figure 1. PRISMA flow diagram — record flow across 28 sources.</w:t>
      </w:r>
      <w:r w:rsidDel="00000000" w:rsidR="00000000" w:rsidRPr="00000000">
        <w:rPr>
          <w:rtl w:val="0"/>
        </w:rPr>
      </w:r>
    </w:p>
    <w:p w:rsidR="00000000" w:rsidDel="00000000" w:rsidP="00000000" w:rsidRDefault="00000000" w:rsidRPr="00000000" w14:paraId="0000005B">
      <w:pPr>
        <w:pStyle w:val="Heading2"/>
        <w:rPr/>
      </w:pPr>
      <w:bookmarkStart w:colFirst="0" w:colLast="0" w:name="_heading=h.cddn58yuadoz" w:id="10"/>
      <w:bookmarkEnd w:id="10"/>
      <w:sdt>
        <w:sdtPr>
          <w:id w:val="-109720319"/>
          <w:tag w:val="goog_rdk_4"/>
        </w:sdtPr>
        <w:sdtContent>
          <w:commentRangeStart w:id="3"/>
        </w:sdtContent>
      </w:sdt>
      <w:r w:rsidDel="00000000" w:rsidR="00000000" w:rsidRPr="00000000">
        <w:rPr>
          <w:rtl w:val="0"/>
        </w:rPr>
        <w:t xml:space="preserve">4.2  Evidence gap map</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evidence gap map (EGM) is the primary output of this deliverable. It plots the distribution of coded studies (n = 86) across process and outcome domains (y-axis) and producer types (x-axis). Bubble size is proportional to the number of studies in each cell. Grey circles indicate evidence gaps — no studies in that combination.</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885571</wp:posOffset>
            </wp:positionV>
            <wp:extent cx="6086475" cy="3568065"/>
            <wp:effectExtent b="0" l="0" r="0" t="0"/>
            <wp:wrapTopAndBottom distB="114300" distT="114300"/>
            <wp:docPr id="19" name="image1.png"/>
            <a:graphic>
              <a:graphicData uri="http://schemas.openxmlformats.org/drawingml/2006/picture">
                <pic:pic>
                  <pic:nvPicPr>
                    <pic:cNvPr id="0" name="image1.png"/>
                    <pic:cNvPicPr preferRelativeResize="0"/>
                  </pic:nvPicPr>
                  <pic:blipFill>
                    <a:blip r:embed="rId20"/>
                    <a:srcRect b="0" l="3853" r="0" t="11540"/>
                    <a:stretch>
                      <a:fillRect/>
                    </a:stretch>
                  </pic:blipFill>
                  <pic:spPr>
                    <a:xfrm>
                      <a:off x="0" y="0"/>
                      <a:ext cx="6086475" cy="3568065"/>
                    </a:xfrm>
                    <a:prstGeom prst="rect"/>
                    <a:ln/>
                  </pic:spPr>
                </pic:pic>
              </a:graphicData>
            </a:graphic>
          </wp:anchor>
        </w:drawing>
      </w:r>
    </w:p>
    <w:p w:rsidR="00000000" w:rsidDel="00000000" w:rsidP="00000000" w:rsidRDefault="00000000" w:rsidRPr="00000000" w14:paraId="0000005D">
      <w:pPr>
        <w:rPr/>
      </w:pPr>
      <w:sdt>
        <w:sdtPr>
          <w:id w:val="1862160721"/>
          <w:tag w:val="goog_rdk_5"/>
        </w:sdtPr>
        <w:sdtContent>
          <w:commentRangeStart w:id="4"/>
        </w:sdtContent>
      </w:sdt>
      <w:r w:rsidDel="00000000" w:rsidR="00000000" w:rsidRPr="00000000">
        <w:rPr>
          <w:b w:val="1"/>
          <w:bCs w:val="1"/>
          <w:rtl w:val="0"/>
        </w:rPr>
        <w:t xml:space="preserve">Figure 2. Evidence gap map results (n = 86). Blue = proces</w:t>
      </w:r>
      <w:commentRangeEnd w:id="4"/>
      <w:r w:rsidDel="00000000" w:rsidR="00000000" w:rsidRPr="00000000">
        <w:commentReference w:id="4"/>
      </w:r>
      <w:r w:rsidDel="00000000" w:rsidR="00000000" w:rsidRPr="00000000">
        <w:rPr>
          <w:b w:val="1"/>
          <w:bCs w:val="1"/>
          <w:rtl w:val="0"/>
        </w:rPr>
        <w:t xml:space="preserve">s domains · green = outcome domains · grey = evidence gaps. Bubble area </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 number of studies.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Key observations:</w:t>
      </w:r>
    </w:p>
    <w:p w:rsidR="00000000" w:rsidDel="00000000" w:rsidP="00000000" w:rsidRDefault="00000000" w:rsidRPr="00000000" w14:paraId="0000005F">
      <w:pPr>
        <w:numPr>
          <w:ilvl w:val="0"/>
          <w:numId w:val="2"/>
        </w:numPr>
        <w:spacing w:after="0" w:lineRule="auto"/>
        <w:ind w:left="720" w:hanging="360"/>
        <w:rPr/>
      </w:pPr>
      <w:r w:rsidDel="00000000" w:rsidR="00000000" w:rsidRPr="00000000">
        <w:rPr>
          <w:rtl w:val="0"/>
        </w:rPr>
        <w:t xml:space="preserve">Process-oriented measures dominate. Decision-making &amp; planning, knowledge &amp; awareness, and uptake &amp; adoption are the most studied domains, especially for crop farmers.</w:t>
      </w:r>
    </w:p>
    <w:p w:rsidR="00000000" w:rsidDel="00000000" w:rsidP="00000000" w:rsidRDefault="00000000" w:rsidRPr="00000000" w14:paraId="00000060">
      <w:pPr>
        <w:numPr>
          <w:ilvl w:val="0"/>
          <w:numId w:val="2"/>
        </w:numPr>
        <w:spacing w:after="0" w:before="0" w:lineRule="auto"/>
        <w:ind w:left="720" w:hanging="360"/>
        <w:rPr/>
      </w:pPr>
      <w:r w:rsidDel="00000000" w:rsidR="00000000" w:rsidRPr="00000000">
        <w:rPr>
          <w:rtl w:val="0"/>
        </w:rPr>
        <w:t xml:space="preserve">Outcome-oriented measures  are nearly absent. Income &amp; assets, wellbeing, risk reduction, and resilience are sparsely covered — and almost exclusively for crop systems.The evidence gap map </w:t>
      </w:r>
      <w:sdt>
        <w:sdtPr>
          <w:id w:val="482946426"/>
          <w:tag w:val="goog_rdk_6"/>
        </w:sdtPr>
        <w:sdtContent>
          <w:commentRangeStart w:id="5"/>
        </w:sdtContent>
      </w:sdt>
      <w:r w:rsidDel="00000000" w:rsidR="00000000" w:rsidRPr="00000000">
        <w:rPr>
          <w:rtl w:val="0"/>
        </w:rPr>
        <w:t xml:space="preserve">statistically </w:t>
      </w:r>
      <w:commentRangeEnd w:id="5"/>
      <w:r w:rsidDel="00000000" w:rsidR="00000000" w:rsidRPr="00000000">
        <w:commentReference w:id="5"/>
      </w:r>
      <w:r w:rsidDel="00000000" w:rsidR="00000000" w:rsidRPr="00000000">
        <w:rPr>
          <w:rtl w:val="0"/>
        </w:rPr>
        <w:t xml:space="preserve">visualizes this limitation, showing a clustered abundance of research on whether crop farmers are trying to adapt, but limited evidence on whether these efforts are actually improving their long-term adaptive capacity and wellbeing.</w:t>
      </w:r>
    </w:p>
    <w:p w:rsidR="00000000" w:rsidDel="00000000" w:rsidP="00000000" w:rsidRDefault="00000000" w:rsidRPr="00000000" w14:paraId="00000061">
      <w:pPr>
        <w:numPr>
          <w:ilvl w:val="0"/>
          <w:numId w:val="2"/>
        </w:numPr>
        <w:spacing w:after="0" w:before="0" w:lineRule="auto"/>
        <w:ind w:left="720" w:hanging="360"/>
        <w:rPr/>
      </w:pPr>
      <w:r w:rsidDel="00000000" w:rsidR="00000000" w:rsidRPr="00000000">
        <w:rPr>
          <w:rtl w:val="0"/>
        </w:rPr>
        <w:t xml:space="preserve">Over-representation of Crop Farmers. Non-crop producer types are systematically uncovered. Livestock, fisheries, agroforestry, and mixed-system producers appear in very few cells; most cells for these types are gaps.</w:t>
      </w:r>
    </w:p>
    <w:p w:rsidR="00000000" w:rsidDel="00000000" w:rsidP="00000000" w:rsidRDefault="00000000" w:rsidRPr="00000000" w14:paraId="00000062">
      <w:pPr>
        <w:numPr>
          <w:ilvl w:val="0"/>
          <w:numId w:val="2"/>
        </w:numPr>
        <w:spacing w:before="0" w:lineRule="auto"/>
        <w:ind w:left="720" w:hanging="360"/>
        <w:rPr/>
      </w:pPr>
      <w:r w:rsidDel="00000000" w:rsidR="00000000" w:rsidRPr="00000000">
        <w:rPr>
          <w:rtl w:val="0"/>
        </w:rPr>
        <w:t xml:space="preserve">Institutional governance and access to services are absent across all producer types.</w:t>
      </w:r>
    </w:p>
    <w:p w:rsidR="00000000" w:rsidDel="00000000" w:rsidP="00000000" w:rsidRDefault="00000000" w:rsidRPr="00000000" w14:paraId="00000063">
      <w:pPr>
        <w:pStyle w:val="Heading2"/>
        <w:rPr/>
      </w:pPr>
      <w:bookmarkStart w:colFirst="0" w:colLast="0" w:name="_heading=h.84l9bzwf6ymf" w:id="11"/>
      <w:bookmarkEnd w:id="11"/>
      <w:r w:rsidDel="00000000" w:rsidR="00000000" w:rsidRPr="00000000">
        <w:rPr>
          <w:rtl w:val="0"/>
        </w:rPr>
        <w:t xml:space="preserve">4.3  Geographic distribution</w:t>
      </w:r>
    </w:p>
    <w:p w:rsidR="00000000" w:rsidDel="00000000" w:rsidP="00000000" w:rsidRDefault="00000000" w:rsidRPr="00000000" w14:paraId="00000064">
      <w:pPr>
        <w:rPr/>
      </w:pPr>
      <w:r w:rsidDel="00000000" w:rsidR="00000000" w:rsidRPr="00000000">
        <w:rPr>
          <w:rtl w:val="0"/>
        </w:rPr>
        <w:t xml:space="preserve">Studies are heavily concentrated in Sub-Saharan Africa and South Asia. Ethiopia, Ghana, and Kenya alone account for 28% of all human-coded studies. Large evidence gaps persist across Central America, Southeast Asia, the Sahel, and MENA.</w:t>
      </w:r>
    </w:p>
    <w:p w:rsidR="00000000" w:rsidDel="00000000" w:rsidP="00000000" w:rsidRDefault="00000000" w:rsidRPr="00000000" w14:paraId="00000065">
      <w:pPr>
        <w:pStyle w:val="Heading1"/>
        <w:rPr/>
      </w:pPr>
      <w:bookmarkStart w:colFirst="0" w:colLast="0" w:name="_heading=h.p5m78gfhsdl7" w:id="12"/>
      <w:bookmarkEnd w:id="12"/>
      <w:r w:rsidDel="00000000" w:rsidR="00000000" w:rsidRPr="00000000">
        <w:rPr>
          <w:rtl w:val="0"/>
        </w:rPr>
      </w:r>
    </w:p>
    <w:p w:rsidR="00000000" w:rsidDel="00000000" w:rsidP="00000000" w:rsidRDefault="00000000" w:rsidRPr="00000000" w14:paraId="00000066">
      <w:pPr>
        <w:pStyle w:val="Heading1"/>
        <w:rPr/>
      </w:pPr>
      <w:bookmarkStart w:colFirst="0" w:colLast="0" w:name="_heading=h.3jj4rh9yqkn4" w:id="13"/>
      <w:bookmarkEnd w:id="13"/>
      <w:r w:rsidDel="00000000" w:rsidR="00000000" w:rsidRPr="00000000">
        <w:rPr/>
        <w:drawing>
          <wp:inline distB="114300" distT="114300" distL="114300" distR="114300">
            <wp:extent cx="5715000" cy="2971800"/>
            <wp:effectExtent b="0" l="0" r="0" t="0"/>
            <wp:docPr id="2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15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sdt>
        <w:sdtPr>
          <w:id w:val="836331640"/>
          <w:tag w:val="goog_rdk_7"/>
        </w:sdtPr>
        <w:sdtContent>
          <w:commentRangeStart w:id="6"/>
        </w:sdtContent>
      </w:sdt>
      <w:r w:rsidDel="00000000" w:rsidR="00000000" w:rsidRPr="00000000">
        <w:rPr>
          <w:b w:val="1"/>
          <w:bCs w:val="1"/>
          <w:rtl w:val="0"/>
        </w:rPr>
        <w:t xml:space="preserve">Figure 3.</w:t>
      </w:r>
      <w:commentRangeEnd w:id="6"/>
      <w:r w:rsidDel="00000000" w:rsidR="00000000" w:rsidRPr="00000000">
        <w:commentReference w:id="6"/>
      </w:r>
      <w:r w:rsidDel="00000000" w:rsidR="00000000" w:rsidRPr="00000000">
        <w:rPr>
          <w:b w:val="1"/>
          <w:bCs w:val="1"/>
          <w:rtl w:val="0"/>
        </w:rPr>
        <w:t xml:space="preserve"> Geographic distribution of included studies (human-coded, n = 86).</w:t>
      </w:r>
    </w:p>
    <w:p w:rsidR="00000000" w:rsidDel="00000000" w:rsidP="00000000" w:rsidRDefault="00000000" w:rsidRPr="00000000" w14:paraId="00000068">
      <w:pPr>
        <w:pStyle w:val="Heading1"/>
        <w:rPr/>
      </w:pPr>
      <w:bookmarkStart w:colFirst="0" w:colLast="0" w:name="_heading=h.r7wv6bjm9rkn" w:id="14"/>
      <w:bookmarkEnd w:id="14"/>
      <w:r w:rsidDel="00000000" w:rsidR="00000000" w:rsidRPr="00000000">
        <w:rPr>
          <w:rtl w:val="0"/>
        </w:rPr>
      </w:r>
    </w:p>
    <w:p w:rsidR="00000000" w:rsidDel="00000000" w:rsidP="00000000" w:rsidRDefault="00000000" w:rsidRPr="00000000" w14:paraId="00000069">
      <w:pPr>
        <w:pStyle w:val="Heading1"/>
        <w:ind w:firstLine="0"/>
        <w:rPr/>
      </w:pPr>
      <w:bookmarkStart w:colFirst="0" w:colLast="0" w:name="_heading=h.aey9qua7i4dg" w:id="15"/>
      <w:bookmarkEnd w:id="15"/>
      <w:r w:rsidDel="00000000" w:rsidR="00000000" w:rsidRPr="00000000">
        <w:rPr/>
        <w:drawing>
          <wp:inline distB="114300" distT="114300" distL="114300" distR="114300">
            <wp:extent cx="6157913" cy="3531894"/>
            <wp:effectExtent b="0" l="0" r="0" t="0"/>
            <wp:docPr id="24" name="image6.png"/>
            <a:graphic>
              <a:graphicData uri="http://schemas.openxmlformats.org/drawingml/2006/picture">
                <pic:pic>
                  <pic:nvPicPr>
                    <pic:cNvPr id="0" name="image6.png"/>
                    <pic:cNvPicPr preferRelativeResize="0"/>
                  </pic:nvPicPr>
                  <pic:blipFill>
                    <a:blip r:embed="rId22"/>
                    <a:srcRect b="0" l="0" r="7209" t="0"/>
                    <a:stretch>
                      <a:fillRect/>
                    </a:stretch>
                  </pic:blipFill>
                  <pic:spPr>
                    <a:xfrm>
                      <a:off x="0" y="0"/>
                      <a:ext cx="6157913" cy="353189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rPr>
      </w:pPr>
      <w:sdt>
        <w:sdtPr>
          <w:id w:val="1188868855"/>
          <w:tag w:val="goog_rdk_8"/>
        </w:sdtPr>
        <w:sdtContent>
          <w:commentRangeStart w:id="7"/>
        </w:sdtContent>
      </w:sdt>
      <w:r w:rsidDel="00000000" w:rsidR="00000000" w:rsidRPr="00000000">
        <w:rPr>
          <w:b w:val="1"/>
          <w:bCs w:val="1"/>
          <w:rtl w:val="0"/>
        </w:rPr>
        <w:t xml:space="preserve">Figure 4. Top countries by study count (human-coded, n = 86).</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B">
      <w:pPr>
        <w:pStyle w:val="Heading2"/>
        <w:rPr/>
      </w:pPr>
      <w:bookmarkStart w:colFirst="0" w:colLast="0" w:name="_heading=h.jhmnv1wbmjym" w:id="16"/>
      <w:bookmarkEnd w:id="16"/>
      <w:r w:rsidDel="00000000" w:rsidR="00000000" w:rsidRPr="00000000">
        <w:rPr>
          <w:rtl w:val="0"/>
        </w:rPr>
        <w:t xml:space="preserve">4.4  Methodological approaches</w:t>
      </w:r>
    </w:p>
    <w:p w:rsidR="00000000" w:rsidDel="00000000" w:rsidP="00000000" w:rsidRDefault="00000000" w:rsidRPr="00000000" w14:paraId="0000006C">
      <w:pPr>
        <w:rPr/>
      </w:pPr>
      <w:r w:rsidDel="00000000" w:rsidR="00000000" w:rsidRPr="00000000">
        <w:rPr>
          <w:rtl w:val="0"/>
        </w:rPr>
        <w:t xml:space="preserve">Quantitative (Survey-based) and qualitative approaches dominate the evidence base. Experimental designs — including randomised controlled trials and quasi-experimental studies — represent fewer than 10% of the corpus, severely limiting causal inference about adaptation effectiveness. Participatory and mixed-methods approaches are common, particularly for process-level outcomes. This heavy reliance on observational quantitative and qualitative approaches—and the near absence of experimental or longitudinal designs—means the current literature is very effective at mapping the uptake and awareness of adaptation strategies. However, it severely limits researchers' ability to definitively prove causality, avoid endogeneity bias, and objectively evaluate the long-term effectiveness of capacity-building interventions on actual farmer resilience.</w:t>
      </w:r>
    </w:p>
    <w:p w:rsidR="00000000" w:rsidDel="00000000" w:rsidP="00000000" w:rsidRDefault="00000000" w:rsidRPr="00000000" w14:paraId="0000006D">
      <w:pPr>
        <w:pStyle w:val="Heading2"/>
        <w:rPr/>
      </w:pPr>
      <w:bookmarkStart w:colFirst="0" w:colLast="0" w:name="_heading=h.f2uuussalnit" w:id="17"/>
      <w:bookmarkEnd w:id="17"/>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drawing>
          <wp:inline distB="0" distT="0" distL="0" distR="0">
            <wp:extent cx="5843588" cy="3611206"/>
            <wp:effectExtent b="0" l="0" r="0" t="0"/>
            <wp:docPr id="27" name="image7.png"/>
            <a:graphic>
              <a:graphicData uri="http://schemas.openxmlformats.org/drawingml/2006/picture">
                <pic:pic>
                  <pic:nvPicPr>
                    <pic:cNvPr id="0" name="image7.png"/>
                    <pic:cNvPicPr preferRelativeResize="0"/>
                  </pic:nvPicPr>
                  <pic:blipFill>
                    <a:blip r:embed="rId23"/>
                    <a:srcRect b="0" l="10131" r="7129" t="0"/>
                    <a:stretch>
                      <a:fillRect/>
                    </a:stretch>
                  </pic:blipFill>
                  <pic:spPr>
                    <a:xfrm>
                      <a:off x="0" y="0"/>
                      <a:ext cx="5843588" cy="3611206"/>
                    </a:xfrm>
                    <a:prstGeom prst="rect"/>
                    <a:ln/>
                  </pic:spPr>
                </pic:pic>
              </a:graphicData>
            </a:graphic>
          </wp:inline>
        </w:drawing>
      </w:r>
      <w:sdt>
        <w:sdtPr>
          <w:id w:val="-528269182"/>
          <w:tag w:val="goog_rdk_9"/>
        </w:sdtPr>
        <w:sdtContent>
          <w:commentRangeStart w:id="8"/>
        </w:sdtContent>
      </w:sdt>
      <w:r w:rsidDel="00000000" w:rsidR="00000000" w:rsidRPr="00000000">
        <w:rPr>
          <w:b w:val="1"/>
          <w:bCs w:val="1"/>
          <w:rtl w:val="0"/>
        </w:rPr>
        <w:t xml:space="preserve">Figure 5. Methodological approaches across included studies (human-coded, n = 86).</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F">
      <w:pPr>
        <w:pStyle w:val="Heading2"/>
        <w:rPr/>
      </w:pPr>
      <w:bookmarkStart w:colFirst="0" w:colLast="0" w:name="_heading=h.td95law22tg0" w:id="18"/>
      <w:bookmarkEnd w:id="18"/>
      <w:r w:rsidDel="00000000" w:rsidR="00000000" w:rsidRPr="00000000">
        <w:rPr>
          <w:rtl w:val="0"/>
        </w:rPr>
        <w:t xml:space="preserve">4.5  Equity and inclusion</w:t>
      </w:r>
    </w:p>
    <w:p w:rsidR="00000000" w:rsidDel="00000000" w:rsidP="00000000" w:rsidRDefault="00000000" w:rsidRPr="00000000" w14:paraId="00000070">
      <w:pPr>
        <w:rPr/>
      </w:pPr>
      <w:r w:rsidDel="00000000" w:rsidR="00000000" w:rsidRPr="00000000">
        <w:rPr>
          <w:rtl w:val="0"/>
        </w:rPr>
        <w:t xml:space="preserve">There is a significant gap in how adaptation research addresses social vulnerability. 40% of included studies make no reference to any marginalized group. Where groups do appear, the focus is heavily skewed: women feature in ~35% of studies and youth in ~29%. Beyond these two groups, the evidence base drops sharply with indigenous peoples, landless communities, ethnic minorities, and migrant workers each appearing in fewer than 5% of studies, and people with disabilities and the elderly in fewer than 2%.</w:t>
      </w:r>
    </w:p>
    <w:p w:rsidR="00000000" w:rsidDel="00000000" w:rsidP="00000000" w:rsidRDefault="00000000" w:rsidRPr="00000000" w14:paraId="00000071">
      <w:pPr>
        <w:rPr/>
      </w:pPr>
      <w:r w:rsidDel="00000000" w:rsidR="00000000" w:rsidRPr="00000000">
        <w:rPr>
          <w:rtl w:val="0"/>
        </w:rPr>
        <w:t xml:space="preserve">This concentration on women and youth, while valuable, masks the absence of evidence for other highly vulnerable populations. The literature largely treats smallholder farmers as a homogenous group, ignoring how intersecting vulnerabilities (disability, land tenure, ethnicity, age) shape an individual's capacity to adapt to climate shocks. Because studies rarely measure how specific subgroups respond to interventions, future climate resilience programmes risk relying on generic capacity-building models that overlook the distinct needs of the most marginalised.</w:t>
      </w:r>
    </w:p>
    <w:p w:rsidR="00000000" w:rsidDel="00000000" w:rsidP="00000000" w:rsidRDefault="00000000" w:rsidRPr="00000000" w14:paraId="00000072">
      <w:pPr>
        <w:pStyle w:val="Heading1"/>
        <w:rPr/>
      </w:pPr>
      <w:bookmarkStart w:colFirst="0" w:colLast="0" w:name="_heading=h.yvq0laoxd4xu" w:id="19"/>
      <w:bookmarkEnd w:id="19"/>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080000" cy="2482850"/>
            <wp:effectExtent b="0" l="0" r="0" t="0"/>
            <wp:docPr id="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080000" cy="24828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Figure 6. Equity and inclusion dimensions across included studies (human-coded, n = 86). Red bar = studies with no marginalized group focus.</w:t>
      </w:r>
    </w:p>
    <w:p w:rsidR="00000000" w:rsidDel="00000000" w:rsidP="00000000" w:rsidRDefault="00000000" w:rsidRPr="00000000" w14:paraId="00000075">
      <w:pPr>
        <w:pStyle w:val="Heading2"/>
        <w:rPr/>
      </w:pPr>
      <w:bookmarkStart w:colFirst="0" w:colLast="0" w:name="_heading=h.i7pma5uhnjjo" w:id="20"/>
      <w:bookmarkEnd w:id="20"/>
      <w:r w:rsidDel="00000000" w:rsidR="00000000" w:rsidRPr="00000000">
        <w:rPr>
          <w:rtl w:val="0"/>
        </w:rPr>
        <w:t xml:space="preserve">4.6  Publication trends and saturation</w:t>
      </w:r>
    </w:p>
    <w:p w:rsidR="00000000" w:rsidDel="00000000" w:rsidP="00000000" w:rsidRDefault="00000000" w:rsidRPr="00000000" w14:paraId="00000076">
      <w:pPr>
        <w:rPr/>
      </w:pPr>
      <w:r w:rsidDel="00000000" w:rsidR="00000000" w:rsidRPr="00000000">
        <w:rPr>
          <w:rtl w:val="0"/>
        </w:rPr>
        <w:t xml:space="preserve">96% of included studies were published since 2015, </w:t>
      </w:r>
      <w:sdt>
        <w:sdtPr>
          <w:id w:val="-2075758730"/>
          <w:tag w:val="goog_rdk_10"/>
        </w:sdtPr>
        <w:sdtContent>
          <w:commentRangeStart w:id="9"/>
        </w:sdtContent>
      </w:sdt>
      <w:r w:rsidDel="00000000" w:rsidR="00000000" w:rsidRPr="00000000">
        <w:rPr>
          <w:rtl w:val="0"/>
        </w:rPr>
        <w:t xml:space="preserve">with a median year of 2022</w:t>
      </w:r>
      <w:commentRangeEnd w:id="9"/>
      <w:r w:rsidDel="00000000" w:rsidR="00000000" w:rsidRPr="00000000">
        <w:commentReference w:id="9"/>
      </w:r>
      <w:r w:rsidDel="00000000" w:rsidR="00000000" w:rsidRPr="00000000">
        <w:rPr>
          <w:rtl w:val="0"/>
        </w:rPr>
        <w:t xml:space="preserve">. Publication volume has grown sharply — but this means that long-term impact evidence is very thin..</w:t>
      </w:r>
    </w:p>
    <w:p w:rsidR="00000000" w:rsidDel="00000000" w:rsidP="00000000" w:rsidRDefault="00000000" w:rsidRPr="00000000" w14:paraId="00000077">
      <w:pPr>
        <w:pStyle w:val="Heading1"/>
        <w:rPr/>
      </w:pPr>
      <w:bookmarkStart w:colFirst="0" w:colLast="0" w:name="_heading=h.96zs35m9wnmg" w:id="21"/>
      <w:bookmarkEnd w:id="21"/>
      <w:r w:rsidDel="00000000" w:rsidR="00000000" w:rsidRPr="00000000">
        <w:rPr>
          <w:rtl w:val="0"/>
        </w:rPr>
      </w:r>
    </w:p>
    <w:p w:rsidR="00000000" w:rsidDel="00000000" w:rsidP="00000000" w:rsidRDefault="00000000" w:rsidRPr="00000000" w14:paraId="00000078">
      <w:pPr>
        <w:pStyle w:val="Heading1"/>
        <w:rPr/>
      </w:pPr>
      <w:bookmarkStart w:colFirst="0" w:colLast="0" w:name="_heading=h.xn5r40aevvkf" w:id="22"/>
      <w:bookmarkEnd w:id="22"/>
      <w:r w:rsidDel="00000000" w:rsidR="00000000" w:rsidRPr="00000000">
        <w:rPr/>
        <w:drawing>
          <wp:inline distB="114300" distT="114300" distL="114300" distR="114300">
            <wp:extent cx="4968215" cy="2540000"/>
            <wp:effectExtent b="0" l="0" r="0" t="0"/>
            <wp:docPr id="2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96821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Figure 7. Publication trends across included studies (human-coded, n = 86).</w:t>
      </w:r>
    </w:p>
    <w:p w:rsidR="00000000" w:rsidDel="00000000" w:rsidP="00000000" w:rsidRDefault="00000000" w:rsidRPr="00000000" w14:paraId="0000007A">
      <w:pPr>
        <w:pStyle w:val="Heading1"/>
        <w:rPr/>
      </w:pPr>
      <w:bookmarkStart w:colFirst="0" w:colLast="0" w:name="_heading=h.jqceuxw1bpi8" w:id="23"/>
      <w:bookmarkEnd w:id="23"/>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Saturation analysis (Figure 8) shows that all three tracked dimensions — process/outcome domains, methodological approaches, and producer types — reached saturation by 49 papers. Zero new canonical categories were added in the final two batches, confirming the human-coded sample is representative of the broader evidence base.</w:t>
      </w:r>
    </w:p>
    <w:p w:rsidR="00000000" w:rsidDel="00000000" w:rsidP="00000000" w:rsidRDefault="00000000" w:rsidRPr="00000000" w14:paraId="0000007C">
      <w:pPr>
        <w:rPr>
          <w:b w:val="1"/>
          <w:bCs w:val="1"/>
        </w:rPr>
      </w:pPr>
      <w:r w:rsidDel="00000000" w:rsidR="00000000" w:rsidRPr="00000000">
        <w:rPr/>
        <w:drawing>
          <wp:inline distB="0" distT="0" distL="0" distR="0">
            <wp:extent cx="5715000" cy="3118247"/>
            <wp:effectExtent b="0" l="0" r="0" t="0"/>
            <wp:docPr id="2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15000" cy="3118247"/>
                    </a:xfrm>
                    <a:prstGeom prst="rect"/>
                    <a:ln/>
                  </pic:spPr>
                </pic:pic>
              </a:graphicData>
            </a:graphic>
          </wp:inline>
        </w:drawing>
      </w:r>
      <w:r w:rsidDel="00000000" w:rsidR="00000000" w:rsidRPr="00000000">
        <w:rPr>
          <w:b w:val="1"/>
          <w:bCs w:val="1"/>
          <w:rtl w:val="0"/>
        </w:rPr>
        <w:t xml:space="preserve">Figure 8. Information saturation curve. Top: cumulative unique categories as % of final total by papers coded. Bottom: new categories per batch. All dimensions plateau by 49 papers.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br6mo5js0zq1" w:id="24"/>
      <w:bookmarkEnd w:id="24"/>
      <w:r w:rsidDel="00000000" w:rsidR="00000000" w:rsidRPr="00000000">
        <w:rPr>
          <w:rtl w:val="0"/>
        </w:rPr>
        <w:t xml:space="preserve">5.  Searchable Database</w:t>
      </w:r>
    </w:p>
    <w:p w:rsidR="00000000" w:rsidDel="00000000" w:rsidP="00000000" w:rsidRDefault="00000000" w:rsidRPr="00000000" w14:paraId="0000007F">
      <w:pPr>
        <w:rPr/>
      </w:pPr>
      <w:r w:rsidDel="00000000" w:rsidR="00000000" w:rsidRPr="00000000">
        <w:rPr>
          <w:rtl w:val="0"/>
        </w:rPr>
        <w:t xml:space="preserve">An interactive evidence gap map is available at </w:t>
      </w:r>
      <w:hyperlink r:id="rId27">
        <w:r w:rsidDel="00000000" w:rsidR="00000000" w:rsidRPr="00000000">
          <w:rPr>
            <w:color w:val="1155cc"/>
            <w:u w:val="single"/>
            <w:rtl w:val="0"/>
          </w:rPr>
          <w:t xml:space="preserve">https://main.d3a9jahzuu7xai.amplifyapp.com/systematic-map</w:t>
        </w:r>
      </w:hyperlink>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A searchable database of all included studies is available at </w:t>
      </w:r>
      <w:hyperlink r:id="rId28">
        <w:r w:rsidDel="00000000" w:rsidR="00000000" w:rsidRPr="00000000">
          <w:rPr>
            <w:color w:val="1155cc"/>
            <w:u w:val="single"/>
            <w:rtl w:val="0"/>
          </w:rPr>
          <w:t xml:space="preserve">https://main.d3a9jahzuu7xai.amplifyapp.com/systematic-map#searchable-database</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The database includes all 2,368 LLM-screened records with key metadata (year, title, country, producer type, domain, methodology). A toggle switches between the human-coded results (n = 86, authoritative) and the </w:t>
      </w:r>
      <w:sdt>
        <w:sdtPr>
          <w:id w:val="553624661"/>
          <w:tag w:val="goog_rdk_11"/>
        </w:sdtPr>
        <w:sdtContent>
          <w:commentRangeStart w:id="10"/>
        </w:sdtContent>
      </w:sdt>
      <w:r w:rsidDel="00000000" w:rsidR="00000000" w:rsidRPr="00000000">
        <w:rPr>
          <w:rtl w:val="0"/>
        </w:rPr>
        <w:t xml:space="preserve">LLM corpus (n = 2,368, exploratory)</w:t>
      </w:r>
      <w:commentRangeEnd w:id="10"/>
      <w:r w:rsidDel="00000000" w:rsidR="00000000" w:rsidRPr="00000000">
        <w:commentReference w:id="10"/>
      </w:r>
      <w:r w:rsidDel="00000000" w:rsidR="00000000" w:rsidRPr="00000000">
        <w:rPr>
          <w:rtl w:val="0"/>
        </w:rPr>
        <w:t xml:space="preserve">. All code and data: </w:t>
      </w:r>
      <w:hyperlink r:id="rId29">
        <w:r w:rsidDel="00000000" w:rsidR="00000000" w:rsidRPr="00000000">
          <w:rPr>
            <w:color w:val="1155cc"/>
            <w:u w:val="single"/>
            <w:rtl w:val="0"/>
          </w:rPr>
          <w:t xml:space="preserve">github.com/bristlepine/ilri-climate-adaptation-effectiveness</w:t>
        </w:r>
      </w:hyperlink>
      <w:r w:rsidDel="00000000" w:rsidR="00000000" w:rsidRPr="00000000">
        <w:rPr>
          <w:rtl w:val="0"/>
        </w:rPr>
        <w:t xml:space="preserve"> </w:t>
      </w:r>
    </w:p>
    <w:p w:rsidR="00000000" w:rsidDel="00000000" w:rsidP="00000000" w:rsidRDefault="00000000" w:rsidRPr="00000000" w14:paraId="00000082">
      <w:pPr>
        <w:pStyle w:val="Heading1"/>
        <w:rPr/>
      </w:pPr>
      <w:bookmarkStart w:colFirst="0" w:colLast="0" w:name="_heading=h.p46gp2d9g5l2" w:id="25"/>
      <w:bookmarkEnd w:id="25"/>
      <w:r w:rsidDel="00000000" w:rsidR="00000000" w:rsidRPr="00000000">
        <w:rPr>
          <w:rtl w:val="0"/>
        </w:rPr>
        <w:t xml:space="preserve">6.  Conclusions</w:t>
      </w:r>
    </w:p>
    <w:p w:rsidR="00000000" w:rsidDel="00000000" w:rsidP="00000000" w:rsidRDefault="00000000" w:rsidRPr="00000000" w14:paraId="00000083">
      <w:pPr>
        <w:rPr/>
      </w:pPr>
      <w:bookmarkStart w:colFirst="0" w:colLast="0" w:name="_heading=h.u2t6aj8kblbk" w:id="26"/>
      <w:bookmarkEnd w:id="26"/>
      <w:r w:rsidDel="00000000" w:rsidR="00000000" w:rsidRPr="00000000">
        <w:rPr>
          <w:rtl w:val="0"/>
        </w:rPr>
        <w:t xml:space="preserve">The evidence gap map reveals a systematic mismatch between what adaptation M&amp;E currently measures and what is needed to understand adaptation effectiveness.</w:t>
      </w:r>
    </w:p>
    <w:p w:rsidR="00000000" w:rsidDel="00000000" w:rsidP="00000000" w:rsidRDefault="00000000" w:rsidRPr="00000000" w14:paraId="00000084">
      <w:pPr>
        <w:numPr>
          <w:ilvl w:val="0"/>
          <w:numId w:val="1"/>
        </w:numPr>
        <w:spacing w:after="0" w:lineRule="auto"/>
        <w:ind w:left="720" w:hanging="360"/>
        <w:rPr/>
      </w:pPr>
      <w:r w:rsidDel="00000000" w:rsidR="00000000" w:rsidRPr="00000000">
        <w:rPr>
          <w:rtl w:val="0"/>
        </w:rPr>
        <w:t xml:space="preserve">Process-oriented outcomes are well-documented, impact-oriented outcomes are not. The literature reliably captures whether farmers adopted a practice or gained knowledge. It almost never measures whether adaptation improved incomes, wellbeing, or resilience.</w:t>
      </w:r>
    </w:p>
    <w:p w:rsidR="00000000" w:rsidDel="00000000" w:rsidP="00000000" w:rsidRDefault="00000000" w:rsidRPr="00000000" w14:paraId="00000085">
      <w:pPr>
        <w:numPr>
          <w:ilvl w:val="0"/>
          <w:numId w:val="1"/>
        </w:numPr>
        <w:spacing w:after="0" w:before="0" w:lineRule="auto"/>
        <w:ind w:left="720" w:hanging="360"/>
        <w:rPr/>
      </w:pPr>
      <w:r w:rsidDel="00000000" w:rsidR="00000000" w:rsidRPr="00000000">
        <w:rPr>
          <w:rtl w:val="0"/>
        </w:rPr>
        <w:t xml:space="preserve">Non-crop producer types are almost entirely unmeasured. Livestock, fisheries, agroforestry, and mixed-system producers appear in very few cells of the evidence map. Most are pure gaps.</w:t>
      </w:r>
    </w:p>
    <w:p w:rsidR="00000000" w:rsidDel="00000000" w:rsidP="00000000" w:rsidRDefault="00000000" w:rsidRPr="00000000" w14:paraId="00000086">
      <w:pPr>
        <w:numPr>
          <w:ilvl w:val="0"/>
          <w:numId w:val="1"/>
        </w:numPr>
        <w:spacing w:after="0" w:before="0" w:lineRule="auto"/>
        <w:ind w:left="720" w:hanging="360"/>
        <w:rPr/>
      </w:pPr>
      <w:r w:rsidDel="00000000" w:rsidR="00000000" w:rsidRPr="00000000">
        <w:rPr>
          <w:rtl w:val="0"/>
        </w:rPr>
        <w:t xml:space="preserve">Geographic concentration limits generalisability. Three countries account for 28% of all studies. The evidence base cannot support regional conclusions across most LMICs.</w:t>
      </w:r>
    </w:p>
    <w:p w:rsidR="00000000" w:rsidDel="00000000" w:rsidP="00000000" w:rsidRDefault="00000000" w:rsidRPr="00000000" w14:paraId="00000087">
      <w:pPr>
        <w:numPr>
          <w:ilvl w:val="0"/>
          <w:numId w:val="1"/>
        </w:numPr>
        <w:spacing w:after="0" w:before="0" w:lineRule="auto"/>
        <w:ind w:left="720" w:hanging="360"/>
        <w:rPr/>
      </w:pPr>
      <w:r w:rsidDel="00000000" w:rsidR="00000000" w:rsidRPr="00000000">
        <w:rPr>
          <w:rtl w:val="0"/>
        </w:rPr>
        <w:t xml:space="preserve">The equity gap is the most critical for policy. 40% of studies make no reference to any marginalized group; of the 60% that do, coverage is almost entirely limited to women and youth. Disability, ethnicity, age, and land tenure appear in 5% or fewer of studies each. We cannot tell whether adaptation is reaching the most vulnerable populations.</w:t>
      </w:r>
    </w:p>
    <w:p w:rsidR="00000000" w:rsidDel="00000000" w:rsidP="00000000" w:rsidRDefault="00000000" w:rsidRPr="00000000" w14:paraId="00000088">
      <w:pPr>
        <w:numPr>
          <w:ilvl w:val="0"/>
          <w:numId w:val="1"/>
        </w:numPr>
        <w:spacing w:before="0" w:lineRule="auto"/>
        <w:ind w:left="720" w:hanging="360"/>
        <w:rPr/>
      </w:pPr>
      <w:r w:rsidDel="00000000" w:rsidR="00000000" w:rsidRPr="00000000">
        <w:rPr>
          <w:rtl w:val="0"/>
        </w:rPr>
        <w:t xml:space="preserve">A lack of robust experimental evidence limits causal inference. While cross-sectional quantitative and qualitative methods are abundant, rigorous experimental designs are exceptionally rare. This makes it difficult to definitively prove whether specific capacity-building or adaptation interventions actually cause improvements in long-term resilience, rather than merely showing correlations with practice adoption.</w:t>
      </w:r>
    </w:p>
    <w:p w:rsidR="00000000" w:rsidDel="00000000" w:rsidP="00000000" w:rsidRDefault="00000000" w:rsidRPr="00000000" w14:paraId="00000089">
      <w:pPr>
        <w:rPr/>
      </w:pPr>
      <w:r w:rsidDel="00000000" w:rsidR="00000000" w:rsidRPr="00000000">
        <w:rPr>
          <w:rtl w:val="0"/>
        </w:rPr>
        <w:t xml:space="preserve">Addressing these gaps requires investment in long-term cohort studies, equity-disaggregated data collection, and research that targets non-crop livelihood systems. A follow-on systematic review and </w:t>
      </w:r>
      <w:sdt>
        <w:sdtPr>
          <w:id w:val="1366720937"/>
          <w:tag w:val="goog_rdk_12"/>
        </w:sdtPr>
        <w:sdtContent>
          <w:commentRangeStart w:id="11"/>
        </w:sdtContent>
      </w:sdt>
      <w:r w:rsidDel="00000000" w:rsidR="00000000" w:rsidRPr="00000000">
        <w:rPr>
          <w:rtl w:val="0"/>
        </w:rPr>
        <w:t xml:space="preserve">meta-analysis protocol is planned</w:t>
      </w:r>
      <w:commentRangeEnd w:id="11"/>
      <w:r w:rsidDel="00000000" w:rsidR="00000000" w:rsidRPr="00000000">
        <w:commentReference w:id="11"/>
      </w:r>
      <w:r w:rsidDel="00000000" w:rsidR="00000000" w:rsidRPr="00000000">
        <w:rPr>
          <w:rtl w:val="0"/>
        </w:rPr>
        <w:t xml:space="preserve">.</w:t>
      </w:r>
    </w:p>
    <w:p w:rsidR="00000000" w:rsidDel="00000000" w:rsidP="00000000" w:rsidRDefault="00000000" w:rsidRPr="00000000" w14:paraId="0000008A">
      <w:pPr>
        <w:pStyle w:val="Heading1"/>
        <w:rPr/>
      </w:pPr>
      <w:bookmarkStart w:colFirst="0" w:colLast="0" w:name="_heading=h.samymw9115pt" w:id="27"/>
      <w:bookmarkEnd w:id="27"/>
      <w:r w:rsidDel="00000000" w:rsidR="00000000" w:rsidRPr="00000000">
        <w:rPr>
          <w:rtl w:val="0"/>
        </w:rPr>
        <w:t xml:space="preserve">7.  Acknowledgements</w:t>
      </w:r>
    </w:p>
    <w:p w:rsidR="00000000" w:rsidDel="00000000" w:rsidP="00000000" w:rsidRDefault="00000000" w:rsidRPr="00000000" w14:paraId="0000008B">
      <w:pPr>
        <w:rPr/>
      </w:pPr>
      <w:r w:rsidDel="00000000" w:rsidR="00000000" w:rsidRPr="00000000">
        <w:rPr>
          <w:rtl w:val="0"/>
        </w:rPr>
        <w:t xml:space="preserve">This work was funded by the International Livestock Research Institute (ILRI) under the CGIAR Initiative on Climate Resilience (ClimBeR). The authors thank the ILRI project team for their guidance and stakeholder engagement support throughout the protocol development and screening process. The systematic map protocol was peer-reviewed by an independent Methods Advisor and informed by feedback from the CGIAR and ILRI stakeholder network.</w:t>
      </w:r>
    </w:p>
    <w:p w:rsidR="00000000" w:rsidDel="00000000" w:rsidP="00000000" w:rsidRDefault="00000000" w:rsidRPr="00000000" w14:paraId="0000008C">
      <w:pPr>
        <w:pStyle w:val="Heading1"/>
        <w:rPr/>
      </w:pPr>
      <w:bookmarkStart w:colFirst="0" w:colLast="0" w:name="_heading=h.laszmcq06e9b" w:id="28"/>
      <w:bookmarkEnd w:id="28"/>
      <w:r w:rsidDel="00000000" w:rsidR="00000000" w:rsidRPr="00000000">
        <w:rPr>
          <w:rtl w:val="0"/>
        </w:rPr>
        <w:t xml:space="preserve">8.  References</w:t>
      </w:r>
    </w:p>
    <w:p w:rsidR="00000000" w:rsidDel="00000000" w:rsidP="00000000" w:rsidRDefault="00000000" w:rsidRPr="00000000" w14:paraId="0000008D">
      <w:pPr>
        <w:numPr>
          <w:ilvl w:val="0"/>
          <w:numId w:val="3"/>
        </w:numPr>
        <w:spacing w:after="0" w:lineRule="auto"/>
        <w:ind w:left="720" w:hanging="360"/>
        <w:rPr/>
      </w:pPr>
      <w:r w:rsidDel="00000000" w:rsidR="00000000" w:rsidRPr="00000000">
        <w:rPr>
          <w:rtl w:val="0"/>
        </w:rPr>
        <w:t xml:space="preserve">Bristlepine Resilience Consultants (2026). Deliverable 3: Final Systematic Map Protocol — Measuring what matters: tracking climate adaptation processes and outcomes for smallholder producers in the agriculture sector. January 2026, v3. Zenodo. </w:t>
      </w:r>
      <w:hyperlink r:id="rId30">
        <w:r w:rsidDel="00000000" w:rsidR="00000000" w:rsidRPr="00000000">
          <w:rPr>
            <w:color w:val="1155cc"/>
            <w:u w:val="single"/>
            <w:rtl w:val="0"/>
          </w:rPr>
          <w:t xml:space="preserve">https://doi.org/10.5281/zenodo.19811629</w:t>
        </w:r>
      </w:hyperlink>
      <w:r w:rsidDel="00000000" w:rsidR="00000000" w:rsidRPr="00000000">
        <w:rPr>
          <w:rtl w:val="0"/>
        </w:rPr>
        <w:t xml:space="preserve"> </w:t>
      </w:r>
    </w:p>
    <w:p w:rsidR="00000000" w:rsidDel="00000000" w:rsidP="00000000" w:rsidRDefault="00000000" w:rsidRPr="00000000" w14:paraId="0000008E">
      <w:pPr>
        <w:numPr>
          <w:ilvl w:val="0"/>
          <w:numId w:val="3"/>
        </w:numPr>
        <w:spacing w:after="0" w:before="0" w:lineRule="auto"/>
        <w:ind w:left="720" w:hanging="360"/>
        <w:rPr/>
      </w:pPr>
      <w:r w:rsidDel="00000000" w:rsidR="00000000" w:rsidRPr="00000000">
        <w:rPr>
          <w:rtl w:val="0"/>
        </w:rPr>
        <w:t xml:space="preserve">Collaboration for Environmental Evidence (2018). Guidelines and Standards for Evidence Synthesis in Environmental Management. Version 5.1. Pullin AS, Frampton GK, Livoreil B, Petrokofsky G (eds). </w:t>
      </w:r>
      <w:hyperlink r:id="rId31">
        <w:r w:rsidDel="00000000" w:rsidR="00000000" w:rsidRPr="00000000">
          <w:rPr>
            <w:color w:val="1155cc"/>
            <w:u w:val="single"/>
            <w:rtl w:val="0"/>
          </w:rPr>
          <w:t xml:space="preserve">https://www.environmentalevidence.org/guidelines</w:t>
        </w:r>
      </w:hyperlink>
      <w:r w:rsidDel="00000000" w:rsidR="00000000" w:rsidRPr="00000000">
        <w:rPr>
          <w:rtl w:val="0"/>
        </w:rPr>
      </w:r>
    </w:p>
    <w:p w:rsidR="00000000" w:rsidDel="00000000" w:rsidP="00000000" w:rsidRDefault="00000000" w:rsidRPr="00000000" w14:paraId="0000008F">
      <w:pPr>
        <w:numPr>
          <w:ilvl w:val="0"/>
          <w:numId w:val="3"/>
        </w:numPr>
        <w:spacing w:before="0" w:lineRule="auto"/>
        <w:ind w:left="720" w:hanging="360"/>
        <w:rPr/>
      </w:pPr>
      <w:r w:rsidDel="00000000" w:rsidR="00000000" w:rsidRPr="00000000">
        <w:rPr>
          <w:rtl w:val="0"/>
        </w:rPr>
        <w:t xml:space="preserve">Haddaway, N.R., Macura, B., Whaley, P. and Pullin, A.S. (2018). ROSES Reporting standards for Systematic Evidence Syntheses: pro forma, flow diagram and descriptive summary of the plan and conduct of environmental systematic reviews and systematic maps. Environmental Evidence, 7, 7. </w:t>
      </w:r>
      <w:hyperlink r:id="rId32">
        <w:r w:rsidDel="00000000" w:rsidR="00000000" w:rsidRPr="00000000">
          <w:rPr>
            <w:color w:val="1155cc"/>
            <w:u w:val="single"/>
            <w:rtl w:val="0"/>
          </w:rPr>
          <w:t xml:space="preserve">https://doi.org/10.1186/s13750-018-0121-7</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al Haddaway" w:id="7" w:date="2026-06-09T07:29:00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these data might need tidying - I see lower case country names, underscores, complex responses...</w:t>
      </w:r>
    </w:p>
  </w:comment>
  <w:comment w:author="Neal Haddaway" w:id="3" w:date="2026-06-09T07:41:0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see more cross tabulation in your synthesis - how have patterns changed over time? How do they change over space. You have analysed each of these components individually but this does not shed light on subtler nuances of the evidence base. I suspect your sample will not have the power to allow much in the way of additional heatmaps (86 studies is very few), but this analysis is rather superficial at present. I would recommend looking at some evidence maps/systematic maps in Environmental Evidence, for example, to see the kind of cross-tabulation we're looking for in addition.</w:t>
      </w:r>
    </w:p>
  </w:comment>
  <w:comment w:author="Neal Haddaway" w:id="9" w:date="2026-06-09T07:33:0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an odd statistic for timeseries data</w:t>
      </w:r>
    </w:p>
  </w:comment>
  <w:comment w:author="Neal Haddaway" w:id="0" w:date="2026-06-09T07:11:0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some context of the total number is necessary here?</w:t>
      </w:r>
    </w:p>
  </w:comment>
  <w:comment w:author="Neal Haddaway" w:id="11" w:date="2026-06-09T07:42:0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won't be able to conduct a meta-analysis - you would need to map the entire corpus before filtering, and that seems very much outside your resource constraints.</w:t>
      </w:r>
    </w:p>
  </w:comment>
  <w:comment w:author="Neal Haddaway" w:id="8" w:date="2026-06-09T07:32:00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levels seem overlapping (experimental and RCT designs are quantitative, participatory are qualitative)...?</w:t>
      </w:r>
    </w:p>
  </w:comment>
  <w:comment w:author="Neal Haddaway" w:id="10" w:date="2026-06-09T07:39:0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our previous discussions, I'm not sure how happy I am that you're presenting LLM screened and coded results alongside the human-screened corpus. My problem was not that you hadn't screened and coded manually, it was that presenting machine-derived results gives a level of confidence that is not warranted in a systematic map. My opinion is that you should not present a machine-derived synthesis authoritatively next to a human derived result because it is misleading. Adding a small human-derived set alongside the machine-derived, in my book, stops this being a rigorous evidence synthesis and puts the focus firmly on the larger evidence base, performed with lower rigour and confidence. I feel quite strongly that you should relegate the larger machine-derived analysis to an appendix because it goes against the ethos of this programme.</w:t>
      </w:r>
    </w:p>
  </w:comment>
  <w:comment w:author="Neal Haddaway" w:id="6" w:date="2026-06-09T07:29:0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sure you cross-reference figures in the main text.</w:t>
      </w:r>
    </w:p>
  </w:comment>
  <w:comment w:author="Neal Haddaway" w:id="5" w:date="2026-06-09T07:28:0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avoid this word because it uses a statistic (sum) but I don't think people would generally agree that this is 'statistics'</w:t>
      </w:r>
    </w:p>
  </w:comment>
  <w:comment w:author="Neal Haddaway" w:id="4" w:date="2026-06-09T07:22:0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 seems to have become detatched from the image</w:t>
      </w:r>
    </w:p>
  </w:comment>
  <w:comment w:author="Neal Haddaway" w:id="2" w:date="2026-06-09T07:23:00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quite low - ideally we would want a few hundred studies here for sufficient resolution for cross tabulation of more complex categorical variables.</w:t>
      </w:r>
    </w:p>
  </w:comment>
  <w:comment w:author="Neal Haddaway" w:id="1" w:date="2026-06-09T07:44:0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thought this was an executive summary - you need to provide much more detail on your methods here. Please see examples of maps in Environmental Evidence or previous rounds of this metnoring scheme for examples. You should see ROSES reporting standards to see the kind of information you must include: https://www.roses-reporting.com/systematic-map-reports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D" w15:done="0"/>
  <w15:commentEx w15:paraId="0000009E" w15:done="0"/>
  <w15:commentEx w15:paraId="0000009F" w15:done="0"/>
  <w15:commentEx w15:paraId="000000A0" w15:done="0"/>
  <w15:commentEx w15:paraId="000000A1" w15:done="0"/>
  <w15:commentEx w15:paraId="000000A2" w15:done="0"/>
  <w15:commentEx w15:paraId="000000A3" w15:done="0"/>
  <w15:commentEx w15:paraId="000000A4" w15:done="0"/>
  <w15:commentEx w15:paraId="000000A5" w15:done="0"/>
  <w15:commentEx w15:paraId="000000A6" w15:done="0"/>
  <w15:commentEx w15:paraId="000000A7" w15:done="0"/>
  <w15:commentEx w15:paraId="000000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color="21472e" w:space="2" w:sz="18" w:val="single"/>
      </w:pBdr>
      <w:tabs>
        <w:tab w:val="right" w:leader="none" w:pos="12960"/>
        <w:tab w:val="right" w:leader="none" w:pos="8460"/>
        <w:tab w:val="right" w:leader="none" w:pos="8460"/>
      </w:tabs>
      <w:rPr>
        <w:rFonts w:ascii="EB Garamond" w:cs="EB Garamond" w:eastAsia="EB Garamond" w:hAnsi="EB Garamond"/>
        <w:color w:val="21472e"/>
      </w:rPr>
    </w:pPr>
    <w:r w:rsidDel="00000000" w:rsidR="00000000" w:rsidRPr="00000000">
      <w:rPr>
        <w:rFonts w:ascii="EB Garamond" w:cs="EB Garamond" w:eastAsia="EB Garamond" w:hAnsi="EB Garamond"/>
        <w:color w:val="21472e"/>
        <w:rtl w:val="0"/>
      </w:rPr>
      <w:t xml:space="preserve">Bristlepine Resilience Consultants</w:t>
    </w:r>
    <w:r w:rsidDel="00000000" w:rsidR="00000000" w:rsidRPr="00000000">
      <w:rPr>
        <w:rtl w:val="0"/>
      </w:rPr>
      <w:tab/>
      <w:tab/>
    </w:r>
    <w:r w:rsidDel="00000000" w:rsidR="00000000" w:rsidRPr="00000000">
      <w:rPr>
        <w:rFonts w:ascii="EB Garamond" w:cs="EB Garamond" w:eastAsia="EB Garamond" w:hAnsi="EB Garamond"/>
        <w:color w:val="21472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p w:rsidR="00000000" w:rsidDel="00000000" w:rsidP="00000000" w:rsidRDefault="00000000" w:rsidRPr="00000000" w14:paraId="00000092">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7" name=""/>
              <a:graphic>
                <a:graphicData uri="http://schemas.microsoft.com/office/word/2010/wordprocessingShape">
                  <wps:wsp>
                    <wps:cNvSpPr/>
                    <wps:cNvPr id="18" name="Shape 18"/>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7"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6" name=""/>
              <a:graphic>
                <a:graphicData uri="http://schemas.microsoft.com/office/word/2010/wordprocessingShape">
                  <wps:wsp>
                    <wps:cNvSpPr/>
                    <wps:cNvPr id="17" name="Shape 17"/>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6"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3">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9" name=""/>
              <a:graphic>
                <a:graphicData uri="http://schemas.microsoft.com/office/word/2010/wordprocessingShape">
                  <wps:wsp>
                    <wps:cNvSpPr/>
                    <wps:cNvPr id="10" name="Shape 10"/>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3" name=""/>
              <a:graphic>
                <a:graphicData uri="http://schemas.microsoft.com/office/word/2010/wordprocessingShape">
                  <wps:wsp>
                    <wps:cNvSpPr/>
                    <wps:cNvPr id="4" name="Shape 4"/>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4">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4" name=""/>
              <a:graphic>
                <a:graphicData uri="http://schemas.microsoft.com/office/word/2010/wordprocessingShape">
                  <wps:wsp>
                    <wps:cNvSpPr/>
                    <wps:cNvPr id="5" name="Shape 5"/>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8" name=""/>
              <a:graphic>
                <a:graphicData uri="http://schemas.microsoft.com/office/word/2010/wordprocessingShape">
                  <wps:wsp>
                    <wps:cNvSpPr/>
                    <wps:cNvPr id="9" name="Shape 9"/>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after="160" w:before="160" w:lineRule="auto"/>
      <w:rPr/>
    </w:pPr>
    <w:r w:rsidDel="00000000" w:rsidR="00000000" w:rsidRPr="00000000">
      <w:rPr>
        <w:i w:val="1"/>
        <w:iCs w:val="1"/>
        <w:color w:val="4d311a"/>
        <w:sz w:val="24"/>
        <w:szCs w:val="24"/>
        <w:rtl w:val="0"/>
      </w:rPr>
      <w:t xml:space="preserve">Systematic Map</w:t>
    </w:r>
    <w:r w:rsidDel="00000000" w:rsidR="00000000" w:rsidRPr="00000000">
      <w:rPr>
        <w:i w:val="1"/>
        <w:iCs w:val="1"/>
        <w:color w:val="4d311a"/>
        <w:sz w:val="24"/>
        <w:szCs w:val="24"/>
      </w:rPr>
      <w:drawing>
        <wp:anchor allowOverlap="1" behindDoc="1" distB="0" distT="0" distL="0" distR="0" hidden="0" layoutInCell="1" locked="0" relativeHeight="0" simplePos="0">
          <wp:simplePos x="0" y="0"/>
          <wp:positionH relativeFrom="page">
            <wp:posOffset>6400800</wp:posOffset>
          </wp:positionH>
          <wp:positionV relativeFrom="page">
            <wp:posOffset>457200</wp:posOffset>
          </wp:positionV>
          <wp:extent cx="457200" cy="457200"/>
          <wp:effectExtent b="0" l="0" r="0" t="0"/>
          <wp:wrapNone/>
          <wp:docPr id="2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57200" cy="457200"/>
                  </a:xfrm>
                  <a:prstGeom prst="rect"/>
                  <a:ln/>
                </pic:spPr>
              </pic:pic>
            </a:graphicData>
          </a:graphic>
        </wp:anchor>
      </w:drawing>
    </w:r>
    <w:r w:rsidDel="00000000" w:rsidR="00000000" w:rsidRPr="00000000">
      <w:rPr>
        <w:i w:val="1"/>
        <w:iCs w:val="1"/>
        <w:color w:val="4d311a"/>
        <w:sz w:val="24"/>
        <w:szCs w:val="24"/>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1" name=""/>
              <a:graphic>
                <a:graphicData uri="http://schemas.microsoft.com/office/word/2010/wordprocessingShape">
                  <wps:wsp>
                    <wps:cNvSpPr/>
                    <wps:cNvPr id="12" name="Shape 12"/>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1"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i w:val="1"/>
        <w:iCs w:val="1"/>
        <w:color w:val="4d311a"/>
        <w:sz w:val="24"/>
        <w:szCs w:val="24"/>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5" name=""/>
              <a:graphic>
                <a:graphicData uri="http://schemas.microsoft.com/office/word/2010/wordprocessingShape">
                  <wps:wsp>
                    <wps:cNvSpPr/>
                    <wps:cNvPr id="16" name="Shape 16"/>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5"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8" name=""/>
              <a:graphic>
                <a:graphicData uri="http://schemas.microsoft.com/office/word/2010/wordprocessingShape">
                  <wps:wsp>
                    <wps:cNvSpPr/>
                    <wps:cNvPr id="19" name="Shape 19"/>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8"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7" name=""/>
              <a:graphic>
                <a:graphicData uri="http://schemas.microsoft.com/office/word/2010/wordprocessingShape">
                  <wps:wsp>
                    <wps:cNvSpPr/>
                    <wps:cNvPr id="8" name="Shape 8"/>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7"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5" name=""/>
              <a:graphic>
                <a:graphicData uri="http://schemas.microsoft.com/office/word/2010/wordprocessingShape">
                  <wps:wsp>
                    <wps:cNvSpPr/>
                    <wps:cNvPr id="6" name="Shape 6"/>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5"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3" name=""/>
              <a:graphic>
                <a:graphicData uri="http://schemas.microsoft.com/office/word/2010/wordprocessingShape">
                  <wps:wsp>
                    <wps:cNvSpPr/>
                    <wps:cNvPr id="14" name="Shape 14"/>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3"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-552439</wp:posOffset>
          </wp:positionH>
          <wp:positionV relativeFrom="paragraph">
            <wp:posOffset>123825</wp:posOffset>
          </wp:positionV>
          <wp:extent cx="2528888" cy="791160"/>
          <wp:effectExtent b="0" l="0" r="0" t="0"/>
          <wp:wrapNone/>
          <wp:docPr id="2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528888" cy="791160"/>
                  </a:xfrm>
                  <a:prstGeom prst="rect"/>
                  <a:ln/>
                </pic:spPr>
              </pic:pic>
            </a:graphicData>
          </a:graphic>
        </wp:anchor>
      </w:drawing>
    </w:r>
  </w:p>
  <w:p w:rsidR="00000000" w:rsidDel="00000000" w:rsidP="00000000" w:rsidRDefault="00000000" w:rsidRPr="00000000" w14:paraId="0000009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2" name=""/>
              <a:graphic>
                <a:graphicData uri="http://schemas.microsoft.com/office/word/2010/wordprocessingShape">
                  <wps:wsp>
                    <wps:cNvSpPr/>
                    <wps:cNvPr id="3" name="Shape 3"/>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2"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2" name=""/>
              <a:graphic>
                <a:graphicData uri="http://schemas.microsoft.com/office/word/2010/wordprocessingShape">
                  <wps:wsp>
                    <wps:cNvSpPr/>
                    <wps:cNvPr id="13" name="Shape 13"/>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2"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8">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6" name=""/>
              <a:graphic>
                <a:graphicData uri="http://schemas.microsoft.com/office/word/2010/wordprocessingShape">
                  <wps:wsp>
                    <wps:cNvSpPr/>
                    <wps:cNvPr id="7" name="Shape 7"/>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6"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 name=""/>
              <a:graphic>
                <a:graphicData uri="http://schemas.microsoft.com/office/word/2010/wordprocessingShape">
                  <wps:wsp>
                    <wps:cNvSpPr/>
                    <wps:cNvPr id="2" name="Shape 2"/>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9">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0" name=""/>
              <a:graphic>
                <a:graphicData uri="http://schemas.microsoft.com/office/word/2010/wordprocessingShape">
                  <wps:wsp>
                    <wps:cNvSpPr/>
                    <wps:cNvPr id="11" name="Shape 11"/>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0"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4" name=""/>
              <a:graphic>
                <a:graphicData uri="http://schemas.microsoft.com/office/word/2010/wordprocessingShape">
                  <wps:wsp>
                    <wps:cNvSpPr/>
                    <wps:cNvPr id="15" name="Shape 15"/>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-49203</wp:posOffset>
              </wp:positionH>
              <wp:positionV relativeFrom="page">
                <wp:posOffset>-4761</wp:posOffset>
              </wp:positionV>
              <wp:extent cx="22225" cy="22225"/>
              <wp:effectExtent b="0" l="0" r="0" t="0"/>
              <wp:wrapNone/>
              <wp:docPr id="14"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0" w:lineRule="auto"/>
      <w:ind w:left="630" w:hanging="360"/>
    </w:pPr>
    <w:rPr>
      <w:color w:val="4d311a"/>
      <w:sz w:val="40"/>
      <w:szCs w:val="40"/>
    </w:rPr>
  </w:style>
  <w:style w:type="paragraph" w:styleId="Heading2">
    <w:name w:val="heading 2"/>
    <w:basedOn w:val="Normal"/>
    <w:next w:val="Normal"/>
    <w:pPr>
      <w:keepNext w:val="1"/>
      <w:keepLines w:val="1"/>
      <w:spacing w:before="240" w:lineRule="auto"/>
      <w:ind w:left="810" w:hanging="360"/>
    </w:pPr>
    <w:rPr>
      <w:color w:val="3c3c3c"/>
      <w:sz w:val="32"/>
      <w:szCs w:val="32"/>
    </w:rPr>
  </w:style>
  <w:style w:type="paragraph" w:styleId="Heading3">
    <w:name w:val="heading 3"/>
    <w:basedOn w:val="Normal"/>
    <w:next w:val="Normal"/>
    <w:pPr>
      <w:keepNext w:val="1"/>
      <w:keepLines w:val="1"/>
      <w:spacing w:before="180" w:lineRule="auto"/>
    </w:pPr>
    <w:rPr>
      <w:i w:val="1"/>
      <w:iCs w:val="1"/>
      <w:color w:val="3c3c3c"/>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80" w:before="240" w:lineRule="auto"/>
    </w:pPr>
    <w:rPr>
      <w:rFonts w:ascii="EB Garamond" w:cs="EB Garamond" w:eastAsia="EB Garamond" w:hAnsi="EB Garamond"/>
      <w:color w:val="4d311a"/>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10.png"/><Relationship Id="rId25" Type="http://schemas.openxmlformats.org/officeDocument/2006/relationships/image" Target="media/image8.png"/><Relationship Id="rId28" Type="http://schemas.openxmlformats.org/officeDocument/2006/relationships/hyperlink" Target="https://main.d3a9jahzuu7xai.amplifyapp.com/systematic-map#searchable-database" TargetMode="External"/><Relationship Id="rId27" Type="http://schemas.openxmlformats.org/officeDocument/2006/relationships/hyperlink" Target="https://main.d3a9jahzuu7xai.amplifyapp.com/systematic-map"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github.com/bristlepine/ilri-climate-adaptation-effectiveness"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environmentalevidence.org/guidelines" TargetMode="External"/><Relationship Id="rId30" Type="http://schemas.openxmlformats.org/officeDocument/2006/relationships/hyperlink" Target="https://doi.org/10.5281/zenodo.19811629" TargetMode="External"/><Relationship Id="rId11" Type="http://schemas.openxmlformats.org/officeDocument/2006/relationships/hyperlink" Target="mailto:zarrar@bristlep.com" TargetMode="External"/><Relationship Id="rId10" Type="http://schemas.openxmlformats.org/officeDocument/2006/relationships/hyperlink" Target="mailto:jenn@bristlep.com" TargetMode="External"/><Relationship Id="rId32" Type="http://schemas.openxmlformats.org/officeDocument/2006/relationships/hyperlink" Target="https://doi.org/10.1186/s13750-018-0121-7" TargetMode="External"/><Relationship Id="rId13" Type="http://schemas.openxmlformats.org/officeDocument/2006/relationships/header" Target="header2.xml"/><Relationship Id="rId12" Type="http://schemas.openxmlformats.org/officeDocument/2006/relationships/hyperlink" Target="mailto:caroline@bristlep.com"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image" Target="media/image4.png"/><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CambriaMath-regular.ttf"/><Relationship Id="rId9" Type="http://schemas.openxmlformats.org/officeDocument/2006/relationships/font" Target="fonts/Nova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JetlRnOGPTI2Ga0/Nb6BZ6h3w==">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0x0101008D1AA9608F4DDA429CF7F2F69C4CB259</vt:lpwstr>
  </property>
  <property fmtid="{D5CDD505-2E9C-101B-9397-08002B2CF9AE}" pid="3" name="MediaServiceImageTags">
    <vt:lpwstr>MediaServiceImageTags</vt:lpwstr>
  </property>
</Properties>
</file>