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Tuberculosis model flow diagram.</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and that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excercise (5 minutes)</w:t>
      </w:r>
    </w:p>
    <w:p>
      <w:pPr>
        <w:pStyle w:val="Compact"/>
        <w:numPr>
          <w:numId w:val="1002"/>
          <w:ilvl w:val="0"/>
        </w:numPr>
      </w:pPr>
      <w:r>
        <w:t xml:space="preserve">Briefly summarise key TB facts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and how these may be altered to answer study questions (20 minutes)</w:t>
      </w:r>
    </w:p>
    <w:p>
      <w:pPr>
        <w:pStyle w:val="Heading1"/>
      </w:pPr>
      <w:bookmarkStart w:id="23" w:name="excercise"/>
      <w:bookmarkEnd w:id="23"/>
      <w:r>
        <w:t xml:space="preserve">Excercise</w:t>
      </w:r>
    </w:p>
    <w:p>
      <w:pPr>
        <w:pStyle w:val="FirstParagraph"/>
      </w:pPr>
      <w:r>
        <w:t xml:space="preserve">Develop a flow diagram for a model of Tuberculosis (TB) transmission in England and Wales. In your groups read through the TB summary below, and discuss a model structure for the transmission of TB.</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Heading1"/>
      </w:pPr>
      <w:bookmarkStart w:id="24" w:name="tb-summary"/>
      <w:bookmarkEnd w:id="24"/>
      <w:r>
        <w:t xml:space="preserve">TB summary</w:t>
      </w:r>
    </w:p>
    <w:p>
      <w:pPr>
        <w:pStyle w:val="Compact"/>
        <w:numPr>
          <w:numId w:val="1003"/>
          <w:ilvl w:val="0"/>
        </w:numPr>
      </w:pPr>
      <w:r>
        <w:t xml:space="preserve">Both a respiratory (pulmonary) and non-respiratory (extra-pulmonary) disease, with respiratory cases accounting for the vast majority of transmission.</w:t>
      </w:r>
    </w:p>
    <w:p>
      <w:pPr>
        <w:pStyle w:val="Compact"/>
        <w:numPr>
          <w:numId w:val="1003"/>
          <w:ilvl w:val="0"/>
        </w:numPr>
      </w:pPr>
      <w:r>
        <w:t xml:space="preserve">After infection individuals enter a latent stage, where they initially have a high risk of developing active disease. After 1-2 years the risk of activation greatly diminishes.</w:t>
      </w:r>
    </w:p>
    <w:p>
      <w:pPr>
        <w:pStyle w:val="Compact"/>
        <w:numPr>
          <w:numId w:val="1003"/>
          <w:ilvl w:val="0"/>
        </w:numPr>
      </w:pPr>
      <w:r>
        <w:t xml:space="preserve">Infectiousness, mortality and likelihood of developing various types of TB vary with age.</w:t>
      </w:r>
    </w:p>
    <w:p>
      <w:pPr>
        <w:pStyle w:val="Compact"/>
        <w:numPr>
          <w:numId w:val="1003"/>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3"/>
          <w:ilvl w:val="0"/>
        </w:numPr>
      </w:pPr>
      <w:r>
        <w:t xml:space="preserve">Multiple antibiotics are used to treat active TB, mostly developed between the 1950s-1980s. Many of these have severe side effects and must be taken daily for at least 6 months.</w:t>
      </w:r>
    </w:p>
    <w:p>
      <w:pPr>
        <w:pStyle w:val="Compact"/>
        <w:numPr>
          <w:numId w:val="1003"/>
          <w:ilvl w:val="0"/>
        </w:numPr>
      </w:pPr>
      <w:r>
        <w:t xml:space="preserve">England and Wales are low incidence countries, with the majority of cases occurring in the non-UK born.</w:t>
      </w:r>
    </w:p>
    <w:p>
      <w:pPr>
        <w:pStyle w:val="Compact"/>
        <w:numPr>
          <w:numId w:val="1003"/>
          <w:ilvl w:val="0"/>
        </w:numPr>
      </w:pPr>
      <w:r>
        <w:t xml:space="preserve">Diabetes, smoking, homelessness, recent incarceration and low socioeconomic status are all key risk factors.</w:t>
      </w:r>
    </w:p>
    <w:p>
      <w:pPr>
        <w:pStyle w:val="Compact"/>
        <w:numPr>
          <w:numId w:val="1003"/>
          <w:ilvl w:val="0"/>
        </w:numPr>
      </w:pPr>
      <w:r>
        <w:t xml:space="preserve">Incidence rates in the UK born have been stable for the last two decades with little evidence of decline. See Figure 1, or</w:t>
      </w:r>
      <w:r>
        <w:t xml:space="preserve"> </w:t>
      </w:r>
      <w:hyperlink r:id="rId25">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biddmodellingcourse/vignettes/drafts/practicals/practical_1/practical_1_files/figure-docx/plot-incidence-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w:t>
      </w:r>
    </w:p>
    <w:p>
      <w:pPr>
        <w:pStyle w:val="Heading1"/>
      </w:pPr>
      <w:bookmarkStart w:id="27" w:name="hints"/>
      <w:bookmarkEnd w:id="27"/>
      <w:r>
        <w:t xml:space="preserve">Hints</w:t>
      </w:r>
    </w:p>
    <w:p>
      <w:pPr>
        <w:pStyle w:val="FirstParagraph"/>
      </w:pPr>
      <w:r>
        <w:t xml:space="preserve">There are several components that are often included in models of TB, these are:</w:t>
      </w:r>
    </w:p>
    <w:p>
      <w:pPr>
        <w:pStyle w:val="Compact"/>
        <w:numPr>
          <w:numId w:val="1004"/>
          <w:ilvl w:val="0"/>
        </w:numPr>
      </w:pPr>
      <w:r>
        <w:t xml:space="preserve">Demographic processes such as natural mortality and birth.</w:t>
      </w:r>
    </w:p>
    <w:p>
      <w:pPr>
        <w:pStyle w:val="Compact"/>
        <w:numPr>
          <w:numId w:val="1004"/>
          <w:ilvl w:val="0"/>
        </w:numPr>
      </w:pPr>
      <w:r>
        <w:t xml:space="preserve">Multiple latent stages prior to active disease, with each having a different activation rate.</w:t>
      </w:r>
    </w:p>
    <w:p>
      <w:pPr>
        <w:pStyle w:val="Compact"/>
        <w:numPr>
          <w:numId w:val="1004"/>
          <w:ilvl w:val="0"/>
        </w:numPr>
      </w:pPr>
      <w:r>
        <w:t xml:space="preserve">Reinfection for those previously latently infected or who have recovered from active disease.</w:t>
      </w:r>
    </w:p>
    <w:p>
      <w:pPr>
        <w:pStyle w:val="Compact"/>
        <w:numPr>
          <w:numId w:val="1004"/>
          <w:ilvl w:val="0"/>
        </w:numPr>
      </w:pPr>
      <w:r>
        <w:t xml:space="preserve">Reactivation for individuals who have recovered from active disease.</w:t>
      </w:r>
    </w:p>
    <w:p>
      <w:pPr>
        <w:pStyle w:val="Compact"/>
        <w:numPr>
          <w:numId w:val="1004"/>
          <w:ilvl w:val="0"/>
        </w:numPr>
      </w:pPr>
      <w:r>
        <w:t xml:space="preserve">Mortality due to TB.</w:t>
      </w:r>
    </w:p>
    <w:p>
      <w:pPr>
        <w:pStyle w:val="Compact"/>
        <w:numPr>
          <w:numId w:val="1004"/>
          <w:ilvl w:val="0"/>
        </w:numPr>
      </w:pPr>
      <w:r>
        <w:t xml:space="preserve">Case importation from high burden areas.</w:t>
      </w:r>
    </w:p>
    <w:p>
      <w:pPr>
        <w:pStyle w:val="Compact"/>
        <w:numPr>
          <w:numId w:val="1004"/>
          <w:ilvl w:val="0"/>
        </w:numPr>
      </w:pPr>
      <w:r>
        <w:t xml:space="preserve">Drug resistance which can either develop from failed treatment or infection with a drug resistant strain of TB.</w:t>
      </w:r>
    </w:p>
    <w:p>
      <w:pPr>
        <w:pStyle w:val="Compact"/>
        <w:numPr>
          <w:numId w:val="1004"/>
          <w:ilvl w:val="0"/>
        </w:numPr>
      </w:pPr>
      <w:r>
        <w:t xml:space="preserve">High and low risk population groups.</w:t>
      </w:r>
    </w:p>
    <w:p>
      <w:pPr>
        <w:pStyle w:val="Compact"/>
        <w:numPr>
          <w:numId w:val="1004"/>
          <w:ilvl w:val="0"/>
        </w:numPr>
      </w:pPr>
      <w:r>
        <w:t xml:space="preserve">Age structure.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171b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6f82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d118e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5" Target="http://www.seabbs.co.uk/shiny/TB_England_Wal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seabbs.co.uk/shiny/TB_England_W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2018-03-15T13:46:49Z</dcterms:created>
  <dcterms:modified xsi:type="dcterms:W3CDTF">2018-03-15T13:46:49Z</dcterms:modified>
</cp:coreProperties>
</file>