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(10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5">
        <w:r>
          <w:rPr>
            <w:rStyle w:val="Hyperlink"/>
          </w:rPr>
          <w:t xml:space="preserve">http://seabbs.co.uk/shiny/exploreidmodels/</w:t>
        </w:r>
      </w:hyperlink>
      <w:r>
        <w:t xml:space="preserve">).</w:t>
      </w:r>
    </w:p>
    <w:p>
      <w:pPr>
        <w:pStyle w:val="BodyText"/>
      </w:pPr>
      <w:r>
        <w:t xml:space="preserve">Use this interface to explore the some of the model that have already been discussed and to answer the following ec. Instructions for using the interactive interface can be found in the about section of the application.</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explore the simple SEIR model, as seen in the design a model practical, in R. 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9" w:name="explore"/>
      <w:bookmarkEnd w:id="29"/>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w:t>
      </w:r>
    </w:p>
    <w:p>
      <w:pPr>
        <w:numPr>
          <w:numId w:val="1003"/>
          <w:ilvl w:val="0"/>
        </w:numPr>
      </w:pPr>
      <w:r>
        <w:t xml:space="preserve">What is the impact of adding demographic processes (births and deaths)?</w:t>
      </w:r>
    </w:p>
    <w:p>
      <w:pPr>
        <w:numPr>
          <w:numId w:val="1003"/>
          <w:ilvl w:val="0"/>
        </w:numPr>
      </w:pPr>
      <w:r>
        <w:t xml:space="preserve">What happens when the transmission rate (beta) is reduced to 0.5?</w:t>
      </w:r>
    </w:p>
    <w:p>
      <w:pPr>
        <w:numPr>
          <w:numId w:val="1003"/>
          <w:ilvl w:val="0"/>
        </w:numPr>
      </w:pPr>
      <w:r>
        <w:t xml:space="preserve">What happens as the rate of recovery is increased?</w:t>
      </w:r>
    </w:p>
    <w:p>
      <w:pPr>
        <w:pStyle w:val="Heading2"/>
      </w:pPr>
      <w:bookmarkStart w:id="30" w:name="add-high-and-low-risk-compartments"/>
      <w:bookmarkEnd w:id="30"/>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1">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3" w:name="explore-1"/>
      <w:bookmarkEnd w:id="33"/>
      <w:r>
        <w:t xml:space="preserve">Explore</w:t>
      </w:r>
    </w:p>
    <w:p>
      <w:pPr>
        <w:pStyle w:val="Compact"/>
        <w:numPr>
          <w:numId w:val="1004"/>
          <w:ilvl w:val="0"/>
        </w:numPr>
      </w:pPr>
      <w:r>
        <w:t xml:space="preserve">What has the impact of adding the second latent population been?</w:t>
      </w:r>
    </w:p>
    <w:p>
      <w:pPr>
        <w:pStyle w:val="Heading2"/>
      </w:pPr>
      <w:bookmarkStart w:id="34" w:name="a-more-realistic-shlir-model-flow-diagram"/>
      <w:bookmarkEnd w:id="34"/>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5">
        <w:r>
          <w:rPr>
            <w:rStyle w:val="Hyperlink"/>
          </w:rPr>
          <w:t xml:space="preserve">me</w:t>
        </w:r>
      </w:hyperlink>
      <w:r>
        <w:t xml:space="preserve">). For simplicity we have assumed that it is possible to be born into both populations. For the motivation behind this model see</w:t>
      </w:r>
      <w:r>
        <w:t xml:space="preserve"> </w:t>
      </w:r>
      <w:hyperlink r:id="rId36">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8" w:name="explore-2"/>
      <w:bookmarkEnd w:id="38"/>
      <w:r>
        <w:t xml:space="preserve">Explore</w:t>
      </w:r>
    </w:p>
    <w:p>
      <w:pPr>
        <w:numPr>
          <w:numId w:val="1005"/>
          <w:ilvl w:val="0"/>
        </w:numPr>
      </w:pPr>
      <w:r>
        <w:t xml:space="preserve">What happens when one group has a much higher transmission probability (use the default settings for all other parameters), compared to when the transmission probability is the same for both groups?</w:t>
      </w:r>
    </w:p>
    <w:p>
      <w:pPr>
        <w:numPr>
          <w:numId w:val="1005"/>
          <w:ilvl w:val="0"/>
        </w:numPr>
      </w:pPr>
      <w:r>
        <w:t xml:space="preserve">What is the impact of varying the mixing between high and low risk groups for the above scenario?</w:t>
      </w:r>
    </w:p>
    <w:p>
      <w:pPr>
        <w:pStyle w:val="Heading2"/>
      </w:pPr>
      <w:bookmarkStart w:id="39" w:name="explore-model-dynamics"/>
      <w:bookmarkEnd w:id="39"/>
      <w:r>
        <w:t xml:space="preserve">3. Explore model dynamics</w:t>
      </w:r>
    </w:p>
    <w:p>
      <w:pPr>
        <w:pStyle w:val="Compact"/>
        <w:numPr>
          <w:numId w:val="1006"/>
          <w:ilvl w:val="0"/>
        </w:numPr>
      </w:pPr>
      <w:r>
        <w:t xml:space="preserve">The interactive interface allows for exploration of multiple other models, using it can you identify some commonalities between different models? What generalisations can you draw from these commonalities.</w:t>
      </w:r>
    </w:p>
    <w:p>
      <w:pPr>
        <w:pStyle w:val="Heading1"/>
      </w:pPr>
      <w:bookmarkStart w:id="40" w:name="references"/>
      <w:bookmarkEnd w:id="40"/>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1">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11a1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681c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a008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Exploring Compartmental Model Dynamics</dc:title>
  <dc:creator>Sam Abbott</dc:creator>
  <dcterms:created xsi:type="dcterms:W3CDTF">2019-04-08T13:23:00Z</dcterms:created>
  <dcterms:modified xsi:type="dcterms:W3CDTF">2019-04-08T13:23:00Z</dcterms:modified>
</cp:coreProperties>
</file>