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32.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3:</w:t>
      </w:r>
      <w:r>
        <w:t xml:space="preserve"> </w:t>
      </w:r>
      <w:r>
        <w:t xml:space="preserve">Compartmental</w:t>
      </w:r>
      <w:r>
        <w:t xml:space="preserve"> </w:t>
      </w:r>
      <w:r>
        <w:t xml:space="preserve">Models</w:t>
      </w:r>
      <w:r>
        <w:t xml:space="preserve"> </w:t>
      </w:r>
      <w:r>
        <w:t xml:space="preserve">to</w:t>
      </w:r>
      <w:r>
        <w:t xml:space="preserve"> </w:t>
      </w:r>
      <w:r>
        <w:t xml:space="preserve">Equations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Know how to translate a simple model flow diagram into equations.</w:t>
      </w:r>
    </w:p>
    <w:p>
      <w:pPr>
        <w:pStyle w:val="Compact"/>
        <w:numPr>
          <w:numId w:val="1001"/>
          <w:ilvl w:val="0"/>
        </w:numPr>
      </w:pPr>
      <w:r>
        <w:t xml:space="preserve">Know how to use a simple model scaffold to develop a more complex model.</w:t>
      </w:r>
    </w:p>
    <w:p>
      <w:pPr>
        <w:pStyle w:val="Compact"/>
        <w:numPr>
          <w:numId w:val="1001"/>
          <w:ilvl w:val="0"/>
        </w:numPr>
      </w:pPr>
      <w:r>
        <w:t xml:space="preserve">Understand how to implement your own model structure.</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Practise simulating a fully implemented SEIR model (10 minutes).</w:t>
      </w:r>
    </w:p>
    <w:p>
      <w:pPr>
        <w:pStyle w:val="Compact"/>
        <w:numPr>
          <w:numId w:val="1002"/>
          <w:ilvl w:val="0"/>
        </w:numPr>
      </w:pPr>
      <w:r>
        <w:t xml:space="preserve">Add high and low risk latency to the SEIR model (10 minutes).</w:t>
      </w:r>
    </w:p>
    <w:p>
      <w:pPr>
        <w:pStyle w:val="Compact"/>
        <w:numPr>
          <w:numId w:val="1002"/>
          <w:ilvl w:val="0"/>
        </w:numPr>
      </w:pPr>
      <w:r>
        <w:t xml:space="preserve">Translate a more realistic SHLIR model flow diagram to equations (10 minutes).</w:t>
      </w:r>
    </w:p>
    <w:p>
      <w:pPr>
        <w:pStyle w:val="Compact"/>
        <w:numPr>
          <w:numId w:val="1002"/>
          <w:ilvl w:val="0"/>
        </w:numPr>
      </w:pPr>
      <w:r>
        <w:t xml:space="preserve">Implement your own model into R (20 minutes).</w:t>
      </w:r>
    </w:p>
    <w:p>
      <w:pPr>
        <w:pStyle w:val="Compact"/>
        <w:numPr>
          <w:numId w:val="1002"/>
          <w:ilvl w:val="0"/>
        </w:numPr>
      </w:pPr>
      <w:r>
        <w:t xml:space="preserve">Session wrap up (5 minutes)</w:t>
      </w:r>
    </w:p>
    <w:p>
      <w:pPr>
        <w:pStyle w:val="Heading1"/>
      </w:pPr>
      <w:bookmarkStart w:id="23" w:name="solutions"/>
      <w:bookmarkEnd w:id="23"/>
      <w:r>
        <w:t xml:space="preserve">Solutions</w:t>
      </w:r>
    </w:p>
    <w:p>
      <w:pPr>
        <w:pStyle w:val="FirstParagraph"/>
      </w:pPr>
      <w:r>
        <w:t xml:space="preserve">The practical solutions are in</w:t>
      </w:r>
      <w:r>
        <w:t xml:space="preserve"> </w:t>
      </w:r>
      <w:r>
        <w:rPr>
          <w:b/>
        </w:rPr>
        <w:t xml:space="preserve">bold</w:t>
      </w:r>
      <w:r>
        <w:t xml:space="preserve">, all code has been completed and the exercise models have been simmulated and summarised.</w:t>
      </w:r>
    </w:p>
    <w:p>
      <w:pPr>
        <w:pStyle w:val="Heading1"/>
      </w:pPr>
      <w:bookmarkStart w:id="24" w:name="set-up"/>
      <w:bookmarkEnd w:id="24"/>
      <w:r>
        <w:t xml:space="preserve">Set up</w:t>
      </w:r>
    </w:p>
    <w:p>
      <w:pPr>
        <w:pStyle w:val="FirstParagraph"/>
      </w:pPr>
      <w:r>
        <w:t xml:space="preserve">If you have not installed the course package do this now with the following</w:t>
      </w:r>
      <w:r>
        <w:t xml:space="preserve"> </w:t>
      </w:r>
      <w:r>
        <w:rPr>
          <w:rStyle w:val="VerbatimChar"/>
        </w:rPr>
        <w:t xml:space="preserve">R</w:t>
      </w:r>
      <w:r>
        <w:t xml:space="preserve"> </w:t>
      </w:r>
      <w:r>
        <w:t xml:space="preserve">code (speak to an instructor if you are having issues with this step).</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"bristolmathmodellers/biddmodellingcourse"</w:t>
      </w:r>
      <w:r>
        <w:rPr>
          <w:rStyle w:val="NormalTok"/>
        </w:rPr>
        <w:t xml:space="preserve">)</w:t>
      </w:r>
    </w:p>
    <w:p>
      <w:pPr>
        <w:pStyle w:val="FirstParagraph"/>
      </w:pPr>
      <w:r>
        <w:t xml:space="preserve">Now load the course package,</w:t>
      </w:r>
    </w:p>
    <w:p>
      <w:pPr>
        <w:pStyle w:val="SourceCode"/>
      </w:pPr>
      <w:r>
        <w:rPr>
          <w:rStyle w:val="KeywordTok"/>
        </w:rPr>
        <w:t xml:space="preserve">library</w:t>
      </w:r>
      <w:r>
        <w:rPr>
          <w:rStyle w:val="NormalTok"/>
        </w:rPr>
        <w:t xml:space="preserve">(biddmodellingcourse)</w:t>
      </w:r>
    </w:p>
    <w:p>
      <w:pPr>
        <w:pStyle w:val="FirstParagraph"/>
      </w:pPr>
      <w:r>
        <w:t xml:space="preserve">For more help getting started see the course README (</w:t>
      </w:r>
      <w:hyperlink r:id="rId25">
        <w:r>
          <w:rPr>
            <w:rStyle w:val="Hyperlink"/>
          </w:rPr>
          <w:t xml:space="preserve">https://bristolmathmodellers.github.io/biddmodellingcourse/</w:t>
        </w:r>
      </w:hyperlink>
      <w:r>
        <w:t xml:space="preserve">) or ask an instructor.</w:t>
      </w:r>
    </w:p>
    <w:p>
      <w:pPr>
        <w:pStyle w:val="Heading1"/>
      </w:pPr>
      <w:bookmarkStart w:id="26" w:name="exercises"/>
      <w:bookmarkEnd w:id="26"/>
      <w:r>
        <w:t xml:space="preserve">Exercises</w:t>
      </w:r>
    </w:p>
    <w:p>
      <w:pPr>
        <w:pStyle w:val="Heading2"/>
      </w:pPr>
      <w:bookmarkStart w:id="27" w:name="a-simple-seir-model-of-tuberculosis-tb"/>
      <w:bookmarkEnd w:id="27"/>
      <w:r>
        <w:t xml:space="preserve">1. A Simple SEIR Model of Tuberculosis (TB)</w:t>
      </w:r>
    </w:p>
    <w:p>
      <w:pPr>
        <w:pStyle w:val="FirstParagraph"/>
      </w:pPr>
      <w:r>
        <w:t xml:space="preserve">As a first exercise we are going to run the simple SEIR model, as seen in practical 2, in R. See practical 2. for the flow diagram.</w:t>
      </w:r>
    </w:p>
    <w:p>
      <w:pPr>
        <w:pStyle w:val="Heading3"/>
      </w:pPr>
      <w:bookmarkStart w:id="28" w:name="populations-and-initialisation"/>
      <w:bookmarkEnd w:id="28"/>
      <w:r>
        <w:t xml:space="preserve">Populations and Initialisation</w:t>
      </w:r>
    </w:p>
    <w:p>
      <w:pPr>
        <w:pStyle w:val="FirstParagraph"/>
      </w:pPr>
      <w:r>
        <w:t xml:space="preserve">We first set up the initial populations for the Susceptible (</w:t>
      </w:r>
      <m:oMath>
        <m:sSub>
          <m:e>
            <m:r>
              <m:t>S</m:t>
            </m:r>
          </m:e>
          <m:sub>
            <m:r>
              <m:t>0</m:t>
            </m:r>
          </m:sub>
        </m:sSub>
      </m:oMath>
      <w:r>
        <w:t xml:space="preserve">), Latent (</w:t>
      </w:r>
      <m:oMath>
        <m:sSub>
          <m:e>
            <m:r>
              <m:t>E</m:t>
            </m:r>
          </m:e>
          <m:sub>
            <m:r>
              <m:t>0</m:t>
            </m:r>
          </m:sub>
        </m:sSub>
      </m:oMath>
      <w:r>
        <w:t xml:space="preserve">), Infected (</w:t>
      </w:r>
      <m:oMath>
        <m:r>
          <m:t>I</m:t>
        </m:r>
      </m:oMath>
      <w:r>
        <w:t xml:space="preserve">), and Recovered (</w:t>
      </w:r>
      <m:oMath>
        <m:r>
          <m:t>R</m:t>
        </m:r>
      </m:oMath>
      <w:r>
        <w:t xml:space="preserve">) compartments. We have initialised the model as an early stage epidemic with a single case of TB.</w:t>
      </w:r>
    </w:p>
    <w:p>
      <w:pPr>
        <w:pStyle w:val="SourceCode"/>
      </w:pPr>
      <w:r>
        <w:rPr>
          <w:rStyle w:val="NormalTok"/>
        </w:rPr>
        <w:t xml:space="preserve">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29" w:name="parameters"/>
      <w:bookmarkEnd w:id="29"/>
      <w:r>
        <w:t xml:space="preserve">Parameters</w:t>
      </w:r>
    </w:p>
    <w:p>
      <w:pPr>
        <w:pStyle w:val="FirstParagraph"/>
      </w:pPr>
      <w:r>
        <w:t xml:space="preserve">We then specify the model parameters (with the units being years</w:t>
      </w:r>
      <w:r>
        <w:rPr>
          <w:vertAlign w:val="superscript"/>
        </w:rPr>
        <w:t xml:space="preserve">-1</w:t>
      </w:r>
      <w:r>
        <w:t xml:space="preserve">), varying these parameters will impact the model dynamics.</w:t>
      </w:r>
    </w:p>
    <w:p>
      <w:pPr>
        <w:pStyle w:val="SourceCode"/>
      </w:pPr>
      <w:r>
        <w:rPr>
          <w:rStyle w:val="NormalTok"/>
        </w:rPr>
        <w:t xml:space="preserve">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0</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30" w:name="equations"/>
      <w:bookmarkEnd w:id="30"/>
      <w:r>
        <w:t xml:space="preserve">Equations</w:t>
      </w:r>
    </w:p>
    <w:p>
      <w:pPr>
        <w:pStyle w:val="FirstParagraph"/>
      </w:pPr>
      <w:r>
        <w:t xml:space="preserve">Finally we specify the model equations for each population compartment. This model incorporates simple demographic processes with a constant natural death rate from all compartments which is equal to the birth rate into the susceptible compartment.</w:t>
      </w:r>
    </w:p>
    <w:p>
      <w:pPr>
        <w:pStyle w:val="SourceCode"/>
      </w:pPr>
      <w:r>
        <w:rPr>
          <w:rStyle w:val="NormalTok"/>
        </w:rPr>
        <w:t xml:space="preserve">SEIR_demo_ode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E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dE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E</w:t>
      </w:r>
      <w:r>
        <w:br w:type="textWrapping"/>
      </w:r>
      <w:r>
        <w:rPr>
          <w:rStyle w:val="NormalTok"/>
        </w:rPr>
        <w:t xml:space="preserve">    dI =</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dE,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31" w:name="simulate-and-summarise"/>
      <w:bookmarkEnd w:id="31"/>
      <w:r>
        <w:t xml:space="preserve">Simulate and Summarise</w:t>
      </w:r>
    </w:p>
    <w:p>
      <w:pPr>
        <w:pStyle w:val="FirstParagraph"/>
      </w:pPr>
      <w:r>
        <w:t xml:space="preserve">To simulate the model we specify the starting year (</w:t>
      </w:r>
      <w:r>
        <w:rPr>
          <w:rStyle w:val="VerbatimChar"/>
        </w:rPr>
        <w:t xml:space="preserve">begin_time</w:t>
      </w:r>
      <w:r>
        <w:t xml:space="preserve">) and final year (</w:t>
      </w:r>
      <w:r>
        <w:rPr>
          <w:rStyle w:val="VerbatimChar"/>
        </w:rPr>
        <w:t xml:space="preserve">end_time</w:t>
      </w:r>
      <w:r>
        <w:t xml:space="preserve">) and define a sequence over all intervening years. The model is then solved using</w:t>
      </w:r>
      <w:r>
        <w:t xml:space="preserve"> </w:t>
      </w:r>
      <w:r>
        <w:rPr>
          <w:rStyle w:val="VerbatimChar"/>
        </w:rPr>
        <w:t xml:space="preserve">deSolve::lsoda</w:t>
      </w:r>
      <w:r>
        <w:t xml:space="preserve"> </w:t>
      </w:r>
      <w:r>
        <w:t xml:space="preserve">which is used within a simple wrapper function (see</w:t>
      </w:r>
      <w:r>
        <w:t xml:space="preserve"> </w:t>
      </w:r>
      <w:r>
        <w:rPr>
          <w:rStyle w:val="VerbatimChar"/>
        </w:rPr>
        <w:t xml:space="preserve">?solve_ode</w:t>
      </w:r>
      <w:r>
        <w:t xml:space="preserve"> </w:t>
      </w:r>
      <w:r>
        <w:t xml:space="preserve">for details). The resulting table summarises the simulation results for the first 5 years.</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SEIR_sim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SEIR_demo_ode, </w:t>
      </w:r>
      <w:r>
        <w:br w:type="textWrapping"/>
      </w:r>
      <w:r>
        <w:rPr>
          <w:rStyle w:val="NormalTok"/>
        </w:rPr>
        <w:t xml:space="preserve">                                           </w:t>
      </w:r>
      <w:r>
        <w:rPr>
          <w:rStyle w:val="DataTypeTok"/>
        </w:rPr>
        <w:t xml:space="preserve">inits =</w:t>
      </w:r>
      <w:r>
        <w:rPr>
          <w:rStyle w:val="NormalTok"/>
        </w:rPr>
        <w:t xml:space="preserve"> inits, </w:t>
      </w:r>
      <w:r>
        <w:br w:type="textWrapping"/>
      </w:r>
      <w:r>
        <w:rPr>
          <w:rStyle w:val="NormalTok"/>
        </w:rPr>
        <w:t xml:space="preserve">                                           </w:t>
      </w:r>
      <w:r>
        <w:rPr>
          <w:rStyle w:val="DataTypeTok"/>
        </w:rPr>
        <w:t xml:space="preserve">params =</w:t>
      </w:r>
      <w:r>
        <w:rPr>
          <w:rStyle w:val="NormalTok"/>
        </w:rPr>
        <w:t xml:space="preserve"> parameters,</w:t>
      </w:r>
      <w:r>
        <w:br w:type="textWrapping"/>
      </w:r>
      <w:r>
        <w:rPr>
          <w:rStyle w:val="NormalTok"/>
        </w:rPr>
        <w:t xml:space="preserve">                                           </w:t>
      </w:r>
      <w:r>
        <w:rPr>
          <w:rStyle w:val="DataTypeTok"/>
        </w:rPr>
        <w:t xml:space="preserve">times =</w:t>
      </w:r>
      <w:r>
        <w:rPr>
          <w:rStyle w:val="NormalTok"/>
        </w:rPr>
        <w:t xml:space="preserve"> 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TableCaption"/>
      </w:pPr>
      <w:r>
        <w:t xml:space="preserve">Table 1: First 5 years of model simulation</w:t>
      </w:r>
    </w:p>
    <w:tbl>
      <w:tblPr>
        <w:tblStyle w:val="TableNormal"/>
        <w:tblW w:type="pct" w:w="2847.222222222222"/>
        <w:tblLook w:firstRow="1"/>
        <w:tblCaption w:val="Table 1: First 5 years of model simulation"/>
      </w:tblPr>
      <w:tblGrid>
        <w:gridCol w:w="770"/>
        <w:gridCol w:w="880"/>
        <w:gridCol w:w="880"/>
        <w:gridCol w:w="990"/>
        <w:gridCol w:w="990"/>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r>
      <w:tr>
        <w:tc>
          <w:p>
            <w:pPr>
              <w:pStyle w:val="Compact"/>
              <w:jc w:val="center"/>
            </w:pPr>
            <w:r>
              <w:t xml:space="preserve">0</w:t>
            </w:r>
          </w:p>
        </w:tc>
        <w:tc>
          <w:p>
            <w:pPr>
              <w:pStyle w:val="Compact"/>
              <w:jc w:val="center"/>
            </w:pPr>
            <w:r>
              <w:t xml:space="preserve">999</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1</w:t>
            </w:r>
          </w:p>
        </w:tc>
        <w:tc>
          <w:p>
            <w:pPr>
              <w:pStyle w:val="Compact"/>
              <w:jc w:val="center"/>
            </w:pPr>
            <w:r>
              <w:t xml:space="preserve">996.4</w:t>
            </w:r>
          </w:p>
        </w:tc>
        <w:tc>
          <w:p>
            <w:pPr>
              <w:pStyle w:val="Compact"/>
              <w:jc w:val="center"/>
            </w:pPr>
            <w:r>
              <w:t xml:space="preserve">2.334</w:t>
            </w:r>
          </w:p>
        </w:tc>
        <w:tc>
          <w:p>
            <w:pPr>
              <w:pStyle w:val="Compact"/>
              <w:jc w:val="center"/>
            </w:pPr>
            <w:r>
              <w:t xml:space="preserve">0.8182</w:t>
            </w:r>
          </w:p>
        </w:tc>
        <w:tc>
          <w:p>
            <w:pPr>
              <w:pStyle w:val="Compact"/>
              <w:jc w:val="center"/>
            </w:pPr>
            <w:r>
              <w:t xml:space="preserve">0.4317</w:t>
            </w:r>
          </w:p>
        </w:tc>
      </w:tr>
      <w:tr>
        <w:tc>
          <w:p>
            <w:pPr>
              <w:pStyle w:val="Compact"/>
              <w:jc w:val="center"/>
            </w:pPr>
            <w:r>
              <w:t xml:space="preserve">2</w:t>
            </w:r>
          </w:p>
        </w:tc>
        <w:tc>
          <w:p>
            <w:pPr>
              <w:pStyle w:val="Compact"/>
              <w:jc w:val="center"/>
            </w:pPr>
            <w:r>
              <w:t xml:space="preserve">993.7</w:t>
            </w:r>
          </w:p>
        </w:tc>
        <w:tc>
          <w:p>
            <w:pPr>
              <w:pStyle w:val="Compact"/>
              <w:jc w:val="center"/>
            </w:pPr>
            <w:r>
              <w:t xml:space="preserve">4.359</w:t>
            </w:r>
          </w:p>
        </w:tc>
        <w:tc>
          <w:p>
            <w:pPr>
              <w:pStyle w:val="Compact"/>
              <w:jc w:val="center"/>
            </w:pPr>
            <w:r>
              <w:t xml:space="preserve">1.033</w:t>
            </w:r>
          </w:p>
        </w:tc>
        <w:tc>
          <w:p>
            <w:pPr>
              <w:pStyle w:val="Compact"/>
              <w:jc w:val="center"/>
            </w:pPr>
            <w:r>
              <w:t xml:space="preserve">0.8823</w:t>
            </w:r>
          </w:p>
        </w:tc>
      </w:tr>
      <w:tr>
        <w:tc>
          <w:p>
            <w:pPr>
              <w:pStyle w:val="Compact"/>
              <w:jc w:val="center"/>
            </w:pPr>
            <w:r>
              <w:t xml:space="preserve">3</w:t>
            </w:r>
          </w:p>
        </w:tc>
        <w:tc>
          <w:p>
            <w:pPr>
              <w:pStyle w:val="Compact"/>
              <w:jc w:val="center"/>
            </w:pPr>
            <w:r>
              <w:t xml:space="preserve">990</w:t>
            </w:r>
          </w:p>
        </w:tc>
        <w:tc>
          <w:p>
            <w:pPr>
              <w:pStyle w:val="Compact"/>
              <w:jc w:val="center"/>
            </w:pPr>
            <w:r>
              <w:t xml:space="preserve">6.976</w:t>
            </w:r>
          </w:p>
        </w:tc>
        <w:tc>
          <w:p>
            <w:pPr>
              <w:pStyle w:val="Compact"/>
              <w:jc w:val="center"/>
            </w:pPr>
            <w:r>
              <w:t xml:space="preserve">1.524</w:t>
            </w:r>
          </w:p>
        </w:tc>
        <w:tc>
          <w:p>
            <w:pPr>
              <w:pStyle w:val="Compact"/>
              <w:jc w:val="center"/>
            </w:pPr>
            <w:r>
              <w:t xml:space="preserve">1.51</w:t>
            </w:r>
          </w:p>
        </w:tc>
      </w:tr>
      <w:tr>
        <w:tc>
          <w:p>
            <w:pPr>
              <w:pStyle w:val="Compact"/>
              <w:jc w:val="center"/>
            </w:pPr>
            <w:r>
              <w:t xml:space="preserve">4</w:t>
            </w:r>
          </w:p>
        </w:tc>
        <w:tc>
          <w:p>
            <w:pPr>
              <w:pStyle w:val="Compact"/>
              <w:jc w:val="center"/>
            </w:pPr>
            <w:r>
              <w:t xml:space="preserve">984.4</w:t>
            </w:r>
          </w:p>
        </w:tc>
        <w:tc>
          <w:p>
            <w:pPr>
              <w:pStyle w:val="Compact"/>
              <w:jc w:val="center"/>
            </w:pPr>
            <w:r>
              <w:t xml:space="preserve">10.84</w:t>
            </w:r>
          </w:p>
        </w:tc>
        <w:tc>
          <w:p>
            <w:pPr>
              <w:pStyle w:val="Compact"/>
              <w:jc w:val="center"/>
            </w:pPr>
            <w:r>
              <w:t xml:space="preserve">2.33</w:t>
            </w:r>
          </w:p>
        </w:tc>
        <w:tc>
          <w:p>
            <w:pPr>
              <w:pStyle w:val="Compact"/>
              <w:jc w:val="center"/>
            </w:pPr>
            <w:r>
              <w:t xml:space="preserve">2.458</w:t>
            </w:r>
          </w:p>
        </w:tc>
      </w:tr>
      <w:tr>
        <w:tc>
          <w:p>
            <w:pPr>
              <w:pStyle w:val="Compact"/>
              <w:jc w:val="center"/>
            </w:pPr>
            <w:r>
              <w:t xml:space="preserve">5</w:t>
            </w:r>
          </w:p>
        </w:tc>
        <w:tc>
          <w:p>
            <w:pPr>
              <w:pStyle w:val="Compact"/>
              <w:jc w:val="center"/>
            </w:pPr>
            <w:r>
              <w:t xml:space="preserve">975.8</w:t>
            </w:r>
          </w:p>
        </w:tc>
        <w:tc>
          <w:p>
            <w:pPr>
              <w:pStyle w:val="Compact"/>
              <w:jc w:val="center"/>
            </w:pPr>
            <w:r>
              <w:t xml:space="preserve">16.69</w:t>
            </w:r>
          </w:p>
        </w:tc>
        <w:tc>
          <w:p>
            <w:pPr>
              <w:pStyle w:val="Compact"/>
              <w:jc w:val="center"/>
            </w:pPr>
            <w:r>
              <w:t xml:space="preserve">3.586</w:t>
            </w:r>
          </w:p>
        </w:tc>
        <w:tc>
          <w:p>
            <w:pPr>
              <w:pStyle w:val="Compact"/>
              <w:jc w:val="center"/>
            </w:pPr>
            <w:r>
              <w:t xml:space="preserve">3.915</w:t>
            </w:r>
          </w:p>
        </w:tc>
      </w:tr>
    </w:tbl>
    <w:p>
      <w:pPr>
        <w:pStyle w:val="BodyText"/>
      </w:pPr>
      <w:r>
        <w:t xml:space="preserve">We then summarise the epidemic peak (</w:t>
      </w:r>
      <w:r>
        <w:rPr>
          <w:rStyle w:val="VerbatimChar"/>
        </w:rPr>
        <w:t xml:space="preserve">epi_peak</w:t>
      </w:r>
      <w:r>
        <w:t xml:space="preserve">) and epidemic duration (</w:t>
      </w:r>
      <w:r>
        <w:rPr>
          <w:rStyle w:val="VerbatimChar"/>
        </w:rPr>
        <w:t xml:space="preserve">epi_dur</w:t>
      </w:r>
      <w:r>
        <w:t xml:space="preserve">), along with population sizes at the end of the time period simulated.</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"SEIR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TableCaption"/>
      </w:pPr>
      <w:r>
        <w:t xml:space="preserve">Table 6: SEIR model summary statistics; The final size of each population at the end of the simulation, along with the time the epidemic peak was reached, the number of infected at the epidemic peak and the duration of the epidemic (continued below)</w:t>
      </w:r>
    </w:p>
    <w:tbl>
      <w:tblPr>
        <w:tblStyle w:val="TableNormal"/>
        <w:tblW w:type="pct" w:w="4444.444444444444"/>
        <w:tblLook w:firstRow="1"/>
        <w:tblCaption w:val="Table 6: SEIR model summary statistics; The final size of each population at the end of the simulation, along with the time the epidemic peak was reached, the number of infected at the epidemic peak and the duration of the epidemic (continued below)"/>
      </w:tblPr>
      <w:tblGrid>
        <w:gridCol w:w="1760"/>
        <w:gridCol w:w="1760"/>
        <w:gridCol w:w="1760"/>
        <w:gridCol w:w="1760"/>
      </w:tblGrid>
      <w:tr>
        <w:trPr>
          <w:cnfStyle w:firstRow="1"/>
        </w:trPr>
        <w:tc>
          <w:tcPr>
            <w:tcBorders>
              <w:bottom w:val="single"/>
            </w:tcBorders>
            <w:vAlign w:val="bottom"/>
          </w:tcPr>
          <w:p>
            <w:pPr>
              <w:pStyle w:val="Compact"/>
              <w:jc w:val="center"/>
            </w:pPr>
            <w:r>
              <w:t xml:space="preserve">Final size: S</w:t>
            </w:r>
          </w:p>
        </w:tc>
        <w:tc>
          <w:tcPr>
            <w:tcBorders>
              <w:bottom w:val="single"/>
            </w:tcBorders>
            <w:vAlign w:val="bottom"/>
          </w:tcPr>
          <w:p>
            <w:pPr>
              <w:pStyle w:val="Compact"/>
              <w:jc w:val="center"/>
            </w:pPr>
            <w:r>
              <w:t xml:space="preserve">Final size: E</w:t>
            </w:r>
          </w:p>
        </w:tc>
        <w:tc>
          <w:tcPr>
            <w:tcBorders>
              <w:bottom w:val="single"/>
            </w:tcBorders>
            <w:vAlign w:val="bottom"/>
          </w:tcPr>
          <w:p>
            <w:pPr>
              <w:pStyle w:val="Compact"/>
              <w:jc w:val="center"/>
            </w:pPr>
            <w:r>
              <w:t xml:space="preserve">Final size: I</w:t>
            </w:r>
          </w:p>
        </w:tc>
        <w:tc>
          <w:tcPr>
            <w:tcBorders>
              <w:bottom w:val="single"/>
            </w:tcBorders>
            <w:vAlign w:val="bottom"/>
          </w:tcPr>
          <w:p>
            <w:pPr>
              <w:pStyle w:val="Compact"/>
              <w:jc w:val="center"/>
            </w:pPr>
            <w:r>
              <w:t xml:space="preserve">Final size: R</w:t>
            </w:r>
          </w:p>
        </w:tc>
      </w:tr>
      <w:tr>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997</w:t>
            </w:r>
          </w:p>
        </w:tc>
      </w:tr>
    </w:tbl>
    <w:tbl>
      <w:tblPr>
        <w:tblStyle w:val="TableNormal"/>
        <w:tblW w:type="pct" w:w="3888.8888888888882"/>
        <w:tblLook w:firstRow="1"/>
      </w:tblPr>
      <w:tblGrid>
        <w:gridCol w:w="2310"/>
        <w:gridCol w:w="1760"/>
        <w:gridCol w:w="2090"/>
      </w:tblGrid>
      <w:tr>
        <w:trPr>
          <w:cnfStyle w:firstRow="1"/>
        </w:trPr>
        <w:tc>
          <w:tcPr>
            <w:tcBorders>
              <w:bottom w:val="single"/>
            </w:tcBorders>
            <w:vAlign w:val="bottom"/>
          </w:tcPr>
          <w:p>
            <w:pPr>
              <w:pStyle w:val="Compact"/>
              <w:jc w:val="center"/>
            </w:pPr>
            <w:r>
              <w:t xml:space="preserve">Epidemic peak time</w:t>
            </w:r>
          </w:p>
        </w:tc>
        <w:tc>
          <w:tcPr>
            <w:tcBorders>
              <w:bottom w:val="single"/>
            </w:tcBorders>
            <w:vAlign w:val="bottom"/>
          </w:tcPr>
          <w:p>
            <w:pPr>
              <w:pStyle w:val="Compact"/>
              <w:jc w:val="center"/>
            </w:pPr>
            <w:r>
              <w:t xml:space="preserve">Epidemic peak</w:t>
            </w:r>
          </w:p>
        </w:tc>
        <w:tc>
          <w:tcPr>
            <w:tcBorders>
              <w:bottom w:val="single"/>
            </w:tcBorders>
            <w:vAlign w:val="bottom"/>
          </w:tcPr>
          <w:p>
            <w:pPr>
              <w:pStyle w:val="Compact"/>
              <w:jc w:val="center"/>
            </w:pPr>
            <w:r>
              <w:t xml:space="preserve">Epidemic duration</w:t>
            </w:r>
          </w:p>
        </w:tc>
      </w:tr>
      <w:tr>
        <w:tc>
          <w:p>
            <w:pPr>
              <w:pStyle w:val="Compact"/>
              <w:jc w:val="center"/>
            </w:pPr>
            <w:r>
              <w:t xml:space="preserve">18</w:t>
            </w:r>
          </w:p>
        </w:tc>
        <w:tc>
          <w:p>
            <w:pPr>
              <w:pStyle w:val="Compact"/>
              <w:jc w:val="center"/>
            </w:pPr>
            <w:r>
              <w:t xml:space="preserve">145</w:t>
            </w:r>
          </w:p>
        </w:tc>
        <w:tc>
          <w:p>
            <w:pPr>
              <w:pStyle w:val="Compact"/>
              <w:jc w:val="center"/>
            </w:pPr>
            <w:r>
              <w:t xml:space="preserve">200</w:t>
            </w:r>
          </w:p>
        </w:tc>
      </w:tr>
    </w:tbl>
    <w:p>
      <w:pPr>
        <w:pStyle w:val="BodyText"/>
      </w:pPr>
      <w:r>
        <w:t xml:space="preserve">Finally we plot the population in each model compartment over time.</w:t>
      </w:r>
    </w:p>
    <w:p>
      <w:pPr>
        <w:pStyle w:val="SourceCode"/>
      </w:pPr>
      <w:r>
        <w:rPr>
          <w:rStyle w:val="NormalTok"/>
        </w:rPr>
        <w:t xml:space="preserve">## For an interactive graph change interactive to TRUE</w:t>
      </w:r>
      <w:r>
        <w:br w:type="textWrapping"/>
      </w:r>
      <w:r>
        <w:rPr>
          <w:rStyle w:val="NormalTok"/>
        </w:rPr>
        <w:t xml:space="preserve">## Interactivity allows plot zooming and gives a tool tip providing the population size at any point.</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(SEIR_sim,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5334000" cy="5334000"/>
            <wp:effectExtent b="0" l="0" r="0" t="0"/>
            <wp:docPr descr="Figure 1: Plot of population over time in each SEIR model compartment" title="" id="1" name="Picture"/>
            <a:graphic>
              <a:graphicData uri="http://schemas.openxmlformats.org/drawingml/2006/picture">
                <pic:pic>
                  <pic:nvPicPr>
                    <pic:cNvPr descr="/home/seabbs/biddmodellingcourse/vignettes/drafts/solutions/solutions-three/solutions-three_files/figure-docx/seir-plot-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Plot of population over time in each SEIR model compartment</w:t>
      </w:r>
    </w:p>
    <w:p>
      <w:pPr>
        <w:pStyle w:val="Heading3"/>
      </w:pPr>
      <w:bookmarkStart w:id="33" w:name="explore"/>
      <w:bookmarkEnd w:id="33"/>
      <w:r>
        <w:t xml:space="preserve">Explore</w:t>
      </w:r>
    </w:p>
    <w:p>
      <w:pPr>
        <w:pStyle w:val="FirstParagraph"/>
      </w:pPr>
      <w:r>
        <w:t xml:space="preserve">As we saw in practical 2, model dynamics are parameter dependent. Look back at the questions from practical 2 and check that you can implement the changes in the code above to answer them.</w:t>
      </w:r>
    </w:p>
    <w:p>
      <w:pPr>
        <w:pStyle w:val="Heading2"/>
      </w:pPr>
      <w:bookmarkStart w:id="34" w:name="add-high-and-low-risk-compartments"/>
      <w:bookmarkEnd w:id="34"/>
      <w:r>
        <w:t xml:space="preserve">2. Add High and Low Risk Compartments</w:t>
      </w:r>
    </w:p>
    <w:p>
      <w:pPr>
        <w:pStyle w:val="FirstParagraph"/>
      </w:pPr>
      <w:r>
        <w:t xml:space="preserve">Now we are going to implement the SHLIR model from practical 2 and try to reproduce some of the behaviour observed using the interactive interface. See practical 2 for details on this model.</w:t>
      </w:r>
    </w:p>
    <w:p>
      <w:pPr>
        <w:pStyle w:val="Heading3"/>
      </w:pPr>
      <w:bookmarkStart w:id="35" w:name="populations-and-initialisation-1"/>
      <w:bookmarkEnd w:id="35"/>
      <w:r>
        <w:t xml:space="preserve">Populations and Initialisation</w:t>
      </w:r>
    </w:p>
    <w:p>
      <w:pPr>
        <w:pStyle w:val="FirstParagraph"/>
      </w:pPr>
      <w:r>
        <w:t xml:space="preserve">As in the previous model the first step is to define the model populations. There are now two new compartments, high risk latents (H), and low risk latents (L). These replace the original latent population (E) used in the SEIR model.</w:t>
      </w:r>
    </w:p>
    <w:p>
      <w:pPr>
        <w:pStyle w:val="SourceCode"/>
      </w:pPr>
      <w:r>
        <w:rPr>
          <w:rStyle w:val="NormalTok"/>
        </w:rPr>
        <w:t xml:space="preserve">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36" w:name="parameters-1"/>
      <w:bookmarkEnd w:id="36"/>
      <w:r>
        <w:t xml:space="preserve">Parameters</w:t>
      </w:r>
    </w:p>
    <w:p>
      <w:pPr>
        <w:pStyle w:val="FirstParagraph"/>
      </w:pPr>
      <w:r>
        <w:t xml:space="preserve">We add two additional parameters for the rate of progression from high to low risk latents (</w:t>
      </w:r>
      <w:r>
        <w:rPr>
          <w:rStyle w:val="VerbatimChar"/>
        </w:rPr>
        <w:t xml:space="preserve">nu</w:t>
      </w:r>
      <w:r>
        <w:t xml:space="preserve">) and the rate of progression from low risk latent to active disease (</w:t>
      </w:r>
      <w:r>
        <w:rPr>
          <w:rStyle w:val="VerbatimChar"/>
        </w:rPr>
        <w:t xml:space="preserve">gamma_L</w:t>
      </w:r>
      <w:r>
        <w:t xml:space="preserve">).</w:t>
      </w:r>
    </w:p>
    <w:p>
      <w:pPr>
        <w:pStyle w:val="SourceCode"/>
      </w:pPr>
      <w:r>
        <w:rPr>
          <w:rStyle w:val="NormalTok"/>
        </w:rPr>
        <w:t xml:space="preserve">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37" w:name="equations-1"/>
      <w:bookmarkEnd w:id="37"/>
      <w:r>
        <w:t xml:space="preserve">Equations</w:t>
      </w:r>
    </w:p>
    <w:p>
      <w:pPr>
        <w:pStyle w:val="FirstParagraph"/>
      </w:pPr>
      <w:r>
        <w:t xml:space="preserve">The code below is a starting point, fill in the missing model terms using the model flow diagram (Figure 2) and the code for the previous SEIR model as reference points.</w:t>
      </w:r>
    </w:p>
    <w:p>
      <w:pPr>
        <w:pStyle w:val="SourceCode"/>
      </w:pPr>
      <w:r>
        <w:rPr>
          <w:rStyle w:val="NormalTok"/>
        </w:rPr>
        <w:t xml:space="preserve">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 These are the new equations - fill in the remaining terms</w:t>
      </w:r>
      <w:r>
        <w:br w:type="textWrapping"/>
      </w:r>
      <w:r>
        <w:rPr>
          <w:rStyle w:val="NormalTok"/>
        </w:rPr>
        <w:t xml:space="preserve">    dH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w:t>
      </w:r>
      <w:r>
        <w:br w:type="textWrapping"/>
      </w:r>
      <w:r>
        <w:rPr>
          <w:rStyle w:val="NormalTok"/>
        </w:rPr>
        <w:t xml:space="preserve">    dL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w:t>
      </w:r>
      <w:r>
        <w:br w:type="textWrapping"/>
      </w:r>
      <w:r>
        <w:rPr>
          <w:rStyle w:val="NormalTok"/>
        </w:rPr>
        <w:t xml:space="preserve">    ## Hint terms are missing from this equation as well</w:t>
      </w:r>
      <w:r>
        <w:br w:type="textWrapping"/>
      </w:r>
      <w:r>
        <w:rPr>
          <w:rStyle w:val="NormalTok"/>
        </w:rPr>
        <w:t xml:space="preserve">    dI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38" w:name="simulate-and-summarise-1"/>
      <w:bookmarkEnd w:id="38"/>
      <w:r>
        <w:t xml:space="preserve">Simulate and Summarise</w:t>
      </w:r>
    </w:p>
    <w:p>
      <w:pPr>
        <w:pStyle w:val="FirstParagraph"/>
      </w:pPr>
      <w:r>
        <w:t xml:space="preserve">Simulation is the same as for the previous model. Does the simulation of your improved model make sense? Evaluate the summary tables and plot of model populations over time.</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SHILR_times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SHLIR_demo_ode, </w:t>
      </w:r>
      <w:r>
        <w:br w:type="textWrapping"/>
      </w:r>
      <w:r>
        <w:rPr>
          <w:rStyle w:val="NormalTok"/>
        </w:rPr>
        <w:t xml:space="preserve">                                           </w:t>
      </w:r>
      <w:r>
        <w:rPr>
          <w:rStyle w:val="DataTypeTok"/>
        </w:rPr>
        <w:t xml:space="preserve">inits =</w:t>
      </w:r>
      <w:r>
        <w:rPr>
          <w:rStyle w:val="NormalTok"/>
        </w:rPr>
        <w:t xml:space="preserve"> SHLIR_inits, </w:t>
      </w:r>
      <w:r>
        <w:br w:type="textWrapping"/>
      </w:r>
      <w:r>
        <w:rPr>
          <w:rStyle w:val="NormalTok"/>
        </w:rPr>
        <w:t xml:space="preserve">                                           </w:t>
      </w:r>
      <w:r>
        <w:rPr>
          <w:rStyle w:val="DataTypeTok"/>
        </w:rPr>
        <w:t xml:space="preserve">params =</w:t>
      </w:r>
      <w:r>
        <w:rPr>
          <w:rStyle w:val="NormalTok"/>
        </w:rPr>
        <w:t xml:space="preserve"> SHLIR_parameters,</w:t>
      </w:r>
      <w:r>
        <w:br w:type="textWrapping"/>
      </w:r>
      <w:r>
        <w:rPr>
          <w:rStyle w:val="NormalTok"/>
        </w:rPr>
        <w:t xml:space="preserve">                                           </w:t>
      </w:r>
      <w:r>
        <w:rPr>
          <w:rStyle w:val="DataTypeTok"/>
        </w:rPr>
        <w:t xml:space="preserve">times =</w:t>
      </w:r>
      <w:r>
        <w:rPr>
          <w:rStyle w:val="NormalTok"/>
        </w:rPr>
        <w:t xml:space="preserve"> SHILR_times,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SHLIR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TableCaption"/>
      </w:pPr>
      <w:r>
        <w:t xml:space="preserve">Table 1: First 5 years of model simulation</w:t>
      </w:r>
    </w:p>
    <w:tbl>
      <w:tblPr>
        <w:tblStyle w:val="TableNormal"/>
        <w:tblW w:type="pct" w:w="3472.222222222222"/>
        <w:tblLook w:firstRow="1"/>
        <w:tblCaption w:val="Table 1: First 5 years of model simulation"/>
      </w:tblPr>
      <w:tblGrid>
        <w:gridCol w:w="770"/>
        <w:gridCol w:w="880"/>
        <w:gridCol w:w="880"/>
        <w:gridCol w:w="990"/>
        <w:gridCol w:w="990"/>
        <w:gridCol w:w="990"/>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L</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r>
      <w:tr>
        <w:tc>
          <w:p>
            <w:pPr>
              <w:pStyle w:val="Compact"/>
              <w:jc w:val="center"/>
            </w:pPr>
            <w:r>
              <w:t xml:space="preserve">0</w:t>
            </w:r>
          </w:p>
        </w:tc>
        <w:tc>
          <w:p>
            <w:pPr>
              <w:pStyle w:val="Compact"/>
              <w:jc w:val="center"/>
            </w:pPr>
            <w:r>
              <w:t xml:space="preserve">999</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1</w:t>
            </w:r>
          </w:p>
        </w:tc>
        <w:tc>
          <w:p>
            <w:pPr>
              <w:pStyle w:val="Compact"/>
              <w:jc w:val="center"/>
            </w:pPr>
            <w:r>
              <w:t xml:space="preserve">996.5</w:t>
            </w:r>
          </w:p>
        </w:tc>
        <w:tc>
          <w:p>
            <w:pPr>
              <w:pStyle w:val="Compact"/>
              <w:jc w:val="center"/>
            </w:pPr>
            <w:r>
              <w:t xml:space="preserve">1.794</w:t>
            </w:r>
          </w:p>
        </w:tc>
        <w:tc>
          <w:p>
            <w:pPr>
              <w:pStyle w:val="Compact"/>
              <w:jc w:val="center"/>
            </w:pPr>
            <w:r>
              <w:t xml:space="preserve">0.5224</w:t>
            </w:r>
          </w:p>
        </w:tc>
        <w:tc>
          <w:p>
            <w:pPr>
              <w:pStyle w:val="Compact"/>
              <w:jc w:val="center"/>
            </w:pPr>
            <w:r>
              <w:t xml:space="preserve">0.7773</w:t>
            </w:r>
          </w:p>
        </w:tc>
        <w:tc>
          <w:p>
            <w:pPr>
              <w:pStyle w:val="Compact"/>
              <w:jc w:val="center"/>
            </w:pPr>
            <w:r>
              <w:t xml:space="preserve">0.4223</w:t>
            </w:r>
          </w:p>
        </w:tc>
      </w:tr>
      <w:tr>
        <w:tc>
          <w:p>
            <w:pPr>
              <w:pStyle w:val="Compact"/>
              <w:jc w:val="center"/>
            </w:pPr>
            <w:r>
              <w:t xml:space="preserve">2</w:t>
            </w:r>
          </w:p>
        </w:tc>
        <w:tc>
          <w:p>
            <w:pPr>
              <w:pStyle w:val="Compact"/>
              <w:jc w:val="center"/>
            </w:pPr>
            <w:r>
              <w:t xml:space="preserve">994.2</w:t>
            </w:r>
          </w:p>
        </w:tc>
        <w:tc>
          <w:p>
            <w:pPr>
              <w:pStyle w:val="Compact"/>
              <w:jc w:val="center"/>
            </w:pPr>
            <w:r>
              <w:t xml:space="preserve">2.576</w:t>
            </w:r>
          </w:p>
        </w:tc>
        <w:tc>
          <w:p>
            <w:pPr>
              <w:pStyle w:val="Compact"/>
              <w:jc w:val="center"/>
            </w:pPr>
            <w:r>
              <w:t xml:space="preserve">1.606</w:t>
            </w:r>
          </w:p>
        </w:tc>
        <w:tc>
          <w:p>
            <w:pPr>
              <w:pStyle w:val="Compact"/>
              <w:jc w:val="center"/>
            </w:pPr>
            <w:r>
              <w:t xml:space="preserve">0.8263</w:t>
            </w:r>
          </w:p>
        </w:tc>
        <w:tc>
          <w:p>
            <w:pPr>
              <w:pStyle w:val="Compact"/>
              <w:jc w:val="center"/>
            </w:pPr>
            <w:r>
              <w:t xml:space="preserve">0.8098</w:t>
            </w:r>
          </w:p>
        </w:tc>
      </w:tr>
      <w:tr>
        <w:tc>
          <w:p>
            <w:pPr>
              <w:pStyle w:val="Compact"/>
              <w:jc w:val="center"/>
            </w:pPr>
            <w:r>
              <w:t xml:space="preserve">3</w:t>
            </w:r>
          </w:p>
        </w:tc>
        <w:tc>
          <w:p>
            <w:pPr>
              <w:pStyle w:val="Compact"/>
              <w:jc w:val="center"/>
            </w:pPr>
            <w:r>
              <w:t xml:space="preserve">991.6</w:t>
            </w:r>
          </w:p>
        </w:tc>
        <w:tc>
          <w:p>
            <w:pPr>
              <w:pStyle w:val="Compact"/>
              <w:jc w:val="center"/>
            </w:pPr>
            <w:r>
              <w:t xml:space="preserve">3.186</w:t>
            </w:r>
          </w:p>
        </w:tc>
        <w:tc>
          <w:p>
            <w:pPr>
              <w:pStyle w:val="Compact"/>
              <w:jc w:val="center"/>
            </w:pPr>
            <w:r>
              <w:t xml:space="preserve">2.99</w:t>
            </w:r>
          </w:p>
        </w:tc>
        <w:tc>
          <w:p>
            <w:pPr>
              <w:pStyle w:val="Compact"/>
              <w:jc w:val="center"/>
            </w:pPr>
            <w:r>
              <w:t xml:space="preserve">0.9684</w:t>
            </w:r>
          </w:p>
        </w:tc>
        <w:tc>
          <w:p>
            <w:pPr>
              <w:pStyle w:val="Compact"/>
              <w:jc w:val="center"/>
            </w:pPr>
            <w:r>
              <w:t xml:space="preserve">1.243</w:t>
            </w:r>
          </w:p>
        </w:tc>
      </w:tr>
      <w:tr>
        <w:tc>
          <w:p>
            <w:pPr>
              <w:pStyle w:val="Compact"/>
              <w:jc w:val="center"/>
            </w:pPr>
            <w:r>
              <w:t xml:space="preserve">4</w:t>
            </w:r>
          </w:p>
        </w:tc>
        <w:tc>
          <w:p>
            <w:pPr>
              <w:pStyle w:val="Compact"/>
              <w:jc w:val="center"/>
            </w:pPr>
            <w:r>
              <w:t xml:space="preserve">988.6</w:t>
            </w:r>
          </w:p>
        </w:tc>
        <w:tc>
          <w:p>
            <w:pPr>
              <w:pStyle w:val="Compact"/>
              <w:jc w:val="center"/>
            </w:pPr>
            <w:r>
              <w:t xml:space="preserve">3.853</w:t>
            </w:r>
          </w:p>
        </w:tc>
        <w:tc>
          <w:p>
            <w:pPr>
              <w:pStyle w:val="Compact"/>
              <w:jc w:val="center"/>
            </w:pPr>
            <w:r>
              <w:t xml:space="preserve">4.648</w:t>
            </w:r>
          </w:p>
        </w:tc>
        <w:tc>
          <w:p>
            <w:pPr>
              <w:pStyle w:val="Compact"/>
              <w:jc w:val="center"/>
            </w:pPr>
            <w:r>
              <w:t xml:space="preserve">1.164</w:t>
            </w:r>
          </w:p>
        </w:tc>
        <w:tc>
          <w:p>
            <w:pPr>
              <w:pStyle w:val="Compact"/>
              <w:jc w:val="center"/>
            </w:pPr>
            <w:r>
              <w:t xml:space="preserve">1.756</w:t>
            </w:r>
          </w:p>
        </w:tc>
      </w:tr>
      <w:tr>
        <w:tc>
          <w:p>
            <w:pPr>
              <w:pStyle w:val="Compact"/>
              <w:jc w:val="center"/>
            </w:pPr>
            <w:r>
              <w:t xml:space="preserve">5</w:t>
            </w:r>
          </w:p>
        </w:tc>
        <w:tc>
          <w:p>
            <w:pPr>
              <w:pStyle w:val="Compact"/>
              <w:jc w:val="center"/>
            </w:pPr>
            <w:r>
              <w:t xml:space="preserve">984.9</w:t>
            </w:r>
          </w:p>
        </w:tc>
        <w:tc>
          <w:p>
            <w:pPr>
              <w:pStyle w:val="Compact"/>
              <w:jc w:val="center"/>
            </w:pPr>
            <w:r>
              <w:t xml:space="preserve">4.653</w:t>
            </w:r>
          </w:p>
        </w:tc>
        <w:tc>
          <w:p>
            <w:pPr>
              <w:pStyle w:val="Compact"/>
              <w:jc w:val="center"/>
            </w:pPr>
            <w:r>
              <w:t xml:space="preserve">6.621</w:t>
            </w:r>
          </w:p>
        </w:tc>
        <w:tc>
          <w:p>
            <w:pPr>
              <w:pStyle w:val="Compact"/>
              <w:jc w:val="center"/>
            </w:pPr>
            <w:r>
              <w:t xml:space="preserve">1.411</w:t>
            </w:r>
          </w:p>
        </w:tc>
        <w:tc>
          <w:p>
            <w:pPr>
              <w:pStyle w:val="Compact"/>
              <w:jc w:val="center"/>
            </w:pPr>
            <w:r>
              <w:t xml:space="preserve">2.372</w:t>
            </w:r>
          </w:p>
        </w:tc>
      </w:tr>
    </w:tbl>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TableCaption"/>
      </w:pPr>
      <w:r>
        <w:t xml:space="preserve">Table 7: SHLIR model summary statistics; The final size of each population at the end of the simulation, along with the time the epidemic peak was reached, the number of infected at the epidemic peak and the duration of the epidemic (continued below)</w:t>
      </w:r>
    </w:p>
    <w:tbl>
      <w:tblPr>
        <w:tblStyle w:val="TableNormal"/>
        <w:tblW w:type="pct" w:w="5000.0"/>
        <w:tblLook w:firstRow="1"/>
        <w:tblCaption w:val="Table 7: SHLIR model summary statistics; The final size of each population at the end of the simulation, along with the time the epidemic peak was reached, the number of infected at the epidemic peak and the duration of the epidemic (continued below)"/>
      </w:tblPr>
      <w:tblGrid>
        <w:gridCol w:w="1584"/>
        <w:gridCol w:w="1584"/>
        <w:gridCol w:w="1584"/>
        <w:gridCol w:w="1584"/>
        <w:gridCol w:w="1584"/>
      </w:tblGrid>
      <w:tr>
        <w:trPr>
          <w:cnfStyle w:firstRow="1"/>
        </w:trPr>
        <w:tc>
          <w:tcPr>
            <w:tcBorders>
              <w:bottom w:val="single"/>
            </w:tcBorders>
            <w:vAlign w:val="bottom"/>
          </w:tcPr>
          <w:p>
            <w:pPr>
              <w:pStyle w:val="Compact"/>
              <w:jc w:val="center"/>
            </w:pPr>
            <w:r>
              <w:t xml:space="preserve">Final size: S</w:t>
            </w:r>
          </w:p>
        </w:tc>
        <w:tc>
          <w:tcPr>
            <w:tcBorders>
              <w:bottom w:val="single"/>
            </w:tcBorders>
            <w:vAlign w:val="bottom"/>
          </w:tcPr>
          <w:p>
            <w:pPr>
              <w:pStyle w:val="Compact"/>
              <w:jc w:val="center"/>
            </w:pPr>
            <w:r>
              <w:t xml:space="preserve">Final size: H</w:t>
            </w:r>
          </w:p>
        </w:tc>
        <w:tc>
          <w:tcPr>
            <w:tcBorders>
              <w:bottom w:val="single"/>
            </w:tcBorders>
            <w:vAlign w:val="bottom"/>
          </w:tcPr>
          <w:p>
            <w:pPr>
              <w:pStyle w:val="Compact"/>
              <w:jc w:val="center"/>
            </w:pPr>
            <w:r>
              <w:t xml:space="preserve">Final size: L</w:t>
            </w:r>
          </w:p>
        </w:tc>
        <w:tc>
          <w:tcPr>
            <w:tcBorders>
              <w:bottom w:val="single"/>
            </w:tcBorders>
            <w:vAlign w:val="bottom"/>
          </w:tcPr>
          <w:p>
            <w:pPr>
              <w:pStyle w:val="Compact"/>
              <w:jc w:val="center"/>
            </w:pPr>
            <w:r>
              <w:t xml:space="preserve">Final size: I</w:t>
            </w:r>
          </w:p>
        </w:tc>
        <w:tc>
          <w:tcPr>
            <w:tcBorders>
              <w:bottom w:val="single"/>
            </w:tcBorders>
            <w:vAlign w:val="bottom"/>
          </w:tcPr>
          <w:p>
            <w:pPr>
              <w:pStyle w:val="Compact"/>
              <w:jc w:val="center"/>
            </w:pPr>
            <w:r>
              <w:t xml:space="preserve">Final size: R</w:t>
            </w:r>
          </w:p>
        </w:tc>
      </w:tr>
      <w:tr>
        <w:tc>
          <w:p>
            <w:pPr>
              <w:pStyle w:val="Compact"/>
              <w:jc w:val="center"/>
            </w:pPr>
            <w:r>
              <w:t xml:space="preserve">238</w:t>
            </w:r>
          </w:p>
        </w:tc>
        <w:tc>
          <w:p>
            <w:pPr>
              <w:pStyle w:val="Compact"/>
              <w:jc w:val="center"/>
            </w:pPr>
            <w:r>
              <w:t xml:space="preserve">24</w:t>
            </w:r>
          </w:p>
        </w:tc>
        <w:tc>
          <w:p>
            <w:pPr>
              <w:pStyle w:val="Compact"/>
              <w:jc w:val="center"/>
            </w:pPr>
            <w:r>
              <w:t xml:space="preserve">194</w:t>
            </w:r>
          </w:p>
        </w:tc>
        <w:tc>
          <w:p>
            <w:pPr>
              <w:pStyle w:val="Compact"/>
              <w:jc w:val="center"/>
            </w:pPr>
            <w:r>
              <w:t xml:space="preserve">13</w:t>
            </w:r>
          </w:p>
        </w:tc>
        <w:tc>
          <w:p>
            <w:pPr>
              <w:pStyle w:val="Compact"/>
              <w:jc w:val="center"/>
            </w:pPr>
            <w:r>
              <w:t xml:space="preserve">531</w:t>
            </w:r>
          </w:p>
        </w:tc>
      </w:tr>
    </w:tbl>
    <w:tbl>
      <w:tblPr>
        <w:tblStyle w:val="TableNormal"/>
        <w:tblW w:type="pct" w:w="3888.8888888888882"/>
        <w:tblLook w:firstRow="1"/>
      </w:tblPr>
      <w:tblGrid>
        <w:gridCol w:w="2310"/>
        <w:gridCol w:w="1760"/>
        <w:gridCol w:w="2090"/>
      </w:tblGrid>
      <w:tr>
        <w:trPr>
          <w:cnfStyle w:firstRow="1"/>
        </w:trPr>
        <w:tc>
          <w:tcPr>
            <w:tcBorders>
              <w:bottom w:val="single"/>
            </w:tcBorders>
            <w:vAlign w:val="bottom"/>
          </w:tcPr>
          <w:p>
            <w:pPr>
              <w:pStyle w:val="Compact"/>
              <w:jc w:val="center"/>
            </w:pPr>
            <w:r>
              <w:t xml:space="preserve">Epidemic peak time</w:t>
            </w:r>
          </w:p>
        </w:tc>
        <w:tc>
          <w:tcPr>
            <w:tcBorders>
              <w:bottom w:val="single"/>
            </w:tcBorders>
            <w:vAlign w:val="bottom"/>
          </w:tcPr>
          <w:p>
            <w:pPr>
              <w:pStyle w:val="Compact"/>
              <w:jc w:val="center"/>
            </w:pPr>
            <w:r>
              <w:t xml:space="preserve">Epidemic peak</w:t>
            </w:r>
          </w:p>
        </w:tc>
        <w:tc>
          <w:tcPr>
            <w:tcBorders>
              <w:bottom w:val="single"/>
            </w:tcBorders>
            <w:vAlign w:val="bottom"/>
          </w:tcPr>
          <w:p>
            <w:pPr>
              <w:pStyle w:val="Compact"/>
              <w:jc w:val="center"/>
            </w:pPr>
            <w:r>
              <w:t xml:space="preserve">Epidemic duration</w:t>
            </w:r>
          </w:p>
        </w:tc>
      </w:tr>
      <w:tr>
        <w:tc>
          <w:p>
            <w:pPr>
              <w:pStyle w:val="Compact"/>
              <w:jc w:val="center"/>
            </w:pPr>
            <w:r>
              <w:t xml:space="preserve">32</w:t>
            </w:r>
          </w:p>
        </w:tc>
        <w:tc>
          <w:p>
            <w:pPr>
              <w:pStyle w:val="Compact"/>
              <w:jc w:val="center"/>
            </w:pPr>
            <w:r>
              <w:t xml:space="preserve">57</w:t>
            </w:r>
          </w:p>
        </w:tc>
        <w:tc>
          <w:p>
            <w:pPr>
              <w:pStyle w:val="Compact"/>
              <w:jc w:val="center"/>
            </w:pPr>
            <w:r>
              <w:t xml:space="preserve">1</w:t>
            </w:r>
          </w:p>
        </w:tc>
      </w:tr>
    </w:tbl>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5334000" cy="5334000"/>
            <wp:effectExtent b="0" l="0" r="0" t="0"/>
            <wp:docPr descr="Figure 3: Plot of the population in each SHLIR model compartment over time" title="" id="1" name="Picture"/>
            <a:graphic>
              <a:graphicData uri="http://schemas.openxmlformats.org/drawingml/2006/picture">
                <pic:pic>
                  <pic:nvPicPr>
                    <pic:cNvPr descr="/home/seabbs/biddmodellingcourse/vignettes/drafts/solutions/solutions-three/solutions-three_files/figure-docx/shlir-plot-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Plot of the population in each SHLIR model compartment over time</w:t>
      </w:r>
    </w:p>
    <w:p>
      <w:pPr>
        <w:pStyle w:val="Heading3"/>
      </w:pPr>
      <w:bookmarkStart w:id="40" w:name="explore-1"/>
      <w:bookmarkEnd w:id="40"/>
      <w:r>
        <w:t xml:space="preserve">Explore</w:t>
      </w:r>
    </w:p>
    <w:p>
      <w:pPr>
        <w:numPr>
          <w:numId w:val="1003"/>
          <w:ilvl w:val="0"/>
        </w:numPr>
      </w:pPr>
      <w:r>
        <w:t xml:space="preserve">Test your changes by setting</w:t>
      </w:r>
      <w:r>
        <w:t xml:space="preserve"> </w:t>
      </w:r>
      <w:r>
        <w:rPr>
          <w:rStyle w:val="VerbatimChar"/>
        </w:rPr>
        <w:t xml:space="preserve">nu = 0</w:t>
      </w:r>
      <w:r>
        <w:t xml:space="preserve"> </w:t>
      </w:r>
      <w:r>
        <w:t xml:space="preserve">and all other parameters to be the same as for the SEIR model. If everything is working correctly both models should give the same output.</w:t>
      </w:r>
    </w:p>
    <w:p>
      <w:pPr>
        <w:pStyle w:val="Compact"/>
        <w:numPr>
          <w:numId w:val="1004"/>
          <w:ilvl w:val="1"/>
        </w:numPr>
      </w:pPr>
      <w:r>
        <w:rPr>
          <w:b/>
        </w:rPr>
        <w:t xml:space="preserve">The SEIR and SHLIR models should give the same result.</w:t>
      </w:r>
    </w:p>
    <w:p>
      <w:pPr>
        <w:pStyle w:val="Compact"/>
        <w:numPr>
          <w:numId w:val="1004"/>
          <w:ilvl w:val="1"/>
        </w:numPr>
      </w:pPr>
      <w:r>
        <w:rPr>
          <w:b/>
        </w:rPr>
        <w:t xml:space="preserve">This works because when</w:t>
      </w:r>
      <w:r>
        <w:rPr>
          <w:b/>
        </w:rPr>
        <w:t xml:space="preserve"> </w:t>
      </w:r>
      <w:r>
        <w:rPr>
          <w:rStyle w:val="VerbatimChar"/>
          <w:b/>
        </w:rPr>
        <w:t xml:space="preserve">nu = 0</w:t>
      </w:r>
      <w:r>
        <w:rPr>
          <w:b/>
        </w:rPr>
        <w:t xml:space="preserve"> </w:t>
      </w:r>
      <w:r>
        <w:rPr>
          <w:b/>
        </w:rPr>
        <w:t xml:space="preserve">no one enters the low risk latent population compartment and therefore it has no effect.</w:t>
      </w:r>
    </w:p>
    <w:p>
      <w:pPr>
        <w:numPr>
          <w:numId w:val="1003"/>
          <w:ilvl w:val="0"/>
        </w:numPr>
      </w:pPr>
      <w:r>
        <w:t xml:space="preserve">Can you alter the parameters defined above to answer the questions for the SHLIR model from practical 2?</w:t>
      </w:r>
    </w:p>
    <w:p>
      <w:pPr>
        <w:pStyle w:val="Heading2"/>
      </w:pPr>
      <w:bookmarkStart w:id="41" w:name="translate-a-more-realistic-shlir-model-flow-diagram-to-equations"/>
      <w:bookmarkEnd w:id="41"/>
      <w:r>
        <w:t xml:space="preserve">3. Translate a more realistic SHLIR model flow diagram to equations</w:t>
      </w:r>
    </w:p>
    <w:p>
      <w:pPr>
        <w:pStyle w:val="FirstParagraph"/>
      </w:pPr>
      <w:r>
        <w:t xml:space="preserve">As a more advanced exercise (</w:t>
      </w:r>
      <w:r>
        <w:rPr>
          <w:i/>
        </w:rPr>
        <w:t xml:space="preserve">feel free to skip this if wanting to design your own model now</w:t>
      </w:r>
      <w:r>
        <w:t xml:space="preserve">) we now translate the more complex SHLIR model into code. Look back at practical 2 for a refresher on the structure of this model.</w:t>
      </w:r>
    </w:p>
    <w:p>
      <w:pPr>
        <w:pStyle w:val="Heading3"/>
      </w:pPr>
      <w:bookmarkStart w:id="42" w:name="populations-and-initialisation-2"/>
      <w:bookmarkEnd w:id="42"/>
      <w:r>
        <w:t xml:space="preserve">Populations and Initialisation</w:t>
      </w:r>
    </w:p>
    <w:p>
      <w:pPr>
        <w:pStyle w:val="FirstParagraph"/>
      </w:pPr>
      <w:r>
        <w:t xml:space="preserve">The new populations have been added for you. The population has now been split between low and high risk populations, with the only infectious case being in the high risk population.</w:t>
      </w:r>
    </w:p>
    <w:p>
      <w:pPr>
        <w:pStyle w:val="SourceCode"/>
      </w:pPr>
      <w:r>
        <w:rPr>
          <w:rStyle w:val="NormalTok"/>
        </w:rPr>
        <w:t xml:space="preserve">real_SHLIR_inits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mmentTok"/>
        </w:rPr>
        <w:t xml:space="preserve"># General population</w:t>
      </w:r>
      <w:r>
        <w:br w:type="textWrapping"/>
      </w:r>
      <w:r>
        <w:rPr>
          <w:rStyle w:val="NormalTok"/>
        </w:rPr>
        <w:t xml:space="preserve">  </w:t>
      </w:r>
      <w:r>
        <w:rPr>
          <w:rStyle w:val="DataTypeTok"/>
        </w:rPr>
        <w:t xml:space="preserve">S =</w:t>
      </w:r>
      <w:r>
        <w:rPr>
          <w:rStyle w:val="NormalTok"/>
        </w:rPr>
        <w:t xml:space="preserve"> </w:t>
      </w:r>
      <w:r>
        <w:rPr>
          <w:rStyle w:val="DecValTok"/>
        </w:rPr>
        <w:t xml:space="preserve">800</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Tr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rPr>
          <w:rStyle w:val="NormalTok"/>
        </w:rPr>
        <w:t xml:space="preserve">,</w:t>
      </w:r>
      <w:r>
        <w:br w:type="textWrapping"/>
      </w:r>
      <w:r>
        <w:rPr>
          <w:rStyle w:val="NormalTok"/>
        </w:rPr>
        <w:t xml:space="preserve">  ## High risk population</w:t>
      </w:r>
      <w:r>
        <w:br w:type="textWrapping"/>
      </w:r>
      <w:r>
        <w:rPr>
          <w:rStyle w:val="NormalTok"/>
        </w:rPr>
        <w:t xml:space="preserve">  </w:t>
      </w:r>
      <w:r>
        <w:rPr>
          <w:rStyle w:val="DataTypeTok"/>
        </w:rPr>
        <w:t xml:space="preserve">S_H =</w:t>
      </w:r>
      <w:r>
        <w:rPr>
          <w:rStyle w:val="NormalTok"/>
        </w:rPr>
        <w:t xml:space="preserve"> </w:t>
      </w:r>
      <w:r>
        <w:rPr>
          <w:rStyle w:val="DecValTok"/>
        </w:rPr>
        <w:t xml:space="preserve">199</w:t>
      </w:r>
      <w:r>
        <w:rPr>
          <w:rStyle w:val="NormalTok"/>
        </w:rPr>
        <w:t xml:space="preserve">,</w:t>
      </w:r>
      <w:r>
        <w:br w:type="textWrapping"/>
      </w:r>
      <w:r>
        <w:rPr>
          <w:rStyle w:val="NormalTok"/>
        </w:rPr>
        <w:t xml:space="preserve">  </w:t>
      </w:r>
      <w:r>
        <w:rPr>
          <w:rStyle w:val="DataTypeTok"/>
        </w:rPr>
        <w:t xml:space="preserve">H_H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I_H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Tr_H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R_H =</w:t>
      </w:r>
      <w:r>
        <w:rPr>
          <w:rStyle w:val="NormalTok"/>
        </w:rPr>
        <w:t xml:space="preserve"> </w:t>
      </w:r>
      <w:r>
        <w:rPr>
          <w:rStyle w:val="DecValTok"/>
        </w:rPr>
        <w:t xml:space="preserve">0</w:t>
      </w:r>
      <w:r>
        <w:br w:type="textWrapping"/>
      </w:r>
      <w:r>
        <w:rPr>
          <w:rStyle w:val="NormalTok"/>
        </w:rPr>
        <w:t xml:space="preserve">)</w:t>
      </w:r>
    </w:p>
    <w:p>
      <w:pPr>
        <w:pStyle w:val="Heading3"/>
      </w:pPr>
      <w:bookmarkStart w:id="43" w:name="parameters-2"/>
      <w:bookmarkEnd w:id="43"/>
      <w:r>
        <w:t xml:space="preserve">Parameters</w:t>
      </w:r>
    </w:p>
    <w:p>
      <w:pPr>
        <w:pStyle w:val="FirstParagraph"/>
      </w:pPr>
      <w:r>
        <w:t xml:space="preserve">The required model parameters have been defined for you (with the units being years</w:t>
      </w:r>
      <w:r>
        <w:rPr>
          <w:vertAlign w:val="superscript"/>
        </w:rPr>
        <w:t xml:space="preserve">-1</w:t>
      </w:r>
      <w:r>
        <w:t xml:space="preserve">). The only new parameters are the between group mixing (</w:t>
      </w:r>
      <w:r>
        <w:rPr>
          <w:rStyle w:val="VerbatimChar"/>
        </w:rPr>
        <w:t xml:space="preserve">M</w:t>
      </w:r>
      <w:r>
        <w:t xml:space="preserve">), the proportion that are born high risk (</w:t>
      </w:r>
      <w:r>
        <w:rPr>
          <w:rStyle w:val="VerbatimChar"/>
        </w:rPr>
        <w:t xml:space="preserve">p</w:t>
      </w:r>
      <w:r>
        <w:t xml:space="preserve">), and the transmission probability in those considered to be high risk (</w:t>
      </w:r>
      <w:r>
        <w:rPr>
          <w:rStyle w:val="VerbatimChar"/>
        </w:rPr>
        <w:t xml:space="preserve">beta_H</w:t>
      </w:r>
      <w:r>
        <w:t xml:space="preserve">).</w:t>
      </w:r>
    </w:p>
    <w:p>
      <w:pPr>
        <w:pStyle w:val="SourceCode"/>
      </w:pPr>
      <w:r>
        <w:rPr>
          <w:rStyle w:val="NormalTok"/>
        </w:rPr>
        <w:t xml:space="preserve">real_SHLIR_parameters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beta_H =</w:t>
      </w:r>
      <w:r>
        <w:rPr>
          <w:rStyle w:val="NormalTok"/>
        </w:rPr>
        <w:t xml:space="preserve"> </w:t>
      </w:r>
      <w:r>
        <w:rPr>
          <w:rStyle w:val="DecValTok"/>
        </w:rPr>
        <w:t xml:space="preserve">6</w:t>
      </w:r>
      <w:r>
        <w:rPr>
          <w:rStyle w:val="NormalTok"/>
        </w:rPr>
        <w:t xml:space="preserve">, </w:t>
      </w:r>
      <w:r>
        <w:rPr>
          <w:rStyle w:val="CommentTok"/>
        </w:rPr>
        <w:t xml:space="preserve"># High risk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epsilon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Rate of treatment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  </w:t>
      </w:r>
      <w:r>
        <w:rPr>
          <w:rStyle w:val="DataTypeTok"/>
        </w:rPr>
        <w:t xml:space="preserve">p =</w:t>
      </w:r>
      <w:r>
        <w:rPr>
          <w:rStyle w:val="NormalTok"/>
        </w:rPr>
        <w:t xml:space="preserve"> </w:t>
      </w:r>
      <w:r>
        <w:rPr>
          <w:rStyle w:val="FloatTok"/>
        </w:rPr>
        <w:t xml:space="preserve">0.2</w:t>
      </w:r>
      <w:r>
        <w:rPr>
          <w:rStyle w:val="NormalTok"/>
        </w:rPr>
        <w:t xml:space="preserve">, </w:t>
      </w:r>
      <w:r>
        <w:rPr>
          <w:rStyle w:val="CommentTok"/>
        </w:rPr>
        <w:t xml:space="preserve"># proportion of new births that are high risk</w:t>
      </w:r>
      <w:r>
        <w:br w:type="textWrapping"/>
      </w:r>
      <w:r>
        <w:rPr>
          <w:rStyle w:val="NormalTok"/>
        </w:rPr>
        <w:t xml:space="preserve">  </w:t>
      </w:r>
      <w:r>
        <w:rPr>
          <w:rStyle w:val="DataTypeTok"/>
        </w:rPr>
        <w:t xml:space="preserve">M =</w:t>
      </w:r>
      <w:r>
        <w:rPr>
          <w:rStyle w:val="NormalTok"/>
        </w:rPr>
        <w:t xml:space="preserve"> </w:t>
      </w:r>
      <w:r>
        <w:rPr>
          <w:rStyle w:val="FloatTok"/>
        </w:rPr>
        <w:t xml:space="preserve">0.2</w:t>
      </w:r>
      <w:r>
        <w:rPr>
          <w:rStyle w:val="NormalTok"/>
        </w:rPr>
        <w:t xml:space="preserve"> </w:t>
      </w:r>
      <w:r>
        <w:rPr>
          <w:rStyle w:val="CommentTok"/>
        </w:rPr>
        <w:t xml:space="preserve"># Between group mixing</w:t>
      </w:r>
      <w:r>
        <w:br w:type="textWrapping"/>
      </w:r>
      <w:r>
        <w:rPr>
          <w:rStyle w:val="NormalTok"/>
        </w:rPr>
        <w:t xml:space="preserve">)</w:t>
      </w:r>
    </w:p>
    <w:p>
      <w:pPr>
        <w:pStyle w:val="Heading3"/>
      </w:pPr>
      <w:bookmarkStart w:id="44" w:name="equations-2"/>
      <w:bookmarkEnd w:id="44"/>
      <w:r>
        <w:t xml:space="preserve">Equations</w:t>
      </w:r>
    </w:p>
    <w:p>
      <w:pPr>
        <w:pStyle w:val="FirstParagraph"/>
      </w:pPr>
      <w:r>
        <w:t xml:space="preserve">Update the model equations using the model flow diagram above. The comments in the code given hints as to where changes need to be made. The equations for the low risk population have been provided for you.</w:t>
      </w:r>
    </w:p>
    <w:p>
      <w:pPr>
        <w:pStyle w:val="SourceCode"/>
      </w:pPr>
      <w:r>
        <w:rPr>
          <w:rStyle w:val="NormalTok"/>
        </w:rPr>
        <w:t xml:space="preserve">real_SHLIR_demo_ode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 </w:t>
      </w:r>
      <w:r>
        <w:br w:type="textWrapping"/>
      </w:r>
      <w:r>
        <w:rPr>
          <w:rStyle w:val="NormalTok"/>
        </w:rPr>
        <w:t xml:space="preserve">  ## The compartments for the low risk population have been provided </w:t>
      </w:r>
      <w:r>
        <w:br w:type="textWrapping"/>
      </w:r>
      <w:r>
        <w:rPr>
          <w:rStyle w:val="NormalTok"/>
        </w:rPr>
        <w:t xml:space="preserve">  ## Add the high risk population</w:t>
      </w:r>
      <w:r>
        <w:br w:type="textWrapping"/>
      </w:r>
      <w:r>
        <w:rPr>
          <w:rStyle w:val="NormalTok"/>
        </w:rPr>
        <w:t xml:space="preserve">  ## Don't forget to update indexing for x. Compare the previous two models for a hint.</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Tr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6</w:t>
      </w:r>
      <w:r>
        <w:rPr>
          <w:rStyle w:val="NormalTok"/>
        </w:rPr>
        <w:t xml:space="preserve">]</w:t>
      </w:r>
      <w:r>
        <w:br w:type="textWrapping"/>
      </w:r>
      <w:r>
        <w:rPr>
          <w:rStyle w:val="NormalTok"/>
        </w:rPr>
        <w:t xml:space="preserve">  </w:t>
      </w:r>
      <w:r>
        <w:br w:type="textWrapping"/>
      </w:r>
      <w:r>
        <w:rPr>
          <w:rStyle w:val="NormalTok"/>
        </w:rPr>
        <w:t xml:space="preserve">  S_H &lt;-</w:t>
      </w:r>
      <w:r>
        <w:rPr>
          <w:rStyle w:val="StringTok"/>
        </w:rPr>
        <w:t xml:space="preserve"> </w:t>
      </w:r>
      <w:r>
        <w:rPr>
          <w:rStyle w:val="NormalTok"/>
        </w:rPr>
        <w:t xml:space="preserve">x[</w:t>
      </w:r>
      <w:r>
        <w:rPr>
          <w:rStyle w:val="DecValTok"/>
        </w:rPr>
        <w:t xml:space="preserve">7</w:t>
      </w:r>
      <w:r>
        <w:rPr>
          <w:rStyle w:val="NormalTok"/>
        </w:rPr>
        <w:t xml:space="preserve">]</w:t>
      </w:r>
      <w:r>
        <w:br w:type="textWrapping"/>
      </w:r>
      <w:r>
        <w:rPr>
          <w:rStyle w:val="NormalTok"/>
        </w:rPr>
        <w:t xml:space="preserve">  H_H &lt;-</w:t>
      </w:r>
      <w:r>
        <w:rPr>
          <w:rStyle w:val="StringTok"/>
        </w:rPr>
        <w:t xml:space="preserve"> </w:t>
      </w:r>
      <w:r>
        <w:rPr>
          <w:rStyle w:val="NormalTok"/>
        </w:rPr>
        <w:t xml:space="preserve">x[</w:t>
      </w:r>
      <w:r>
        <w:rPr>
          <w:rStyle w:val="DecValTok"/>
        </w:rPr>
        <w:t xml:space="preserve">8</w:t>
      </w:r>
      <w:r>
        <w:rPr>
          <w:rStyle w:val="NormalTok"/>
        </w:rPr>
        <w:t xml:space="preserve">]</w:t>
      </w:r>
      <w:r>
        <w:br w:type="textWrapping"/>
      </w:r>
      <w:r>
        <w:rPr>
          <w:rStyle w:val="NormalTok"/>
        </w:rPr>
        <w:t xml:space="preserve">  L_H &lt;-</w:t>
      </w:r>
      <w:r>
        <w:rPr>
          <w:rStyle w:val="StringTok"/>
        </w:rPr>
        <w:t xml:space="preserve"> </w:t>
      </w:r>
      <w:r>
        <w:rPr>
          <w:rStyle w:val="NormalTok"/>
        </w:rPr>
        <w:t xml:space="preserve">x[</w:t>
      </w:r>
      <w:r>
        <w:rPr>
          <w:rStyle w:val="DecValTok"/>
        </w:rPr>
        <w:t xml:space="preserve">9</w:t>
      </w:r>
      <w:r>
        <w:rPr>
          <w:rStyle w:val="NormalTok"/>
        </w:rPr>
        <w:t xml:space="preserve">]</w:t>
      </w:r>
      <w:r>
        <w:br w:type="textWrapping"/>
      </w:r>
      <w:r>
        <w:rPr>
          <w:rStyle w:val="NormalTok"/>
        </w:rPr>
        <w:t xml:space="preserve">  I_H &lt;-</w:t>
      </w:r>
      <w:r>
        <w:rPr>
          <w:rStyle w:val="StringTok"/>
        </w:rPr>
        <w:t xml:space="preserve"> </w:t>
      </w:r>
      <w:r>
        <w:rPr>
          <w:rStyle w:val="NormalTok"/>
        </w:rPr>
        <w:t xml:space="preserve">x[</w:t>
      </w:r>
      <w:r>
        <w:rPr>
          <w:rStyle w:val="DecValTok"/>
        </w:rPr>
        <w:t xml:space="preserve">10</w:t>
      </w:r>
      <w:r>
        <w:rPr>
          <w:rStyle w:val="NormalTok"/>
        </w:rPr>
        <w:t xml:space="preserve">]</w:t>
      </w:r>
      <w:r>
        <w:br w:type="textWrapping"/>
      </w:r>
      <w:r>
        <w:rPr>
          <w:rStyle w:val="NormalTok"/>
        </w:rPr>
        <w:t xml:space="preserve">  Tr_H &lt;-</w:t>
      </w:r>
      <w:r>
        <w:rPr>
          <w:rStyle w:val="StringTok"/>
        </w:rPr>
        <w:t xml:space="preserve"> </w:t>
      </w:r>
      <w:r>
        <w:rPr>
          <w:rStyle w:val="NormalTok"/>
        </w:rPr>
        <w:t xml:space="preserve">x[</w:t>
      </w:r>
      <w:r>
        <w:rPr>
          <w:rStyle w:val="DecValTok"/>
        </w:rPr>
        <w:t xml:space="preserve">11</w:t>
      </w:r>
      <w:r>
        <w:rPr>
          <w:rStyle w:val="NormalTok"/>
        </w:rPr>
        <w:t xml:space="preserve">]</w:t>
      </w:r>
      <w:r>
        <w:br w:type="textWrapping"/>
      </w:r>
      <w:r>
        <w:rPr>
          <w:rStyle w:val="NormalTok"/>
        </w:rPr>
        <w:t xml:space="preserve">  R_H &lt;-</w:t>
      </w:r>
      <w:r>
        <w:rPr>
          <w:rStyle w:val="StringTok"/>
        </w:rPr>
        <w:t xml:space="preserve"> </w:t>
      </w:r>
      <w:r>
        <w:rPr>
          <w:rStyle w:val="NormalTok"/>
        </w:rPr>
        <w:t xml:space="preserve">x[</w:t>
      </w:r>
      <w:r>
        <w:rPr>
          <w:rStyle w:val="DecValTok"/>
        </w:rPr>
        <w:t xml:space="preserve">12</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R_H</w:t>
      </w:r>
      <w:r>
        <w:br w:type="textWrapping"/>
      </w:r>
      <w:r>
        <w:br w:type="textWrapping"/>
      </w:r>
      <w:r>
        <w:rPr>
          <w:rStyle w:val="NormalTok"/>
        </w:rPr>
        <w:t xml:space="preserve">    ## Force of infection</w:t>
      </w:r>
      <w:r>
        <w:br w:type="textWrapping"/>
      </w:r>
      <w:r>
        <w:rPr>
          <w:rStyle w:val="NormalTok"/>
        </w:rPr>
        <w:t xml:space="preserve">    ## The force of infetion in the low risk population has been provided for you</w:t>
      </w:r>
      <w:r>
        <w:br w:type="textWrapping"/>
      </w:r>
      <w:r>
        <w:rPr>
          <w:rStyle w:val="NormalTok"/>
        </w:rPr>
        <w:t xml:space="preserve">    foi &lt;-</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beta_H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N </w:t>
      </w:r>
      <w:r>
        <w:br w:type="textWrapping"/>
      </w:r>
      <w:r>
        <w:rPr>
          <w:rStyle w:val="NormalTok"/>
        </w:rPr>
        <w:t xml:space="preserve">    ## Add the high risk force of infection here</w:t>
      </w:r>
      <w:r>
        <w:br w:type="textWrapping"/>
      </w:r>
      <w:r>
        <w:rPr>
          <w:rStyle w:val="NormalTok"/>
        </w:rPr>
        <w:t xml:space="preserve">    foi_H &lt;-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beta_H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N </w:t>
      </w:r>
      <w:r>
        <w:br w:type="textWrapping"/>
      </w:r>
      <w:r>
        <w:rPr>
          <w:rStyle w:val="NormalTok"/>
        </w:rPr>
        <w:t xml:space="preserve">    </w:t>
      </w:r>
      <w:r>
        <w:br w:type="textWrapping"/>
      </w:r>
      <w:r>
        <w:rPr>
          <w:rStyle w:val="NormalTok"/>
        </w:rPr>
        <w:t xml:space="preserve">    ## Derivative Expressions</w:t>
      </w:r>
      <w:r>
        <w:br w:type="textWrapping"/>
      </w:r>
      <w:r>
        <w:rPr>
          <w:rStyle w:val="NormalTok"/>
        </w:rPr>
        <w:t xml:space="preserve">    ## General population - provided for you</w:t>
      </w:r>
      <w:r>
        <w:br w:type="textWrapping"/>
      </w:r>
      <w:r>
        <w:rPr>
          <w:rStyle w:val="NormalTok"/>
        </w:rPr>
        <w:t xml:space="preserve">    ## Compare these equations from those used for the previous models</w:t>
      </w:r>
      <w:r>
        <w:br w:type="textWrapping"/>
      </w:r>
      <w:r>
        <w:rPr>
          <w:rStyle w:val="NormalTok"/>
        </w:rPr>
        <w:t xml:space="preserve">    dS =</w:t>
      </w:r>
      <w:r>
        <w:rPr>
          <w:rStyle w:val="StringTok"/>
        </w:rPr>
        <w:t xml:space="preserve"> </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dH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w:t>
      </w:r>
      <w:r>
        <w:br w:type="textWrapping"/>
      </w:r>
      <w:r>
        <w:rPr>
          <w:rStyle w:val="NormalTok"/>
        </w:rPr>
        <w:t xml:space="preserve">    dL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w:t>
      </w:r>
      <w:r>
        <w:br w:type="textWrapping"/>
      </w:r>
      <w:r>
        <w:rPr>
          <w:rStyle w:val="NormalTok"/>
        </w:rPr>
        <w:t xml:space="preserve">    dI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dTr =</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Tr</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br w:type="textWrapping"/>
      </w:r>
      <w:r>
        <w:rPr>
          <w:rStyle w:val="NormalTok"/>
        </w:rPr>
        <w:t xml:space="preserve">    ## High risk population</w:t>
      </w:r>
      <w:r>
        <w:br w:type="textWrapping"/>
      </w:r>
      <w:r>
        <w:rPr>
          <w:rStyle w:val="NormalTok"/>
        </w:rPr>
        <w:t xml:space="preserve">    ## Copy the equations used above for the low risk population</w:t>
      </w:r>
      <w:r>
        <w:br w:type="textWrapping"/>
      </w:r>
      <w:r>
        <w:rPr>
          <w:rStyle w:val="NormalTok"/>
        </w:rPr>
        <w:t xml:space="preserve">    ## Convert them to be in the high risk population</w:t>
      </w:r>
      <w:r>
        <w:br w:type="textWrapping"/>
      </w:r>
      <w:r>
        <w:rPr>
          <w:rStyle w:val="NormalTok"/>
        </w:rPr>
        <w:t xml:space="preserve">    dS_H =</w:t>
      </w:r>
      <w:r>
        <w:rPr>
          <w:rStyle w:val="StringTok"/>
        </w:rPr>
        <w:t xml:space="preserve"> </w:t>
      </w:r>
      <w:r>
        <w:rPr>
          <w:rStyle w:val="OperatorTok"/>
        </w:rPr>
        <w:t xml:space="preserve">-</w:t>
      </w:r>
      <w:r>
        <w:rPr>
          <w:rStyle w:val="NormalTok"/>
        </w:rPr>
        <w:t xml:space="preserve">S_H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dH_H =</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R_H)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H_H</w:t>
      </w:r>
      <w:r>
        <w:br w:type="textWrapping"/>
      </w:r>
      <w:r>
        <w:rPr>
          <w:rStyle w:val="NormalTok"/>
        </w:rPr>
        <w:t xml:space="preserve">    dL_H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L_H</w:t>
      </w:r>
      <w:r>
        <w:br w:type="textWrapping"/>
      </w:r>
      <w:r>
        <w:rPr>
          <w:rStyle w:val="NormalTok"/>
        </w:rPr>
        <w:t xml:space="preserve">    dI_H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I_H</w:t>
      </w:r>
      <w:r>
        <w:br w:type="textWrapping"/>
      </w:r>
      <w:r>
        <w:rPr>
          <w:rStyle w:val="NormalTok"/>
        </w:rPr>
        <w:t xml:space="preserve">    dTr_H =</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Tr_H</w:t>
      </w:r>
      <w:r>
        <w:br w:type="textWrapping"/>
      </w:r>
      <w:r>
        <w:rPr>
          <w:rStyle w:val="NormalTok"/>
        </w:rPr>
        <w:t xml:space="preserve">    dR_H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R_H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R_H</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dTr, dR, dS_H, dH_H, dL_H, dI_H, dTr_H, dR_H)</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45" w:name="simulate-and-summarise-2"/>
      <w:bookmarkEnd w:id="45"/>
      <w:r>
        <w:t xml:space="preserve">Simulate and Summarise</w:t>
      </w:r>
    </w:p>
    <w:p>
      <w:pPr>
        <w:pStyle w:val="FirstParagraph"/>
      </w:pPr>
      <w:r>
        <w:t xml:space="preserve">Simulate the new model as previously.</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real_SHLIR_times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real_SHLIR_sim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real_SHLIR_demo_ode, </w:t>
      </w:r>
      <w:r>
        <w:br w:type="textWrapping"/>
      </w:r>
      <w:r>
        <w:rPr>
          <w:rStyle w:val="NormalTok"/>
        </w:rPr>
        <w:t xml:space="preserve">                                           </w:t>
      </w:r>
      <w:r>
        <w:rPr>
          <w:rStyle w:val="DataTypeTok"/>
        </w:rPr>
        <w:t xml:space="preserve">inits =</w:t>
      </w:r>
      <w:r>
        <w:rPr>
          <w:rStyle w:val="NormalTok"/>
        </w:rPr>
        <w:t xml:space="preserve"> real_SHLIR_inits, </w:t>
      </w:r>
      <w:r>
        <w:br w:type="textWrapping"/>
      </w:r>
      <w:r>
        <w:rPr>
          <w:rStyle w:val="NormalTok"/>
        </w:rPr>
        <w:t xml:space="preserve">                                           </w:t>
      </w:r>
      <w:r>
        <w:rPr>
          <w:rStyle w:val="DataTypeTok"/>
        </w:rPr>
        <w:t xml:space="preserve">params =</w:t>
      </w:r>
      <w:r>
        <w:rPr>
          <w:rStyle w:val="NormalTok"/>
        </w:rPr>
        <w:t xml:space="preserve"> real_SHLIR_parameters,</w:t>
      </w:r>
      <w:r>
        <w:br w:type="textWrapping"/>
      </w:r>
      <w:r>
        <w:rPr>
          <w:rStyle w:val="NormalTok"/>
        </w:rPr>
        <w:t xml:space="preserve">                                           </w:t>
      </w:r>
      <w:r>
        <w:rPr>
          <w:rStyle w:val="DataTypeTok"/>
        </w:rPr>
        <w:t xml:space="preserve">times =</w:t>
      </w:r>
      <w:r>
        <w:rPr>
          <w:rStyle w:val="NormalTok"/>
        </w:rPr>
        <w:t xml:space="preserve"> real_SHLIR_times,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"tab-real_SHLIR"</w:t>
      </w:r>
      <w:r>
        <w:rPr>
          <w:rStyle w:val="NormalTok"/>
        </w:rPr>
        <w:t xml:space="preserve">)</w:t>
      </w:r>
    </w:p>
    <w:p>
      <w:pPr>
        <w:pStyle w:val="TableCaption"/>
      </w:pPr>
      <w:r>
        <w:t xml:space="preserve">Table 4: First 5 years of model simulation (continued below)</w:t>
      </w:r>
    </w:p>
    <w:tbl>
      <w:tblPr>
        <w:tblStyle w:val="TableNormal"/>
        <w:tblW w:type="pct" w:w="4999.999999999999"/>
        <w:tblLook w:firstRow="1"/>
        <w:tblCaption w:val="Table 4: First 5 years of model simulation (continued below)"/>
      </w:tblPr>
      <w:tblGrid>
        <w:gridCol w:w="759"/>
        <w:gridCol w:w="867"/>
        <w:gridCol w:w="976"/>
        <w:gridCol w:w="976"/>
        <w:gridCol w:w="1084"/>
        <w:gridCol w:w="1193"/>
        <w:gridCol w:w="1301"/>
        <w:gridCol w:w="759"/>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L</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Tr</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S_H</w:t>
            </w:r>
          </w:p>
        </w:tc>
      </w:tr>
      <w:tr>
        <w:tc>
          <w:p>
            <w:pPr>
              <w:pStyle w:val="Compact"/>
              <w:jc w:val="center"/>
            </w:pPr>
            <w:r>
              <w:t xml:space="preserve">0</w:t>
            </w:r>
          </w:p>
        </w:tc>
        <w:tc>
          <w:p>
            <w:pPr>
              <w:pStyle w:val="Compact"/>
              <w:jc w:val="center"/>
            </w:pPr>
            <w:r>
              <w:t xml:space="preserve">800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199</w:t>
            </w:r>
          </w:p>
        </w:tc>
      </w:tr>
      <w:tr>
        <w:tc>
          <w:p>
            <w:pPr>
              <w:pStyle w:val="Compact"/>
              <w:jc w:val="center"/>
            </w:pPr>
            <w:r>
              <w:t xml:space="preserve">1</w:t>
            </w:r>
          </w:p>
        </w:tc>
        <w:tc>
          <w:p>
            <w:pPr>
              <w:pStyle w:val="Compact"/>
              <w:jc w:val="center"/>
            </w:pPr>
            <w:r>
              <w:t xml:space="preserve">799.1</w:t>
            </w:r>
          </w:p>
        </w:tc>
        <w:tc>
          <w:p>
            <w:pPr>
              <w:pStyle w:val="Compact"/>
              <w:jc w:val="center"/>
            </w:pPr>
            <w:r>
              <w:t xml:space="preserve">0.6388</w:t>
            </w:r>
          </w:p>
        </w:tc>
        <w:tc>
          <w:p>
            <w:pPr>
              <w:pStyle w:val="Compact"/>
              <w:jc w:val="center"/>
            </w:pPr>
            <w:r>
              <w:t xml:space="preserve">0.1786</w:t>
            </w:r>
          </w:p>
        </w:tc>
        <w:tc>
          <w:p>
            <w:pPr>
              <w:pStyle w:val="Compact"/>
              <w:jc w:val="center"/>
            </w:pPr>
            <w:r>
              <w:t xml:space="preserve">0.06452</w:t>
            </w:r>
          </w:p>
        </w:tc>
        <w:tc>
          <w:p>
            <w:pPr>
              <w:pStyle w:val="Compact"/>
              <w:jc w:val="center"/>
            </w:pPr>
            <w:r>
              <w:t xml:space="preserve">0.006904</w:t>
            </w:r>
          </w:p>
        </w:tc>
        <w:tc>
          <w:p>
            <w:pPr>
              <w:pStyle w:val="Compact"/>
              <w:jc w:val="center"/>
            </w:pPr>
            <w:r>
              <w:t xml:space="preserve">0.0009364</w:t>
            </w:r>
          </w:p>
        </w:tc>
        <w:tc>
          <w:p>
            <w:pPr>
              <w:pStyle w:val="Compact"/>
              <w:jc w:val="center"/>
            </w:pPr>
            <w:r>
              <w:t xml:space="preserve">198</w:t>
            </w:r>
          </w:p>
        </w:tc>
      </w:tr>
      <w:tr>
        <w:tc>
          <w:p>
            <w:pPr>
              <w:pStyle w:val="Compact"/>
              <w:jc w:val="center"/>
            </w:pPr>
            <w:r>
              <w:t xml:space="preserve">2</w:t>
            </w:r>
          </w:p>
        </w:tc>
        <w:tc>
          <w:p>
            <w:pPr>
              <w:pStyle w:val="Compact"/>
              <w:jc w:val="center"/>
            </w:pPr>
            <w:r>
              <w:t xml:space="preserve">798.1</w:t>
            </w:r>
          </w:p>
        </w:tc>
        <w:tc>
          <w:p>
            <w:pPr>
              <w:pStyle w:val="Compact"/>
              <w:jc w:val="center"/>
            </w:pPr>
            <w:r>
              <w:t xml:space="preserve">1.048</w:t>
            </w:r>
          </w:p>
        </w:tc>
        <w:tc>
          <w:p>
            <w:pPr>
              <w:pStyle w:val="Compact"/>
              <w:jc w:val="center"/>
            </w:pPr>
            <w:r>
              <w:t xml:space="preserve">0.5935</w:t>
            </w:r>
          </w:p>
        </w:tc>
        <w:tc>
          <w:p>
            <w:pPr>
              <w:pStyle w:val="Compact"/>
              <w:jc w:val="center"/>
            </w:pPr>
            <w:r>
              <w:t xml:space="preserve">0.1941</w:t>
            </w:r>
          </w:p>
        </w:tc>
        <w:tc>
          <w:p>
            <w:pPr>
              <w:pStyle w:val="Compact"/>
              <w:jc w:val="center"/>
            </w:pPr>
            <w:r>
              <w:t xml:space="preserve">0.03844</w:t>
            </w:r>
          </w:p>
        </w:tc>
        <w:tc>
          <w:p>
            <w:pPr>
              <w:pStyle w:val="Compact"/>
              <w:jc w:val="center"/>
            </w:pPr>
            <w:r>
              <w:t xml:space="preserve">0.01108</w:t>
            </w:r>
          </w:p>
        </w:tc>
        <w:tc>
          <w:p>
            <w:pPr>
              <w:pStyle w:val="Compact"/>
              <w:jc w:val="center"/>
            </w:pPr>
            <w:r>
              <w:t xml:space="preserve">197.1</w:t>
            </w:r>
          </w:p>
        </w:tc>
      </w:tr>
      <w:tr>
        <w:tc>
          <w:p>
            <w:pPr>
              <w:pStyle w:val="Compact"/>
              <w:jc w:val="center"/>
            </w:pPr>
            <w:r>
              <w:t xml:space="preserve">3</w:t>
            </w:r>
          </w:p>
        </w:tc>
        <w:tc>
          <w:p>
            <w:pPr>
              <w:pStyle w:val="Compact"/>
              <w:jc w:val="center"/>
            </w:pPr>
            <w:r>
              <w:t xml:space="preserve">796.8</w:t>
            </w:r>
          </w:p>
        </w:tc>
        <w:tc>
          <w:p>
            <w:pPr>
              <w:pStyle w:val="Compact"/>
              <w:jc w:val="center"/>
            </w:pPr>
            <w:r>
              <w:t xml:space="preserve">1.477</w:t>
            </w:r>
          </w:p>
        </w:tc>
        <w:tc>
          <w:p>
            <w:pPr>
              <w:pStyle w:val="Compact"/>
              <w:jc w:val="center"/>
            </w:pPr>
            <w:r>
              <w:t xml:space="preserve">1.201</w:t>
            </w:r>
          </w:p>
        </w:tc>
        <w:tc>
          <w:p>
            <w:pPr>
              <w:pStyle w:val="Compact"/>
              <w:jc w:val="center"/>
            </w:pPr>
            <w:r>
              <w:t xml:space="preserve">0.3596</w:t>
            </w:r>
          </w:p>
        </w:tc>
        <w:tc>
          <w:p>
            <w:pPr>
              <w:pStyle w:val="Compact"/>
              <w:jc w:val="center"/>
            </w:pPr>
            <w:r>
              <w:t xml:space="preserve">0.09632</w:t>
            </w:r>
          </w:p>
        </w:tc>
        <w:tc>
          <w:p>
            <w:pPr>
              <w:pStyle w:val="Compact"/>
              <w:jc w:val="center"/>
            </w:pPr>
            <w:r>
              <w:t xml:space="preserve">0.04336</w:t>
            </w:r>
          </w:p>
        </w:tc>
        <w:tc>
          <w:p>
            <w:pPr>
              <w:pStyle w:val="Compact"/>
              <w:jc w:val="center"/>
            </w:pPr>
            <w:r>
              <w:t xml:space="preserve">196.3</w:t>
            </w:r>
          </w:p>
        </w:tc>
      </w:tr>
      <w:tr>
        <w:tc>
          <w:p>
            <w:pPr>
              <w:pStyle w:val="Compact"/>
              <w:jc w:val="center"/>
            </w:pPr>
            <w:r>
              <w:t xml:space="preserve">4</w:t>
            </w:r>
          </w:p>
        </w:tc>
        <w:tc>
          <w:p>
            <w:pPr>
              <w:pStyle w:val="Compact"/>
              <w:jc w:val="center"/>
            </w:pPr>
            <w:r>
              <w:t xml:space="preserve">795.1</w:t>
            </w:r>
          </w:p>
        </w:tc>
        <w:tc>
          <w:p>
            <w:pPr>
              <w:pStyle w:val="Compact"/>
              <w:jc w:val="center"/>
            </w:pPr>
            <w:r>
              <w:t xml:space="preserve">2.002</w:t>
            </w:r>
          </w:p>
        </w:tc>
        <w:tc>
          <w:p>
            <w:pPr>
              <w:pStyle w:val="Compact"/>
              <w:jc w:val="center"/>
            </w:pPr>
            <w:r>
              <w:t xml:space="preserve">2.027</w:t>
            </w:r>
          </w:p>
        </w:tc>
        <w:tc>
          <w:p>
            <w:pPr>
              <w:pStyle w:val="Compact"/>
              <w:jc w:val="center"/>
            </w:pPr>
            <w:r>
              <w:t xml:space="preserve">0.5632</w:t>
            </w:r>
          </w:p>
        </w:tc>
        <w:tc>
          <w:p>
            <w:pPr>
              <w:pStyle w:val="Compact"/>
              <w:jc w:val="center"/>
            </w:pPr>
            <w:r>
              <w:t xml:space="preserve">0.1794</w:t>
            </w:r>
          </w:p>
        </w:tc>
        <w:tc>
          <w:p>
            <w:pPr>
              <w:pStyle w:val="Compact"/>
              <w:jc w:val="center"/>
            </w:pPr>
            <w:r>
              <w:t xml:space="preserve">0.1102</w:t>
            </w:r>
          </w:p>
        </w:tc>
        <w:tc>
          <w:p>
            <w:pPr>
              <w:pStyle w:val="Compact"/>
              <w:jc w:val="center"/>
            </w:pPr>
            <w:r>
              <w:t xml:space="preserve">195.5</w:t>
            </w:r>
          </w:p>
        </w:tc>
      </w:tr>
      <w:tr>
        <w:tc>
          <w:p>
            <w:pPr>
              <w:pStyle w:val="Compact"/>
              <w:jc w:val="center"/>
            </w:pPr>
            <w:r>
              <w:t xml:space="preserve">5</w:t>
            </w:r>
          </w:p>
        </w:tc>
        <w:tc>
          <w:p>
            <w:pPr>
              <w:pStyle w:val="Compact"/>
              <w:jc w:val="center"/>
            </w:pPr>
            <w:r>
              <w:t xml:space="preserve">792.9</w:t>
            </w:r>
          </w:p>
        </w:tc>
        <w:tc>
          <w:p>
            <w:pPr>
              <w:pStyle w:val="Compact"/>
              <w:jc w:val="center"/>
            </w:pPr>
            <w:r>
              <w:t xml:space="preserve">2.658</w:t>
            </w:r>
          </w:p>
        </w:tc>
        <w:tc>
          <w:p>
            <w:pPr>
              <w:pStyle w:val="Compact"/>
              <w:jc w:val="center"/>
            </w:pPr>
            <w:r>
              <w:t xml:space="preserve">3.121</w:t>
            </w:r>
          </w:p>
        </w:tc>
        <w:tc>
          <w:p>
            <w:pPr>
              <w:pStyle w:val="Compact"/>
              <w:jc w:val="center"/>
            </w:pPr>
            <w:r>
              <w:t xml:space="preserve">0.8155</w:t>
            </w:r>
          </w:p>
        </w:tc>
        <w:tc>
          <w:p>
            <w:pPr>
              <w:pStyle w:val="Compact"/>
              <w:jc w:val="center"/>
            </w:pPr>
            <w:r>
              <w:t xml:space="preserve">0.2889</w:t>
            </w:r>
          </w:p>
        </w:tc>
        <w:tc>
          <w:p>
            <w:pPr>
              <w:pStyle w:val="Compact"/>
              <w:jc w:val="center"/>
            </w:pPr>
            <w:r>
              <w:t xml:space="preserve">0.2236</w:t>
            </w:r>
          </w:p>
        </w:tc>
        <w:tc>
          <w:p>
            <w:pPr>
              <w:pStyle w:val="Compact"/>
              <w:jc w:val="center"/>
            </w:pPr>
            <w:r>
              <w:t xml:space="preserve">194.6</w:t>
            </w:r>
          </w:p>
        </w:tc>
      </w:tr>
    </w:tbl>
    <w:tbl>
      <w:tblPr>
        <w:tblStyle w:val="TableNormal"/>
        <w:tblW w:type="pct" w:w="3125.0"/>
        <w:tblLook w:firstRow="1"/>
      </w:tblPr>
      <w:tblGrid>
        <w:gridCol w:w="990"/>
        <w:gridCol w:w="990"/>
        <w:gridCol w:w="990"/>
        <w:gridCol w:w="990"/>
        <w:gridCol w:w="990"/>
      </w:tblGrid>
      <w:tr>
        <w:trPr>
          <w:cnfStyle w:firstRow="1"/>
        </w:trPr>
        <w:tc>
          <w:tcPr>
            <w:tcBorders>
              <w:bottom w:val="single"/>
            </w:tcBorders>
            <w:vAlign w:val="bottom"/>
          </w:tcPr>
          <w:p>
            <w:pPr>
              <w:pStyle w:val="Compact"/>
              <w:jc w:val="center"/>
            </w:pPr>
            <w:r>
              <w:t xml:space="preserve">H_H</w:t>
            </w:r>
          </w:p>
        </w:tc>
        <w:tc>
          <w:tcPr>
            <w:tcBorders>
              <w:bottom w:val="single"/>
            </w:tcBorders>
            <w:vAlign w:val="bottom"/>
          </w:tcPr>
          <w:p>
            <w:pPr>
              <w:pStyle w:val="Compact"/>
              <w:jc w:val="center"/>
            </w:pPr>
            <w:r>
              <w:t xml:space="preserve">L_H</w:t>
            </w:r>
          </w:p>
        </w:tc>
        <w:tc>
          <w:tcPr>
            <w:tcBorders>
              <w:bottom w:val="single"/>
            </w:tcBorders>
            <w:vAlign w:val="bottom"/>
          </w:tcPr>
          <w:p>
            <w:pPr>
              <w:pStyle w:val="Compact"/>
              <w:jc w:val="center"/>
            </w:pPr>
            <w:r>
              <w:t xml:space="preserve">I_H</w:t>
            </w:r>
          </w:p>
        </w:tc>
        <w:tc>
          <w:tcPr>
            <w:tcBorders>
              <w:bottom w:val="single"/>
            </w:tcBorders>
            <w:vAlign w:val="bottom"/>
          </w:tcPr>
          <w:p>
            <w:pPr>
              <w:pStyle w:val="Compact"/>
              <w:jc w:val="center"/>
            </w:pPr>
            <w:r>
              <w:t xml:space="preserve">Tr_H</w:t>
            </w:r>
          </w:p>
        </w:tc>
        <w:tc>
          <w:tcPr>
            <w:tcBorders>
              <w:bottom w:val="single"/>
            </w:tcBorders>
            <w:vAlign w:val="bottom"/>
          </w:tcPr>
          <w:p>
            <w:pPr>
              <w:pStyle w:val="Compact"/>
              <w:jc w:val="center"/>
            </w:pPr>
            <w:r>
              <w:t xml:space="preserve">R_H</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0.7367</w:t>
            </w:r>
          </w:p>
        </w:tc>
        <w:tc>
          <w:p>
            <w:pPr>
              <w:pStyle w:val="Compact"/>
              <w:jc w:val="center"/>
            </w:pPr>
            <w:r>
              <w:t xml:space="preserve">0.2138</w:t>
            </w:r>
          </w:p>
        </w:tc>
        <w:tc>
          <w:p>
            <w:pPr>
              <w:pStyle w:val="Compact"/>
              <w:jc w:val="center"/>
            </w:pPr>
            <w:r>
              <w:t xml:space="preserve">0.785</w:t>
            </w:r>
          </w:p>
        </w:tc>
        <w:tc>
          <w:p>
            <w:pPr>
              <w:pStyle w:val="Compact"/>
              <w:jc w:val="center"/>
            </w:pPr>
            <w:r>
              <w:t xml:space="preserve">0.2257</w:t>
            </w:r>
          </w:p>
        </w:tc>
        <w:tc>
          <w:p>
            <w:pPr>
              <w:pStyle w:val="Compact"/>
              <w:jc w:val="center"/>
            </w:pPr>
            <w:r>
              <w:t xml:space="preserve">0.06372</w:t>
            </w:r>
          </w:p>
        </w:tc>
      </w:tr>
      <w:tr>
        <w:tc>
          <w:p>
            <w:pPr>
              <w:pStyle w:val="Compact"/>
              <w:jc w:val="center"/>
            </w:pPr>
            <w:r>
              <w:t xml:space="preserve">0.9991</w:t>
            </w:r>
          </w:p>
        </w:tc>
        <w:tc>
          <w:p>
            <w:pPr>
              <w:pStyle w:val="Compact"/>
              <w:jc w:val="center"/>
            </w:pPr>
            <w:r>
              <w:t xml:space="preserve">0.6472</w:t>
            </w:r>
          </w:p>
        </w:tc>
        <w:tc>
          <w:p>
            <w:pPr>
              <w:pStyle w:val="Compact"/>
              <w:jc w:val="center"/>
            </w:pPr>
            <w:r>
              <w:t xml:space="preserve">0.7108</w:t>
            </w:r>
          </w:p>
        </w:tc>
        <w:tc>
          <w:p>
            <w:pPr>
              <w:pStyle w:val="Compact"/>
              <w:jc w:val="center"/>
            </w:pPr>
            <w:r>
              <w:t xml:space="preserve">0.3277</w:t>
            </w:r>
          </w:p>
        </w:tc>
        <w:tc>
          <w:p>
            <w:pPr>
              <w:pStyle w:val="Compact"/>
              <w:jc w:val="center"/>
            </w:pPr>
            <w:r>
              <w:t xml:space="preserve">0.2031</w:t>
            </w:r>
          </w:p>
        </w:tc>
      </w:tr>
      <w:tr>
        <w:tc>
          <w:p>
            <w:pPr>
              <w:pStyle w:val="Compact"/>
              <w:jc w:val="center"/>
            </w:pPr>
            <w:r>
              <w:t xml:space="preserve">1.106</w:t>
            </w:r>
          </w:p>
        </w:tc>
        <w:tc>
          <w:p>
            <w:pPr>
              <w:pStyle w:val="Compact"/>
              <w:jc w:val="center"/>
            </w:pPr>
            <w:r>
              <w:t xml:space="preserve">1.153</w:t>
            </w:r>
          </w:p>
        </w:tc>
        <w:tc>
          <w:p>
            <w:pPr>
              <w:pStyle w:val="Compact"/>
              <w:jc w:val="center"/>
            </w:pPr>
            <w:r>
              <w:t xml:space="preserve">0.6904</w:t>
            </w:r>
          </w:p>
        </w:tc>
        <w:tc>
          <w:p>
            <w:pPr>
              <w:pStyle w:val="Compact"/>
              <w:jc w:val="center"/>
            </w:pPr>
            <w:r>
              <w:t xml:space="preserve">0.3781</w:t>
            </w:r>
          </w:p>
        </w:tc>
        <w:tc>
          <w:p>
            <w:pPr>
              <w:pStyle w:val="Compact"/>
              <w:jc w:val="center"/>
            </w:pPr>
            <w:r>
              <w:t xml:space="preserve">0.3761</w:t>
            </w:r>
          </w:p>
        </w:tc>
      </w:tr>
      <w:tr>
        <w:tc>
          <w:p>
            <w:pPr>
              <w:pStyle w:val="Compact"/>
              <w:jc w:val="center"/>
            </w:pPr>
            <w:r>
              <w:t xml:space="preserve">1.169</w:t>
            </w:r>
          </w:p>
        </w:tc>
        <w:tc>
          <w:p>
            <w:pPr>
              <w:pStyle w:val="Compact"/>
              <w:jc w:val="center"/>
            </w:pPr>
            <w:r>
              <w:t xml:space="preserve">1.684</w:t>
            </w:r>
          </w:p>
        </w:tc>
        <w:tc>
          <w:p>
            <w:pPr>
              <w:pStyle w:val="Compact"/>
              <w:jc w:val="center"/>
            </w:pPr>
            <w:r>
              <w:t xml:space="preserve">0.6935</w:t>
            </w:r>
          </w:p>
        </w:tc>
        <w:tc>
          <w:p>
            <w:pPr>
              <w:pStyle w:val="Compact"/>
              <w:jc w:val="center"/>
            </w:pPr>
            <w:r>
              <w:t xml:space="preserve">0.4067</w:t>
            </w:r>
          </w:p>
        </w:tc>
        <w:tc>
          <w:p>
            <w:pPr>
              <w:pStyle w:val="Compact"/>
              <w:jc w:val="center"/>
            </w:pPr>
            <w:r>
              <w:t xml:space="preserve">0.565</w:t>
            </w:r>
          </w:p>
        </w:tc>
      </w:tr>
      <w:tr>
        <w:tc>
          <w:p>
            <w:pPr>
              <w:pStyle w:val="Compact"/>
              <w:jc w:val="center"/>
            </w:pPr>
            <w:r>
              <w:t xml:space="preserve">1.228</w:t>
            </w:r>
          </w:p>
        </w:tc>
        <w:tc>
          <w:p>
            <w:pPr>
              <w:pStyle w:val="Compact"/>
              <w:jc w:val="center"/>
            </w:pPr>
            <w:r>
              <w:t xml:space="preserve">2.23</w:t>
            </w:r>
          </w:p>
        </w:tc>
        <w:tc>
          <w:p>
            <w:pPr>
              <w:pStyle w:val="Compact"/>
              <w:jc w:val="center"/>
            </w:pPr>
            <w:r>
              <w:t xml:space="preserve">0.7103</w:t>
            </w:r>
          </w:p>
        </w:tc>
        <w:tc>
          <w:p>
            <w:pPr>
              <w:pStyle w:val="Compact"/>
              <w:jc w:val="center"/>
            </w:pPr>
            <w:r>
              <w:t xml:space="preserve">0.4267</w:t>
            </w:r>
          </w:p>
        </w:tc>
        <w:tc>
          <w:p>
            <w:pPr>
              <w:pStyle w:val="Compact"/>
              <w:jc w:val="center"/>
            </w:pPr>
            <w:r>
              <w:t xml:space="preserve">0.7623</w:t>
            </w:r>
          </w:p>
        </w:tc>
      </w:tr>
    </w:tbl>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"Realistic 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TableCaption"/>
      </w:pPr>
      <w:r>
        <w:t xml:space="preserve">Table 8: Realistic SHLIR model summary statistics; The final size of each population at the end of the simulation, along with the time the epidemic peak was reached, the number of infected at the epidemic peak and the duration of the epidemic (continued below)</w:t>
      </w:r>
    </w:p>
    <w:tbl>
      <w:tblPr>
        <w:tblStyle w:val="TableNormal"/>
        <w:tblW w:type="pct" w:w="5000.0"/>
        <w:tblLook w:firstRow="1"/>
        <w:tblCaption w:val="Table 8: Realistic SHLIR model summary statistics; The final size of each population at the end of the simulation, along with the time the epidemic peak was reached, the number of infected at the epidemic peak and the duration of the epidemic (continued below)"/>
      </w:tblPr>
      <w:tblGrid>
        <w:gridCol w:w="1584"/>
        <w:gridCol w:w="1584"/>
        <w:gridCol w:w="1584"/>
        <w:gridCol w:w="1584"/>
        <w:gridCol w:w="1584"/>
      </w:tblGrid>
      <w:tr>
        <w:trPr>
          <w:cnfStyle w:firstRow="1"/>
        </w:trPr>
        <w:tc>
          <w:tcPr>
            <w:tcBorders>
              <w:bottom w:val="single"/>
            </w:tcBorders>
            <w:vAlign w:val="bottom"/>
          </w:tcPr>
          <w:p>
            <w:pPr>
              <w:pStyle w:val="Compact"/>
              <w:jc w:val="center"/>
            </w:pPr>
            <w:r>
              <w:t xml:space="preserve">Final size: S</w:t>
            </w:r>
          </w:p>
        </w:tc>
        <w:tc>
          <w:tcPr>
            <w:tcBorders>
              <w:bottom w:val="single"/>
            </w:tcBorders>
            <w:vAlign w:val="bottom"/>
          </w:tcPr>
          <w:p>
            <w:pPr>
              <w:pStyle w:val="Compact"/>
              <w:jc w:val="center"/>
            </w:pPr>
            <w:r>
              <w:t xml:space="preserve">Final size: H</w:t>
            </w:r>
          </w:p>
        </w:tc>
        <w:tc>
          <w:tcPr>
            <w:tcBorders>
              <w:bottom w:val="single"/>
            </w:tcBorders>
            <w:vAlign w:val="bottom"/>
          </w:tcPr>
          <w:p>
            <w:pPr>
              <w:pStyle w:val="Compact"/>
              <w:jc w:val="center"/>
            </w:pPr>
            <w:r>
              <w:t xml:space="preserve">Final size: L</w:t>
            </w:r>
          </w:p>
        </w:tc>
        <w:tc>
          <w:tcPr>
            <w:tcBorders>
              <w:bottom w:val="single"/>
            </w:tcBorders>
            <w:vAlign w:val="bottom"/>
          </w:tcPr>
          <w:p>
            <w:pPr>
              <w:pStyle w:val="Compact"/>
              <w:jc w:val="center"/>
            </w:pPr>
            <w:r>
              <w:t xml:space="preserve">Final size: I</w:t>
            </w:r>
          </w:p>
        </w:tc>
        <w:tc>
          <w:tcPr>
            <w:tcBorders>
              <w:bottom w:val="single"/>
            </w:tcBorders>
            <w:vAlign w:val="bottom"/>
          </w:tcPr>
          <w:p>
            <w:pPr>
              <w:pStyle w:val="Compact"/>
              <w:jc w:val="center"/>
            </w:pPr>
            <w:r>
              <w:t xml:space="preserve">Final size: Tr</w:t>
            </w:r>
          </w:p>
        </w:tc>
      </w:tr>
      <w:tr>
        <w:tc>
          <w:p>
            <w:pPr>
              <w:pStyle w:val="Compact"/>
              <w:jc w:val="center"/>
            </w:pPr>
            <w:r>
              <w:t xml:space="preserve">22</w:t>
            </w:r>
          </w:p>
        </w:tc>
        <w:tc>
          <w:p>
            <w:pPr>
              <w:pStyle w:val="Compact"/>
              <w:jc w:val="center"/>
            </w:pPr>
            <w:r>
              <w:t xml:space="preserve">218</w:t>
            </w:r>
          </w:p>
        </w:tc>
        <w:tc>
          <w:p>
            <w:pPr>
              <w:pStyle w:val="Compact"/>
              <w:jc w:val="center"/>
            </w:pPr>
            <w:r>
              <w:t xml:space="preserve">242</w:t>
            </w:r>
          </w:p>
        </w:tc>
        <w:tc>
          <w:p>
            <w:pPr>
              <w:pStyle w:val="Compact"/>
              <w:jc w:val="center"/>
            </w:pPr>
            <w:r>
              <w:t xml:space="preserve">133</w:t>
            </w:r>
          </w:p>
        </w:tc>
        <w:tc>
          <w:p>
            <w:pPr>
              <w:pStyle w:val="Compact"/>
              <w:jc w:val="center"/>
            </w:pPr>
            <w:r>
              <w:t xml:space="preserve">87</w:t>
            </w:r>
          </w:p>
        </w:tc>
      </w:tr>
    </w:tbl>
    <w:p>
      <w:pPr>
        <w:pStyle w:val="TableCaption"/>
      </w:pPr>
      <w:r>
        <w:t xml:space="preserve">Table continues below</w:t>
      </w:r>
    </w:p>
    <w:tbl>
      <w:tblPr>
        <w:tblStyle w:val="TableNormal"/>
        <w:tblW w:type="pct" w:w="4861.111111111111"/>
        <w:tblLook w:firstRow="1"/>
        <w:tblCaption w:val="Table continues below"/>
      </w:tblPr>
      <w:tblGrid>
        <w:gridCol w:w="1760"/>
        <w:gridCol w:w="1980"/>
        <w:gridCol w:w="1980"/>
        <w:gridCol w:w="1980"/>
      </w:tblGrid>
      <w:tr>
        <w:trPr>
          <w:cnfStyle w:firstRow="1"/>
        </w:trPr>
        <w:tc>
          <w:tcPr>
            <w:tcBorders>
              <w:bottom w:val="single"/>
            </w:tcBorders>
            <w:vAlign w:val="bottom"/>
          </w:tcPr>
          <w:p>
            <w:pPr>
              <w:pStyle w:val="Compact"/>
              <w:jc w:val="center"/>
            </w:pPr>
            <w:r>
              <w:t xml:space="preserve">Final size: R</w:t>
            </w:r>
          </w:p>
        </w:tc>
        <w:tc>
          <w:tcPr>
            <w:tcBorders>
              <w:bottom w:val="single"/>
            </w:tcBorders>
            <w:vAlign w:val="bottom"/>
          </w:tcPr>
          <w:p>
            <w:pPr>
              <w:pStyle w:val="Compact"/>
              <w:jc w:val="center"/>
            </w:pPr>
            <w:r>
              <w:t xml:space="preserve">Final size: S_H</w:t>
            </w:r>
          </w:p>
        </w:tc>
        <w:tc>
          <w:tcPr>
            <w:tcBorders>
              <w:bottom w:val="single"/>
            </w:tcBorders>
            <w:vAlign w:val="bottom"/>
          </w:tcPr>
          <w:p>
            <w:pPr>
              <w:pStyle w:val="Compact"/>
              <w:jc w:val="center"/>
            </w:pPr>
            <w:r>
              <w:t xml:space="preserve">Final size: H_H</w:t>
            </w:r>
          </w:p>
        </w:tc>
        <w:tc>
          <w:tcPr>
            <w:tcBorders>
              <w:bottom w:val="single"/>
            </w:tcBorders>
            <w:vAlign w:val="bottom"/>
          </w:tcPr>
          <w:p>
            <w:pPr>
              <w:pStyle w:val="Compact"/>
              <w:jc w:val="center"/>
            </w:pPr>
            <w:r>
              <w:t xml:space="preserve">Final size: L_H</w:t>
            </w:r>
          </w:p>
        </w:tc>
      </w:tr>
      <w:tr>
        <w:tc>
          <w:p>
            <w:pPr>
              <w:pStyle w:val="Compact"/>
              <w:jc w:val="center"/>
            </w:pPr>
            <w:r>
              <w:t xml:space="preserve">98</w:t>
            </w:r>
          </w:p>
        </w:tc>
        <w:tc>
          <w:p>
            <w:pPr>
              <w:pStyle w:val="Compact"/>
              <w:jc w:val="center"/>
            </w:pPr>
            <w:r>
              <w:t xml:space="preserve">10</w:t>
            </w:r>
          </w:p>
        </w:tc>
        <w:tc>
          <w:p>
            <w:pPr>
              <w:pStyle w:val="Compact"/>
              <w:jc w:val="center"/>
            </w:pPr>
            <w:r>
              <w:t xml:space="preserve">39</w:t>
            </w:r>
          </w:p>
        </w:tc>
        <w:tc>
          <w:p>
            <w:pPr>
              <w:pStyle w:val="Compact"/>
              <w:jc w:val="center"/>
            </w:pPr>
            <w:r>
              <w:t xml:space="preserve">77</w:t>
            </w:r>
          </w:p>
        </w:tc>
      </w:tr>
    </w:tbl>
    <w:p>
      <w:pPr>
        <w:pStyle w:val="TableCaption"/>
      </w:pPr>
      <w:r>
        <w:t xml:space="preserve">Table continues below</w:t>
      </w:r>
    </w:p>
    <w:tbl>
      <w:tblPr>
        <w:tblStyle w:val="TableNormal"/>
        <w:tblW w:type="pct" w:w="5000.0"/>
        <w:tblLook w:firstRow="1"/>
        <w:tblCaption w:val="Table continues below"/>
      </w:tblPr>
      <w:tblGrid>
        <w:gridCol w:w="1900"/>
        <w:gridCol w:w="2006"/>
        <w:gridCol w:w="1900"/>
        <w:gridCol w:w="2112"/>
      </w:tblGrid>
      <w:tr>
        <w:trPr>
          <w:cnfStyle w:firstRow="1"/>
        </w:trPr>
        <w:tc>
          <w:tcPr>
            <w:tcBorders>
              <w:bottom w:val="single"/>
            </w:tcBorders>
            <w:vAlign w:val="bottom"/>
          </w:tcPr>
          <w:p>
            <w:pPr>
              <w:pStyle w:val="Compact"/>
              <w:jc w:val="center"/>
            </w:pPr>
            <w:r>
              <w:t xml:space="preserve">Final size: I_H</w:t>
            </w:r>
          </w:p>
        </w:tc>
        <w:tc>
          <w:tcPr>
            <w:tcBorders>
              <w:bottom w:val="single"/>
            </w:tcBorders>
            <w:vAlign w:val="bottom"/>
          </w:tcPr>
          <w:p>
            <w:pPr>
              <w:pStyle w:val="Compact"/>
              <w:jc w:val="center"/>
            </w:pPr>
            <w:r>
              <w:t xml:space="preserve">Final size: Tr_H</w:t>
            </w:r>
          </w:p>
        </w:tc>
        <w:tc>
          <w:tcPr>
            <w:tcBorders>
              <w:bottom w:val="single"/>
            </w:tcBorders>
            <w:vAlign w:val="bottom"/>
          </w:tcPr>
          <w:p>
            <w:pPr>
              <w:pStyle w:val="Compact"/>
              <w:jc w:val="center"/>
            </w:pPr>
            <w:r>
              <w:t xml:space="preserve">Final size: R_H</w:t>
            </w:r>
          </w:p>
        </w:tc>
        <w:tc>
          <w:tcPr>
            <w:tcBorders>
              <w:bottom w:val="single"/>
            </w:tcBorders>
            <w:vAlign w:val="bottom"/>
          </w:tcPr>
          <w:p>
            <w:pPr>
              <w:pStyle w:val="Compact"/>
              <w:jc w:val="center"/>
            </w:pPr>
            <w:r>
              <w:t xml:space="preserve">Epidemic peak time</w:t>
            </w:r>
          </w:p>
        </w:tc>
      </w:tr>
      <w:tr>
        <w:tc>
          <w:p>
            <w:pPr>
              <w:pStyle w:val="Compact"/>
              <w:jc w:val="center"/>
            </w:pPr>
            <w:r>
              <w:t xml:space="preserve">25</w:t>
            </w:r>
          </w:p>
        </w:tc>
        <w:tc>
          <w:p>
            <w:pPr>
              <w:pStyle w:val="Compact"/>
              <w:jc w:val="center"/>
            </w:pPr>
            <w:r>
              <w:t xml:space="preserve">16</w:t>
            </w:r>
          </w:p>
        </w:tc>
        <w:tc>
          <w:p>
            <w:pPr>
              <w:pStyle w:val="Compact"/>
              <w:jc w:val="center"/>
            </w:pPr>
            <w:r>
              <w:t xml:space="preserve">33</w:t>
            </w:r>
          </w:p>
        </w:tc>
        <w:tc>
          <w:p>
            <w:pPr>
              <w:pStyle w:val="Compact"/>
              <w:jc w:val="center"/>
            </w:pPr>
            <w:r>
              <w:t xml:space="preserve">74</w:t>
            </w:r>
          </w:p>
        </w:tc>
      </w:tr>
    </w:tbl>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center"/>
            </w:pPr>
            <w:r>
              <w:t xml:space="preserve">Epidemic peak</w:t>
            </w:r>
          </w:p>
        </w:tc>
        <w:tc>
          <w:tcPr>
            <w:tcBorders>
              <w:bottom w:val="single"/>
            </w:tcBorders>
            <w:vAlign w:val="bottom"/>
          </w:tcPr>
          <w:p>
            <w:pPr>
              <w:pStyle w:val="Compact"/>
              <w:jc w:val="center"/>
            </w:pPr>
            <w:r>
              <w:t xml:space="preserve">Epidemic duration</w:t>
            </w:r>
          </w:p>
        </w:tc>
      </w:tr>
      <w:tr>
        <w:tc>
          <w:p>
            <w:pPr>
              <w:pStyle w:val="Compact"/>
              <w:jc w:val="center"/>
            </w:pPr>
            <w:r>
              <w:t xml:space="preserve">133</w:t>
            </w:r>
          </w:p>
        </w:tc>
        <w:tc>
          <w:p>
            <w:pPr>
              <w:pStyle w:val="Compact"/>
              <w:jc w:val="center"/>
            </w:pPr>
            <w:r>
              <w:t xml:space="preserve">0</w:t>
            </w:r>
          </w:p>
        </w:tc>
      </w:tr>
    </w:tbl>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(real_SHLIR_sim,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5334000" cy="5334000"/>
            <wp:effectExtent b="0" l="0" r="0" t="0"/>
            <wp:docPr descr="Figure 4: Plot of population over time in each realistic SHLIR model compartment" title="" id="1" name="Picture"/>
            <a:graphic>
              <a:graphicData uri="http://schemas.openxmlformats.org/drawingml/2006/picture">
                <pic:pic>
                  <pic:nvPicPr>
                    <pic:cNvPr descr="/home/seabbs/biddmodellingcourse/vignettes/drafts/solutions/solutions-three/solutions-three_files/figure-docx/real-SHLIR-plot-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Plot of population over time in each realistic SHLIR model compartment</w:t>
      </w:r>
    </w:p>
    <w:p>
      <w:pPr>
        <w:pStyle w:val="Heading3"/>
      </w:pPr>
      <w:bookmarkStart w:id="47" w:name="explore-2"/>
      <w:bookmarkEnd w:id="47"/>
      <w:r>
        <w:t xml:space="preserve">Explore</w:t>
      </w:r>
    </w:p>
    <w:p>
      <w:pPr>
        <w:numPr>
          <w:numId w:val="1005"/>
          <w:ilvl w:val="0"/>
        </w:numPr>
      </w:pPr>
      <w:r>
        <w:t xml:space="preserve">Test your changes by setting all the parameters to be the same as in the SHLIR model.</w:t>
      </w:r>
    </w:p>
    <w:p>
      <w:pPr>
        <w:pStyle w:val="Compact"/>
        <w:numPr>
          <w:numId w:val="1006"/>
          <w:ilvl w:val="1"/>
        </w:numPr>
      </w:pPr>
      <w:r>
        <w:rPr>
          <w:b/>
        </w:rPr>
        <w:t xml:space="preserve">The models should give the same results.</w:t>
      </w:r>
    </w:p>
    <w:p>
      <w:pPr>
        <w:numPr>
          <w:numId w:val="1005"/>
          <w:ilvl w:val="0"/>
        </w:numPr>
      </w:pPr>
      <w:r>
        <w:t xml:space="preserve">Can you alter the parameters defined above to answer the questions for this model from practical 2?</w:t>
      </w:r>
    </w:p>
    <w:p>
      <w:pPr>
        <w:pStyle w:val="Heading2"/>
      </w:pPr>
      <w:bookmarkStart w:id="48" w:name="implement-your-own-model"/>
      <w:bookmarkEnd w:id="48"/>
      <w:r>
        <w:t xml:space="preserve">4. Implement Your Own Model</w:t>
      </w:r>
    </w:p>
    <w:p>
      <w:pPr>
        <w:pStyle w:val="FirstParagraph"/>
      </w:pPr>
      <w:r>
        <w:t xml:space="preserve">Using the same structure as used in models above implement your own model into R. Talk to the instructors for tips, tricks, and potential ideas. See the</w:t>
      </w:r>
      <w:r>
        <w:t xml:space="preserve"> </w:t>
      </w:r>
      <w:r>
        <w:rPr>
          <w:rStyle w:val="VerbatimChar"/>
        </w:rPr>
        <w:t xml:space="preserve">idmodelr</w:t>
      </w:r>
      <w:r>
        <w:t xml:space="preserve"> </w:t>
      </w:r>
      <w:r>
        <w:t xml:space="preserve">package for other example model structures (</w:t>
      </w:r>
      <w:hyperlink r:id="rId49">
        <w:r>
          <w:rPr>
            <w:rStyle w:val="Hyperlink"/>
          </w:rPr>
          <w:t xml:space="preserve">https://www.samabbott.co.uk/idmodelr/</w:t>
        </w:r>
      </w:hyperlink>
      <w:r>
        <w:t xml:space="preserve">). It may help to first draw out the flow diagram for your model (potentially writing out the equations may also help).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97a7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eba5e8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8b9bb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hyperlink" Id="rId25" Target="https://bristolmathmodellers.github.io/biddmodellingcourse/" TargetMode="External" /><Relationship Type="http://schemas.openxmlformats.org/officeDocument/2006/relationships/hyperlink" Id="rId49" Target="https://www.samabbott.co.uk/idmodelr/" TargetMode="External" /></Relationships>
</file>

<file path=word/_rels/footnotes.xml.rels><?xml version="1.0" encoding="UTF-8"?>
<Relationships xmlns="http://schemas.openxmlformats.org/package/2006/relationships"><Relationship Type="http://schemas.openxmlformats.org/officeDocument/2006/relationships/hyperlink" Id="rId25" Target="https://bristolmathmodellers.github.io/biddmodellingcourse/" TargetMode="External" /><Relationship Type="http://schemas.openxmlformats.org/officeDocument/2006/relationships/hyperlink" Id="rId49" Target="https://www.samabbott.co.uk/idmodel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3: Compartmental Models to Equations</dc:title>
  <dc:creator>Sam Abbott</dc:creator>
  <dcterms:created xsi:type="dcterms:W3CDTF">2019-04-15T09:55:57Z</dcterms:created>
  <dcterms:modified xsi:type="dcterms:W3CDTF">2019-04-15T09:55:57Z</dcterms:modified>
</cp:coreProperties>
</file>