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9.png" ContentType="image/png"/>
  <Override PartName="/word/media/rId54.png" ContentType="image/png"/>
  <Override PartName="/word/media/rId3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Understand how changing parameter values can change model dynamics.</w:t>
      </w:r>
    </w:p>
    <w:p>
      <w:pPr>
        <w:pStyle w:val="Compact"/>
        <w:numPr>
          <w:numId w:val="1001"/>
          <w:ilvl w:val="0"/>
        </w:numPr>
      </w:pPr>
      <w:r>
        <w:t xml:space="preserve">Extension: Know how to use a simple model scaffold to develop a more complex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Explore the dynamics of a simple SEIR model (20 minutes)</w:t>
      </w:r>
    </w:p>
    <w:p>
      <w:pPr>
        <w:pStyle w:val="Compact"/>
        <w:numPr>
          <w:numId w:val="1002"/>
          <w:ilvl w:val="0"/>
        </w:numPr>
      </w:pPr>
      <w:r>
        <w:t xml:space="preserve">Extension exercises, to be completed in any order/combination;</w:t>
      </w:r>
    </w:p>
    <w:p>
      <w:pPr>
        <w:pStyle w:val="Compact"/>
        <w:numPr>
          <w:numId w:val="1003"/>
          <w:ilvl w:val="1"/>
        </w:numPr>
      </w:pPr>
      <w:r>
        <w:t xml:space="preserve">Explore the parameter space of multiple models using a web interface (25 minutes) (</w:t>
      </w:r>
      <w:r>
        <w:rPr>
          <w:i/>
        </w:rPr>
        <w:t xml:space="preserve">not R based</w:t>
      </w:r>
      <w:r>
        <w:t xml:space="preserve">).</w:t>
      </w:r>
    </w:p>
    <w:p>
      <w:pPr>
        <w:pStyle w:val="Compact"/>
        <w:numPr>
          <w:numId w:val="1003"/>
          <w:ilvl w:val="1"/>
        </w:numPr>
      </w:pPr>
      <w:r>
        <w:t xml:space="preserve">Add high and low risk latency to a SEIR model, and explore this models dynamics in comparison to the SEIR model (25 minutes) (</w:t>
      </w:r>
      <w:r>
        <w:rPr>
          <w:i/>
        </w:rPr>
        <w:t xml:space="preserve">R based</w:t>
      </w:r>
      <w:r>
        <w:t xml:space="preserve">).</w:t>
      </w:r>
    </w:p>
    <w:p>
      <w:pPr>
        <w:pStyle w:val="Compact"/>
        <w:numPr>
          <w:numId w:val="1003"/>
          <w:ilvl w:val="1"/>
        </w:numPr>
      </w:pPr>
      <w:r>
        <w:t xml:space="preserve">Translate a more realistic SHLIR model flow diagram to equations (25 minutes)(</w:t>
      </w:r>
      <w:r>
        <w:rPr>
          <w:i/>
        </w:rPr>
        <w:t xml:space="preserve">this exercise involves implementing a complex model in R</w:t>
      </w:r>
      <w:r>
        <w:t xml:space="preserve">).</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exercise"/>
      <w:bookmarkEnd w:id="24"/>
      <w:r>
        <w:t xml:space="preserve">Exercise</w:t>
      </w:r>
    </w:p>
    <w:p>
      <w:pPr>
        <w:pStyle w:val="Heading2"/>
      </w:pPr>
      <w:bookmarkStart w:id="25" w:name="a-simple-seir-model-of-tuberculosis-tb"/>
      <w:bookmarkEnd w:id="25"/>
      <w:r>
        <w:t xml:space="preserve">1. A Simple SEIR Model of Tuberculosis (TB)</w:t>
      </w:r>
    </w:p>
    <w:p>
      <w:pPr>
        <w:pStyle w:val="FirstParagraph"/>
      </w:pPr>
      <w:r>
        <w:t xml:space="preserve">As a first exercise we are going to run the simple SEIR model, as seen in the design a model practical, in R. If you have not installed the course package do this now with the following 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reference the SEIR model flow diagram seen in the first practical’s solutions.</w:t>
      </w:r>
      <w:r>
        <w:t xml:space="preserve">[1]</w:t>
      </w:r>
      <w:r>
        <w:t xml:space="preserve"> </w:t>
      </w:r>
      <w:r>
        <w:t xml:space="preserve">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7" w:name="populations-and-initialisation"/>
      <w:bookmarkEnd w:id="27"/>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8" w:name="parameters"/>
      <w:bookmarkEnd w:id="28"/>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9" w:name="equations"/>
      <w:bookmarkEnd w:id="29"/>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0" w:name="simulate-and-summarise"/>
      <w:bookmarkEnd w:id="30"/>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847.222222222222"/>
        <w:tblLook w:firstRow="1"/>
        <w:tblCaption w:val="Table 1: First 5 years of model simulation"/>
      </w:tblPr>
      <w:tblGrid>
        <w:gridCol w:w="770"/>
        <w:gridCol w:w="880"/>
        <w:gridCol w:w="88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996.4</w:t>
            </w:r>
          </w:p>
        </w:tc>
        <w:tc>
          <w:p>
            <w:pPr>
              <w:pStyle w:val="Compact"/>
              <w:jc w:val="center"/>
            </w:pPr>
            <w:r>
              <w:t xml:space="preserve">2.334</w:t>
            </w:r>
          </w:p>
        </w:tc>
        <w:tc>
          <w:p>
            <w:pPr>
              <w:pStyle w:val="Compact"/>
              <w:jc w:val="center"/>
            </w:pPr>
            <w:r>
              <w:t xml:space="preserve">0.8182</w:t>
            </w:r>
          </w:p>
        </w:tc>
        <w:tc>
          <w:p>
            <w:pPr>
              <w:pStyle w:val="Compact"/>
              <w:jc w:val="center"/>
            </w:pPr>
            <w:r>
              <w:t xml:space="preserve">0.4317</w:t>
            </w:r>
          </w:p>
        </w:tc>
      </w:tr>
      <w:tr>
        <w:tc>
          <w:p>
            <w:pPr>
              <w:pStyle w:val="Compact"/>
              <w:jc w:val="center"/>
            </w:pPr>
            <w:r>
              <w:t xml:space="preserve">2</w:t>
            </w:r>
          </w:p>
        </w:tc>
        <w:tc>
          <w:p>
            <w:pPr>
              <w:pStyle w:val="Compact"/>
              <w:jc w:val="center"/>
            </w:pPr>
            <w:r>
              <w:t xml:space="preserve">993.7</w:t>
            </w:r>
          </w:p>
        </w:tc>
        <w:tc>
          <w:p>
            <w:pPr>
              <w:pStyle w:val="Compact"/>
              <w:jc w:val="center"/>
            </w:pPr>
            <w:r>
              <w:t xml:space="preserve">4.359</w:t>
            </w:r>
          </w:p>
        </w:tc>
        <w:tc>
          <w:p>
            <w:pPr>
              <w:pStyle w:val="Compact"/>
              <w:jc w:val="center"/>
            </w:pPr>
            <w:r>
              <w:t xml:space="preserve">1.033</w:t>
            </w:r>
          </w:p>
        </w:tc>
        <w:tc>
          <w:p>
            <w:pPr>
              <w:pStyle w:val="Compact"/>
              <w:jc w:val="center"/>
            </w:pPr>
            <w:r>
              <w:t xml:space="preserve">0.8823</w:t>
            </w:r>
          </w:p>
        </w:tc>
      </w:tr>
      <w:tr>
        <w:tc>
          <w:p>
            <w:pPr>
              <w:pStyle w:val="Compact"/>
              <w:jc w:val="center"/>
            </w:pPr>
            <w:r>
              <w:t xml:space="preserve">3</w:t>
            </w:r>
          </w:p>
        </w:tc>
        <w:tc>
          <w:p>
            <w:pPr>
              <w:pStyle w:val="Compact"/>
              <w:jc w:val="center"/>
            </w:pPr>
            <w:r>
              <w:t xml:space="preserve">990</w:t>
            </w:r>
          </w:p>
        </w:tc>
        <w:tc>
          <w:p>
            <w:pPr>
              <w:pStyle w:val="Compact"/>
              <w:jc w:val="center"/>
            </w:pPr>
            <w:r>
              <w:t xml:space="preserve">6.976</w:t>
            </w:r>
          </w:p>
        </w:tc>
        <w:tc>
          <w:p>
            <w:pPr>
              <w:pStyle w:val="Compact"/>
              <w:jc w:val="center"/>
            </w:pPr>
            <w:r>
              <w:t xml:space="preserve">1.524</w:t>
            </w:r>
          </w:p>
        </w:tc>
        <w:tc>
          <w:p>
            <w:pPr>
              <w:pStyle w:val="Compact"/>
              <w:jc w:val="center"/>
            </w:pPr>
            <w:r>
              <w:t xml:space="preserve">1.51</w:t>
            </w:r>
          </w:p>
        </w:tc>
      </w:tr>
      <w:tr>
        <w:tc>
          <w:p>
            <w:pPr>
              <w:pStyle w:val="Compact"/>
              <w:jc w:val="center"/>
            </w:pPr>
            <w:r>
              <w:t xml:space="preserve">4</w:t>
            </w:r>
          </w:p>
        </w:tc>
        <w:tc>
          <w:p>
            <w:pPr>
              <w:pStyle w:val="Compact"/>
              <w:jc w:val="center"/>
            </w:pPr>
            <w:r>
              <w:t xml:space="preserve">984.4</w:t>
            </w:r>
          </w:p>
        </w:tc>
        <w:tc>
          <w:p>
            <w:pPr>
              <w:pStyle w:val="Compact"/>
              <w:jc w:val="center"/>
            </w:pPr>
            <w:r>
              <w:t xml:space="preserve">10.84</w:t>
            </w:r>
          </w:p>
        </w:tc>
        <w:tc>
          <w:p>
            <w:pPr>
              <w:pStyle w:val="Compact"/>
              <w:jc w:val="center"/>
            </w:pPr>
            <w:r>
              <w:t xml:space="preserve">2.33</w:t>
            </w:r>
          </w:p>
        </w:tc>
        <w:tc>
          <w:p>
            <w:pPr>
              <w:pStyle w:val="Compact"/>
              <w:jc w:val="center"/>
            </w:pPr>
            <w:r>
              <w:t xml:space="preserve">2.458</w:t>
            </w:r>
          </w:p>
        </w:tc>
      </w:tr>
      <w:tr>
        <w:tc>
          <w:p>
            <w:pPr>
              <w:pStyle w:val="Compact"/>
              <w:jc w:val="center"/>
            </w:pPr>
            <w:r>
              <w:t xml:space="preserve">5</w:t>
            </w:r>
          </w:p>
        </w:tc>
        <w:tc>
          <w:p>
            <w:pPr>
              <w:pStyle w:val="Compact"/>
              <w:jc w:val="center"/>
            </w:pPr>
            <w:r>
              <w:t xml:space="preserve">975.8</w:t>
            </w:r>
          </w:p>
        </w:tc>
        <w:tc>
          <w:p>
            <w:pPr>
              <w:pStyle w:val="Compact"/>
              <w:jc w:val="center"/>
            </w:pPr>
            <w:r>
              <w:t xml:space="preserve">16.69</w:t>
            </w:r>
          </w:p>
        </w:tc>
        <w:tc>
          <w:p>
            <w:pPr>
              <w:pStyle w:val="Compact"/>
              <w:jc w:val="center"/>
            </w:pPr>
            <w:r>
              <w:t xml:space="preserve">3.586</w:t>
            </w:r>
          </w:p>
        </w:tc>
        <w:tc>
          <w:p>
            <w:pPr>
              <w:pStyle w:val="Compact"/>
              <w:jc w:val="center"/>
            </w:pPr>
            <w:r>
              <w:t xml:space="preserve">3.915</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6: SEIR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4444.444444444444"/>
        <w:tblLook w:firstRow="1"/>
        <w:tblCaption w:val="Table 6: SEIR model summary statistics; The final size of each population at the end of the simulation, along with the time the epidemic peak was reached, the number of infected at the epidemic peak and the duration of the epidemic (continued below)"/>
      </w:tblPr>
      <w:tblGrid>
        <w:gridCol w:w="1760"/>
        <w:gridCol w:w="1760"/>
        <w:gridCol w:w="1760"/>
        <w:gridCol w:w="1760"/>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E</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997</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18</w:t>
            </w:r>
          </w:p>
        </w:tc>
        <w:tc>
          <w:p>
            <w:pPr>
              <w:pStyle w:val="Compact"/>
              <w:jc w:val="center"/>
            </w:pPr>
            <w:r>
              <w:t xml:space="preserve">145</w:t>
            </w:r>
          </w:p>
        </w:tc>
        <w:tc>
          <w:p>
            <w:pPr>
              <w:pStyle w:val="Compact"/>
              <w:jc w:val="center"/>
            </w:pPr>
            <w:r>
              <w:t xml:space="preserve">200</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sizr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2: Plot of population over time in each SEIR model compartment" title="" id="1" name="Picture"/>
            <a:graphic>
              <a:graphicData uri="http://schemas.openxmlformats.org/drawingml/2006/picture">
                <pic:pic>
                  <pic:nvPicPr>
                    <pic:cNvPr descr="/home/biddmodellingcourse/biddmodellingcourse/vignettes/drafts/solutions/solutions-two/solutions-two_files/figure-docx/seir-plot-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Plot of population over time in each SEIR model compartment</w:t>
      </w:r>
    </w:p>
    <w:p>
      <w:pPr>
        <w:pStyle w:val="Heading3"/>
      </w:pPr>
      <w:bookmarkStart w:id="32" w:name="explore"/>
      <w:bookmarkEnd w:id="32"/>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above and rerunning the model.</w:t>
      </w:r>
    </w:p>
    <w:p>
      <w:pPr>
        <w:numPr>
          <w:numId w:val="1004"/>
          <w:ilvl w:val="0"/>
        </w:numPr>
      </w:pPr>
      <w:r>
        <w:t xml:space="preserve">What is the impact of adding demographic processes (births and deaths)? Explore this by first setting</w:t>
      </w:r>
      <w:r>
        <w:t xml:space="preserve"> </w:t>
      </w:r>
      <w:r>
        <w:rPr>
          <w:rStyle w:val="VerbatimChar"/>
        </w:rPr>
        <w:t xml:space="preserve">mu=0</w:t>
      </w:r>
      <w:r>
        <w:t xml:space="preserve"> </w:t>
      </w:r>
      <w:r>
        <w:t xml:space="preserve">(this removes demographic processes),</w:t>
      </w:r>
    </w:p>
    <w:p>
      <w:pPr>
        <w:pStyle w:val="Compact"/>
        <w:numPr>
          <w:numId w:val="1005"/>
          <w:ilvl w:val="1"/>
        </w:numPr>
      </w:pPr>
      <w:r>
        <w:rPr>
          <w:b/>
        </w:rPr>
        <w:t xml:space="preserve">Without demograpic processes Tuberculosis eventually dies out. The addition of</w:t>
      </w:r>
      <w:r>
        <w:rPr>
          <w:b/>
        </w:rPr>
        <w:t xml:space="preserve"> </w:t>
      </w:r>
      <w:r>
        <w:rPr>
          <w:b/>
        </w:rPr>
        <w:t xml:space="preserve">demographic processes results in a continous supply of susceptibles that makes this less likely to happen. However if the disease is sufficiently infectious and has a short serial interval then even with demographic processes the supply of new susceptibles may run out, resulting in the disease dieing out.</w:t>
      </w:r>
    </w:p>
    <w:p>
      <w:pPr>
        <w:numPr>
          <w:numId w:val="1004"/>
          <w:ilvl w:val="0"/>
        </w:numPr>
      </w:pPr>
      <w:r>
        <w:t xml:space="preserve">What happens when the transmission rate (beta) is reduced to 0.5?</w:t>
      </w:r>
    </w:p>
    <w:p>
      <w:pPr>
        <w:pStyle w:val="Compact"/>
        <w:numPr>
          <w:numId w:val="1006"/>
          <w:ilvl w:val="1"/>
        </w:numPr>
      </w:pPr>
      <w:r>
        <w:rPr>
          <w:b/>
        </w:rPr>
        <w:t xml:space="preserve">When the transmission rate is reduced to 0.5 Tuberculosis will die out without spreading any further than the index case. This is because the basic reproduction number is below 1 for this set of parameters.</w:t>
      </w:r>
    </w:p>
    <w:p>
      <w:pPr>
        <w:numPr>
          <w:numId w:val="1004"/>
          <w:ilvl w:val="0"/>
        </w:numPr>
      </w:pPr>
      <w:r>
        <w:t xml:space="preserve">What happens as the rate of recovery is increased?</w:t>
      </w:r>
    </w:p>
    <w:p>
      <w:pPr>
        <w:pStyle w:val="Compact"/>
        <w:numPr>
          <w:numId w:val="1007"/>
          <w:ilvl w:val="1"/>
        </w:numPr>
      </w:pPr>
      <w:r>
        <w:rPr>
          <w:b/>
        </w:rPr>
        <w:t xml:space="preserve">As the rate of recovery is increased the size of the epidemic peak is decreased and the duration of the epidemic increases. The cumulative number of cases is reduced.</w:t>
      </w:r>
    </w:p>
    <w:p>
      <w:pPr>
        <w:pStyle w:val="Heading1"/>
      </w:pPr>
      <w:bookmarkStart w:id="33" w:name="extensions"/>
      <w:bookmarkEnd w:id="33"/>
      <w:r>
        <w:t xml:space="preserve">Extensions</w:t>
      </w:r>
    </w:p>
    <w:p>
      <w:pPr>
        <w:pStyle w:val="Heading2"/>
      </w:pPr>
      <w:bookmarkStart w:id="34" w:name="explore-the-parameter-space-of-multiple-models"/>
      <w:bookmarkEnd w:id="34"/>
      <w:r>
        <w:t xml:space="preserve">1. Explore the Parameter Space of Multiple Models</w:t>
      </w:r>
    </w:p>
    <w:p>
      <w:pPr>
        <w:pStyle w:val="FirstParagraph"/>
      </w:pPr>
      <w:r>
        <w:t xml:space="preserve">In order to more systematically explore the parameter space of multiple models we have provided a web app (</w:t>
      </w:r>
      <w:hyperlink r:id="rId35">
        <w:r>
          <w:rPr>
            <w:rStyle w:val="Hyperlink"/>
          </w:rPr>
          <w:t xml:space="preserve">http://seabbs.co.uk/shiny/exploreidmodels/</w:t>
        </w:r>
      </w:hyperlink>
      <w:r>
        <w:t xml:space="preserve">). Use this to explore the models discussed in the previous practical and identify which parameters alter the model dynamics. Instructions for using the Web app can be found in the about section of the app. You may want to run the app on your own machine, to do this enter the following into the R terminal,</w:t>
      </w:r>
    </w:p>
    <w:p>
      <w:pPr>
        <w:pStyle w:val="SourceCode"/>
      </w:pP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Heading3"/>
      </w:pPr>
      <w:bookmarkStart w:id="36" w:name="explore-1"/>
      <w:bookmarkEnd w:id="36"/>
      <w:r>
        <w:t xml:space="preserve">Explore</w:t>
      </w:r>
    </w:p>
    <w:p>
      <w:pPr>
        <w:numPr>
          <w:numId w:val="1008"/>
          <w:ilvl w:val="0"/>
        </w:numPr>
      </w:pPr>
      <w:r>
        <w:t xml:space="preserve">The web app allows for rapid exploration of multiple models, using it can you identify some commonalities between different models? What generalisations can you draw from these commonalities.</w:t>
      </w:r>
    </w:p>
    <w:p>
      <w:pPr>
        <w:pStyle w:val="Compact"/>
        <w:numPr>
          <w:numId w:val="1009"/>
          <w:ilvl w:val="1"/>
        </w:numPr>
      </w:pPr>
      <w:r>
        <w:rPr>
          <w:b/>
        </w:rPr>
        <w:t xml:space="preserve">Adding birth and death process can lead to oscillating behaviour around some steady state.</w:t>
      </w:r>
    </w:p>
    <w:p>
      <w:pPr>
        <w:pStyle w:val="Compact"/>
        <w:numPr>
          <w:numId w:val="1009"/>
          <w:ilvl w:val="1"/>
        </w:numPr>
      </w:pPr>
      <w:r>
        <w:rPr>
          <w:b/>
        </w:rPr>
        <w:t xml:space="preserve">Add additional latent compartments reduces the speed of progression of the epidemic through the population.</w:t>
      </w:r>
    </w:p>
    <w:p>
      <w:pPr>
        <w:pStyle w:val="Compact"/>
        <w:numPr>
          <w:numId w:val="1009"/>
          <w:ilvl w:val="1"/>
        </w:numPr>
      </w:pPr>
      <w:r>
        <w:rPr>
          <w:b/>
        </w:rPr>
        <w:t xml:space="preserve">Highly infectious disease may die out in a short space of time if there is not a sufficient number of susceptibles.</w:t>
      </w:r>
    </w:p>
    <w:p>
      <w:pPr>
        <w:numPr>
          <w:numId w:val="1008"/>
          <w:ilvl w:val="0"/>
        </w:numPr>
      </w:pPr>
      <w:r>
        <w:t xml:space="preserve">Try and answer the questions for the other extensions using the models provided in the web app.</w:t>
      </w:r>
    </w:p>
    <w:p>
      <w:pPr>
        <w:pStyle w:val="Heading2"/>
      </w:pPr>
      <w:bookmarkStart w:id="37" w:name="add-high-and-low-risk-compartments"/>
      <w:bookmarkEnd w:id="37"/>
      <w:r>
        <w:t xml:space="preserve">2. Add High and Low Risk Compartments</w:t>
      </w:r>
    </w:p>
    <w:p>
      <w:pPr>
        <w:pStyle w:val="FirstParagraph"/>
      </w:pPr>
      <w:r>
        <w:t xml:space="preserve">To make the SEIR model slightly more realistic, and therefore better able to capture the observed dynamics of TB, we are going to add a second latent population (as discussed in the solutions for practical 1). This change can be seen in the model flow diagram (Figure 3). Go back to</w:t>
      </w:r>
      <w:r>
        <w:t xml:space="preserve"> </w:t>
      </w:r>
      <w:hyperlink r:id="rId38">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3: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An SHLIR model of TB transmission, including simple demographic processes</w:t>
      </w:r>
    </w:p>
    <w:p>
      <w:pPr>
        <w:pStyle w:val="Heading3"/>
      </w:pPr>
      <w:bookmarkStart w:id="40" w:name="populations-and-initialisation-1"/>
      <w:bookmarkEnd w:id="40"/>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41" w:name="parameters-1"/>
      <w:bookmarkEnd w:id="41"/>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42" w:name="equations-1"/>
      <w:bookmarkEnd w:id="42"/>
      <w:r>
        <w:t xml:space="preserve">Equations</w:t>
      </w:r>
    </w:p>
    <w:p>
      <w:pPr>
        <w:pStyle w:val="FirstParagraph"/>
      </w:pPr>
      <w:r>
        <w:t xml:space="preserve">The code below is a starting point, fill in the missing model terms using the model flow diagram (Figure 3)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3" w:name="simulate-and-summarise-1"/>
      <w:bookmarkEnd w:id="43"/>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3472.222222222222"/>
        <w:tblLook w:firstRow="1"/>
        <w:tblCaption w:val="Table 1: First 5 years of model simulation"/>
      </w:tblPr>
      <w:tblGrid>
        <w:gridCol w:w="770"/>
        <w:gridCol w:w="880"/>
        <w:gridCol w:w="880"/>
        <w:gridCol w:w="99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996.5</w:t>
            </w:r>
          </w:p>
        </w:tc>
        <w:tc>
          <w:p>
            <w:pPr>
              <w:pStyle w:val="Compact"/>
              <w:jc w:val="center"/>
            </w:pPr>
            <w:r>
              <w:t xml:space="preserve">1.794</w:t>
            </w:r>
          </w:p>
        </w:tc>
        <w:tc>
          <w:p>
            <w:pPr>
              <w:pStyle w:val="Compact"/>
              <w:jc w:val="center"/>
            </w:pPr>
            <w:r>
              <w:t xml:space="preserve">0.5224</w:t>
            </w:r>
          </w:p>
        </w:tc>
        <w:tc>
          <w:p>
            <w:pPr>
              <w:pStyle w:val="Compact"/>
              <w:jc w:val="center"/>
            </w:pPr>
            <w:r>
              <w:t xml:space="preserve">0.7773</w:t>
            </w:r>
          </w:p>
        </w:tc>
        <w:tc>
          <w:p>
            <w:pPr>
              <w:pStyle w:val="Compact"/>
              <w:jc w:val="center"/>
            </w:pPr>
            <w:r>
              <w:t xml:space="preserve">0.4223</w:t>
            </w:r>
          </w:p>
        </w:tc>
      </w:tr>
      <w:tr>
        <w:tc>
          <w:p>
            <w:pPr>
              <w:pStyle w:val="Compact"/>
              <w:jc w:val="center"/>
            </w:pPr>
            <w:r>
              <w:t xml:space="preserve">2</w:t>
            </w:r>
          </w:p>
        </w:tc>
        <w:tc>
          <w:p>
            <w:pPr>
              <w:pStyle w:val="Compact"/>
              <w:jc w:val="center"/>
            </w:pPr>
            <w:r>
              <w:t xml:space="preserve">994.2</w:t>
            </w:r>
          </w:p>
        </w:tc>
        <w:tc>
          <w:p>
            <w:pPr>
              <w:pStyle w:val="Compact"/>
              <w:jc w:val="center"/>
            </w:pPr>
            <w:r>
              <w:t xml:space="preserve">2.576</w:t>
            </w:r>
          </w:p>
        </w:tc>
        <w:tc>
          <w:p>
            <w:pPr>
              <w:pStyle w:val="Compact"/>
              <w:jc w:val="center"/>
            </w:pPr>
            <w:r>
              <w:t xml:space="preserve">1.606</w:t>
            </w:r>
          </w:p>
        </w:tc>
        <w:tc>
          <w:p>
            <w:pPr>
              <w:pStyle w:val="Compact"/>
              <w:jc w:val="center"/>
            </w:pPr>
            <w:r>
              <w:t xml:space="preserve">0.8263</w:t>
            </w:r>
          </w:p>
        </w:tc>
        <w:tc>
          <w:p>
            <w:pPr>
              <w:pStyle w:val="Compact"/>
              <w:jc w:val="center"/>
            </w:pPr>
            <w:r>
              <w:t xml:space="preserve">0.8098</w:t>
            </w:r>
          </w:p>
        </w:tc>
      </w:tr>
      <w:tr>
        <w:tc>
          <w:p>
            <w:pPr>
              <w:pStyle w:val="Compact"/>
              <w:jc w:val="center"/>
            </w:pPr>
            <w:r>
              <w:t xml:space="preserve">3</w:t>
            </w:r>
          </w:p>
        </w:tc>
        <w:tc>
          <w:p>
            <w:pPr>
              <w:pStyle w:val="Compact"/>
              <w:jc w:val="center"/>
            </w:pPr>
            <w:r>
              <w:t xml:space="preserve">991.6</w:t>
            </w:r>
          </w:p>
        </w:tc>
        <w:tc>
          <w:p>
            <w:pPr>
              <w:pStyle w:val="Compact"/>
              <w:jc w:val="center"/>
            </w:pPr>
            <w:r>
              <w:t xml:space="preserve">3.186</w:t>
            </w:r>
          </w:p>
        </w:tc>
        <w:tc>
          <w:p>
            <w:pPr>
              <w:pStyle w:val="Compact"/>
              <w:jc w:val="center"/>
            </w:pPr>
            <w:r>
              <w:t xml:space="preserve">2.99</w:t>
            </w:r>
          </w:p>
        </w:tc>
        <w:tc>
          <w:p>
            <w:pPr>
              <w:pStyle w:val="Compact"/>
              <w:jc w:val="center"/>
            </w:pPr>
            <w:r>
              <w:t xml:space="preserve">0.9684</w:t>
            </w:r>
          </w:p>
        </w:tc>
        <w:tc>
          <w:p>
            <w:pPr>
              <w:pStyle w:val="Compact"/>
              <w:jc w:val="center"/>
            </w:pPr>
            <w:r>
              <w:t xml:space="preserve">1.243</w:t>
            </w:r>
          </w:p>
        </w:tc>
      </w:tr>
      <w:tr>
        <w:tc>
          <w:p>
            <w:pPr>
              <w:pStyle w:val="Compact"/>
              <w:jc w:val="center"/>
            </w:pPr>
            <w:r>
              <w:t xml:space="preserve">4</w:t>
            </w:r>
          </w:p>
        </w:tc>
        <w:tc>
          <w:p>
            <w:pPr>
              <w:pStyle w:val="Compact"/>
              <w:jc w:val="center"/>
            </w:pPr>
            <w:r>
              <w:t xml:space="preserve">988.6</w:t>
            </w:r>
          </w:p>
        </w:tc>
        <w:tc>
          <w:p>
            <w:pPr>
              <w:pStyle w:val="Compact"/>
              <w:jc w:val="center"/>
            </w:pPr>
            <w:r>
              <w:t xml:space="preserve">3.853</w:t>
            </w:r>
          </w:p>
        </w:tc>
        <w:tc>
          <w:p>
            <w:pPr>
              <w:pStyle w:val="Compact"/>
              <w:jc w:val="center"/>
            </w:pPr>
            <w:r>
              <w:t xml:space="preserve">4.648</w:t>
            </w:r>
          </w:p>
        </w:tc>
        <w:tc>
          <w:p>
            <w:pPr>
              <w:pStyle w:val="Compact"/>
              <w:jc w:val="center"/>
            </w:pPr>
            <w:r>
              <w:t xml:space="preserve">1.164</w:t>
            </w:r>
          </w:p>
        </w:tc>
        <w:tc>
          <w:p>
            <w:pPr>
              <w:pStyle w:val="Compact"/>
              <w:jc w:val="center"/>
            </w:pPr>
            <w:r>
              <w:t xml:space="preserve">1.756</w:t>
            </w:r>
          </w:p>
        </w:tc>
      </w:tr>
      <w:tr>
        <w:tc>
          <w:p>
            <w:pPr>
              <w:pStyle w:val="Compact"/>
              <w:jc w:val="center"/>
            </w:pPr>
            <w:r>
              <w:t xml:space="preserve">5</w:t>
            </w:r>
          </w:p>
        </w:tc>
        <w:tc>
          <w:p>
            <w:pPr>
              <w:pStyle w:val="Compact"/>
              <w:jc w:val="center"/>
            </w:pPr>
            <w:r>
              <w:t xml:space="preserve">984.9</w:t>
            </w:r>
          </w:p>
        </w:tc>
        <w:tc>
          <w:p>
            <w:pPr>
              <w:pStyle w:val="Compact"/>
              <w:jc w:val="center"/>
            </w:pPr>
            <w:r>
              <w:t xml:space="preserve">4.653</w:t>
            </w:r>
          </w:p>
        </w:tc>
        <w:tc>
          <w:p>
            <w:pPr>
              <w:pStyle w:val="Compact"/>
              <w:jc w:val="center"/>
            </w:pPr>
            <w:r>
              <w:t xml:space="preserve">6.621</w:t>
            </w:r>
          </w:p>
        </w:tc>
        <w:tc>
          <w:p>
            <w:pPr>
              <w:pStyle w:val="Compact"/>
              <w:jc w:val="center"/>
            </w:pPr>
            <w:r>
              <w:t xml:space="preserve">1.411</w:t>
            </w:r>
          </w:p>
        </w:tc>
        <w:tc>
          <w:p>
            <w:pPr>
              <w:pStyle w:val="Compact"/>
              <w:jc w:val="center"/>
            </w:pPr>
            <w:r>
              <w:t xml:space="preserve">2.372</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7: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7: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238</w:t>
            </w:r>
          </w:p>
        </w:tc>
        <w:tc>
          <w:p>
            <w:pPr>
              <w:pStyle w:val="Compact"/>
              <w:jc w:val="center"/>
            </w:pPr>
            <w:r>
              <w:t xml:space="preserve">24</w:t>
            </w:r>
          </w:p>
        </w:tc>
        <w:tc>
          <w:p>
            <w:pPr>
              <w:pStyle w:val="Compact"/>
              <w:jc w:val="center"/>
            </w:pPr>
            <w:r>
              <w:t xml:space="preserve">194</w:t>
            </w:r>
          </w:p>
        </w:tc>
        <w:tc>
          <w:p>
            <w:pPr>
              <w:pStyle w:val="Compact"/>
              <w:jc w:val="center"/>
            </w:pPr>
            <w:r>
              <w:t xml:space="preserve">13</w:t>
            </w:r>
          </w:p>
        </w:tc>
        <w:tc>
          <w:p>
            <w:pPr>
              <w:pStyle w:val="Compact"/>
              <w:jc w:val="center"/>
            </w:pPr>
            <w:r>
              <w:t xml:space="preserve">531</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32</w:t>
            </w:r>
          </w:p>
        </w:tc>
        <w:tc>
          <w:p>
            <w:pPr>
              <w:pStyle w:val="Compact"/>
              <w:jc w:val="center"/>
            </w:pPr>
            <w:r>
              <w:t xml:space="preserve">57</w:t>
            </w:r>
          </w:p>
        </w:tc>
        <w:tc>
          <w:p>
            <w:pPr>
              <w:pStyle w:val="Compact"/>
              <w:jc w:val="center"/>
            </w:pPr>
            <w:r>
              <w:t xml:space="preserve">1</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4: Plot of the population in each SHLIR model compartment over time" title="" id="1" name="Picture"/>
            <a:graphic>
              <a:graphicData uri="http://schemas.openxmlformats.org/drawingml/2006/picture">
                <pic:pic>
                  <pic:nvPicPr>
                    <pic:cNvPr descr="/home/biddmodellingcourse/biddmodellingcourse/vignettes/drafts/solutions/solutions-two/solutions-two_files/figure-docx/shlir-plot-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Plot of the population in each SHLIR model compartment over time</w:t>
      </w:r>
    </w:p>
    <w:p>
      <w:pPr>
        <w:pStyle w:val="Heading3"/>
      </w:pPr>
      <w:bookmarkStart w:id="45" w:name="explore-2"/>
      <w:bookmarkEnd w:id="45"/>
      <w:r>
        <w:t xml:space="preserve">Explore</w:t>
      </w:r>
    </w:p>
    <w:p>
      <w:pPr>
        <w:numPr>
          <w:numId w:val="1010"/>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pStyle w:val="Compact"/>
        <w:numPr>
          <w:numId w:val="1011"/>
          <w:ilvl w:val="1"/>
        </w:numPr>
      </w:pPr>
      <w:r>
        <w:rPr>
          <w:b/>
        </w:rPr>
        <w:t xml:space="preserve">The SEIR and SHLIR models should give the same result.</w:t>
      </w:r>
    </w:p>
    <w:p>
      <w:pPr>
        <w:pStyle w:val="Compact"/>
        <w:numPr>
          <w:numId w:val="1011"/>
          <w:ilvl w:val="1"/>
        </w:numPr>
      </w:pPr>
      <w:r>
        <w:rPr>
          <w:b/>
        </w:rPr>
        <w:t xml:space="preserve">This works because when</w:t>
      </w:r>
      <w:r>
        <w:rPr>
          <w:b/>
        </w:rPr>
        <w:t xml:space="preserve"> </w:t>
      </w:r>
      <w:r>
        <w:rPr>
          <w:rStyle w:val="VerbatimChar"/>
          <w:b/>
        </w:rPr>
        <w:t xml:space="preserve">nu = 0</w:t>
      </w:r>
      <w:r>
        <w:rPr>
          <w:b/>
        </w:rPr>
        <w:t xml:space="preserve"> </w:t>
      </w:r>
      <w:r>
        <w:rPr>
          <w:b/>
        </w:rPr>
        <w:t xml:space="preserve">no one enters the low risk latent population compartment and therefore it has no effect.</w:t>
      </w:r>
    </w:p>
    <w:p>
      <w:pPr>
        <w:numPr>
          <w:numId w:val="1010"/>
          <w:ilvl w:val="0"/>
        </w:numPr>
      </w:pPr>
      <w:r>
        <w:t xml:space="preserve">What has the impact of adding the second latent population been?</w:t>
      </w:r>
    </w:p>
    <w:p>
      <w:pPr>
        <w:pStyle w:val="Compact"/>
        <w:numPr>
          <w:numId w:val="1012"/>
          <w:ilvl w:val="1"/>
        </w:numPr>
      </w:pPr>
      <w:r>
        <w:rPr>
          <w:b/>
        </w:rPr>
        <w:t xml:space="preserve">It has reduced the peak epidemic size and slowed the initial spread of the disease. In addition there are fewer cumulative active cases but a larger pool of latently infected cases.</w:t>
      </w:r>
    </w:p>
    <w:p>
      <w:pPr>
        <w:pStyle w:val="Heading2"/>
      </w:pPr>
      <w:bookmarkStart w:id="46" w:name="translate-a-more-realistic-shlir-model-flow-diagram-to-equations"/>
      <w:bookmarkEnd w:id="46"/>
      <w:r>
        <w:t xml:space="preserve">3. Translate a more realistic SHLIR model flow diagram to equations</w:t>
      </w:r>
    </w:p>
    <w:p>
      <w:pPr>
        <w:pStyle w:val="FirstParagraph"/>
      </w:pPr>
      <w:r>
        <w:t xml:space="preserve">As an advanced extension exercise now translate a more complex SHLIR model flow diagram (Figure 5), with risk groups, treatment, and reinfection for those who have recovered from active disease (Hint: First implement the model without risk groups and then add this in once everything else is working as expected). Whilst many realistic TB models use age structure in the interests of time do not include this (if you are interested in discussing how you would include this talk to your instructors or contact</w:t>
      </w:r>
      <w:r>
        <w:t xml:space="preserve"> </w:t>
      </w:r>
      <w:hyperlink r:id="rId47">
        <w:r>
          <w:rPr>
            <w:rStyle w:val="Hyperlink"/>
          </w:rPr>
          <w:t xml:space="preserve">me</w:t>
        </w:r>
      </w:hyperlink>
      <w:r>
        <w:t xml:space="preserve">). For simplicity we have assumed that it is possible to be born into both populations. For the motivation behind this model see</w:t>
      </w:r>
      <w:r>
        <w:t xml:space="preserve"> </w:t>
      </w:r>
      <w:hyperlink r:id="rId48">
        <w:r>
          <w:rPr>
            <w:rStyle w:val="Hyperlink"/>
          </w:rPr>
          <w:t xml:space="preserve">practical 1</w:t>
        </w:r>
      </w:hyperlink>
      <w:r>
        <w:t xml:space="preserve">.</w:t>
      </w:r>
    </w:p>
    <w:p>
      <w:pPr>
        <w:pStyle w:val="FigureWithCaption"/>
      </w:pPr>
      <w:r>
        <w:drawing>
          <wp:inline>
            <wp:extent cx="5334000" cy="3000375"/>
            <wp:effectExtent b="0" l="0" r="0" t="0"/>
            <wp:docPr descr="Figure 5: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5: A realistic SHLIR model of TB transmission, including simple demographic processes</w:t>
      </w:r>
    </w:p>
    <w:p>
      <w:pPr>
        <w:pStyle w:val="BodyText"/>
      </w:pPr>
      <w:r>
        <w:t xml:space="preserve">Figure 5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FirstParagraph"/>
      </w:pPr>
      <w:r>
        <w:t xml:space="preserve">The code for an SEIR model has been supplied, along with all the required simulation and plotting functions. It is suggested that you add complexity sequentially and test the effects on the model dynamics as you go. The first step is to recreate the SHLIR model used above. If you are new to</w:t>
      </w:r>
      <w:r>
        <w:t xml:space="preserve"> </w:t>
      </w:r>
      <w:r>
        <w:rPr>
          <w:rStyle w:val="VerbatimChar"/>
        </w:rPr>
        <w:t xml:space="preserve">R</w:t>
      </w:r>
      <w:r>
        <w:t xml:space="preserve"> </w:t>
      </w:r>
      <w:r>
        <w:t xml:space="preserve">or are struggling with this exercise feel free to move on to the next exercise (which does not use</w:t>
      </w:r>
      <w:r>
        <w:t xml:space="preserve"> </w:t>
      </w:r>
      <w:r>
        <w:rPr>
          <w:rStyle w:val="VerbatimChar"/>
        </w:rPr>
        <w:t xml:space="preserve">R</w:t>
      </w:r>
      <w:r>
        <w:t xml:space="preserve">).</w:t>
      </w:r>
    </w:p>
    <w:p>
      <w:pPr>
        <w:pStyle w:val="Heading3"/>
      </w:pPr>
      <w:bookmarkStart w:id="50" w:name="populations-and-initialisation-2"/>
      <w:bookmarkEnd w:id="50"/>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51" w:name="parameters-2"/>
      <w:bookmarkEnd w:id="51"/>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52" w:name="equations-2"/>
      <w:bookmarkEnd w:id="52"/>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foi_H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 General population - provided for you</w:t>
      </w:r>
      <w:r>
        <w:br w:type="textWrapping"/>
      </w:r>
      <w:r>
        <w:rPr>
          <w:rStyle w:val="NormalTok"/>
        </w:rPr>
        <w:t xml:space="preserve">    ## Compare these equations from those used for the previous models</w:t>
      </w:r>
      <w:r>
        <w:br w:type="textWrapping"/>
      </w:r>
      <w:r>
        <w:rPr>
          <w:rStyle w:val="NormalTok"/>
        </w:rPr>
        <w:t xml:space="preserve">    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rPr>
          <w:rStyle w:val="NormalTok"/>
        </w:rPr>
        <w:t xml:space="preserve">    dS_H =</w:t>
      </w:r>
      <w:r>
        <w:rPr>
          <w:rStyle w:val="StringTok"/>
        </w:rPr>
        <w:t xml:space="preserve"> </w:t>
      </w:r>
      <w:r>
        <w:rPr>
          <w:rStyle w:val="OperatorTok"/>
        </w:rPr>
        <w:t xml:space="preserve">-</w:t>
      </w:r>
      <w:r>
        <w:rPr>
          <w:rStyle w:val="NormalTok"/>
        </w:rPr>
        <w:t xml:space="preserve">S_H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dH_H =</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H_H</w:t>
      </w:r>
      <w:r>
        <w:br w:type="textWrapping"/>
      </w:r>
      <w:r>
        <w:rPr>
          <w:rStyle w:val="NormalTok"/>
        </w:rPr>
        <w:t xml:space="preserve">    dL_H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L_H</w:t>
      </w:r>
      <w:r>
        <w:br w:type="textWrapping"/>
      </w:r>
      <w:r>
        <w:rPr>
          <w:rStyle w:val="NormalTok"/>
        </w:rPr>
        <w:t xml:space="preserve">    dI_H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I_H</w:t>
      </w:r>
      <w:r>
        <w:br w:type="textWrapping"/>
      </w:r>
      <w:r>
        <w:rPr>
          <w:rStyle w:val="NormalTok"/>
        </w:rPr>
        <w:t xml:space="preserve">    dTr_H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Tr_H</w:t>
      </w:r>
      <w:r>
        <w:br w:type="textWrapping"/>
      </w:r>
      <w:r>
        <w:rPr>
          <w:rStyle w:val="NormalTok"/>
        </w:rPr>
        <w:t xml:space="preserve">    dR_H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53" w:name="simulate-and-summarise-2"/>
      <w:bookmarkEnd w:id="53"/>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TableCaption"/>
      </w:pPr>
      <w:r>
        <w:t xml:space="preserve">Table 4: First 5 years of model simulation (continued below)</w:t>
      </w:r>
    </w:p>
    <w:tbl>
      <w:tblPr>
        <w:tblStyle w:val="TableNormal"/>
        <w:tblW w:type="pct" w:w="4999.999999999999"/>
        <w:tblLook w:firstRow="1"/>
        <w:tblCaption w:val="Table 4: First 5 years of model simulation (continued below)"/>
      </w:tblPr>
      <w:tblGrid>
        <w:gridCol w:w="759"/>
        <w:gridCol w:w="867"/>
        <w:gridCol w:w="976"/>
        <w:gridCol w:w="976"/>
        <w:gridCol w:w="1084"/>
        <w:gridCol w:w="1193"/>
        <w:gridCol w:w="1301"/>
        <w:gridCol w:w="759"/>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Tr</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S_H</w:t>
            </w:r>
          </w:p>
        </w:tc>
      </w:tr>
      <w:tr>
        <w:tc>
          <w:p>
            <w:pPr>
              <w:pStyle w:val="Compact"/>
              <w:jc w:val="center"/>
            </w:pPr>
            <w:r>
              <w:t xml:space="preserve">0</w:t>
            </w:r>
          </w:p>
        </w:tc>
        <w:tc>
          <w:p>
            <w:pPr>
              <w:pStyle w:val="Compact"/>
              <w:jc w:val="center"/>
            </w:pPr>
            <w:r>
              <w:t xml:space="preserve">800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199</w:t>
            </w:r>
          </w:p>
        </w:tc>
      </w:tr>
      <w:tr>
        <w:tc>
          <w:p>
            <w:pPr>
              <w:pStyle w:val="Compact"/>
              <w:jc w:val="center"/>
            </w:pPr>
            <w:r>
              <w:t xml:space="preserve">1</w:t>
            </w:r>
          </w:p>
        </w:tc>
        <w:tc>
          <w:p>
            <w:pPr>
              <w:pStyle w:val="Compact"/>
              <w:jc w:val="center"/>
            </w:pPr>
            <w:r>
              <w:t xml:space="preserve">799.1</w:t>
            </w:r>
          </w:p>
        </w:tc>
        <w:tc>
          <w:p>
            <w:pPr>
              <w:pStyle w:val="Compact"/>
              <w:jc w:val="center"/>
            </w:pPr>
            <w:r>
              <w:t xml:space="preserve">0.6388</w:t>
            </w:r>
          </w:p>
        </w:tc>
        <w:tc>
          <w:p>
            <w:pPr>
              <w:pStyle w:val="Compact"/>
              <w:jc w:val="center"/>
            </w:pPr>
            <w:r>
              <w:t xml:space="preserve">0.1786</w:t>
            </w:r>
          </w:p>
        </w:tc>
        <w:tc>
          <w:p>
            <w:pPr>
              <w:pStyle w:val="Compact"/>
              <w:jc w:val="center"/>
            </w:pPr>
            <w:r>
              <w:t xml:space="preserve">0.06452</w:t>
            </w:r>
          </w:p>
        </w:tc>
        <w:tc>
          <w:p>
            <w:pPr>
              <w:pStyle w:val="Compact"/>
              <w:jc w:val="center"/>
            </w:pPr>
            <w:r>
              <w:t xml:space="preserve">0.006904</w:t>
            </w:r>
          </w:p>
        </w:tc>
        <w:tc>
          <w:p>
            <w:pPr>
              <w:pStyle w:val="Compact"/>
              <w:jc w:val="center"/>
            </w:pPr>
            <w:r>
              <w:t xml:space="preserve">0.0009364</w:t>
            </w:r>
          </w:p>
        </w:tc>
        <w:tc>
          <w:p>
            <w:pPr>
              <w:pStyle w:val="Compact"/>
              <w:jc w:val="center"/>
            </w:pPr>
            <w:r>
              <w:t xml:space="preserve">198</w:t>
            </w:r>
          </w:p>
        </w:tc>
      </w:tr>
      <w:tr>
        <w:tc>
          <w:p>
            <w:pPr>
              <w:pStyle w:val="Compact"/>
              <w:jc w:val="center"/>
            </w:pPr>
            <w:r>
              <w:t xml:space="preserve">2</w:t>
            </w:r>
          </w:p>
        </w:tc>
        <w:tc>
          <w:p>
            <w:pPr>
              <w:pStyle w:val="Compact"/>
              <w:jc w:val="center"/>
            </w:pPr>
            <w:r>
              <w:t xml:space="preserve">798.1</w:t>
            </w:r>
          </w:p>
        </w:tc>
        <w:tc>
          <w:p>
            <w:pPr>
              <w:pStyle w:val="Compact"/>
              <w:jc w:val="center"/>
            </w:pPr>
            <w:r>
              <w:t xml:space="preserve">1.048</w:t>
            </w:r>
          </w:p>
        </w:tc>
        <w:tc>
          <w:p>
            <w:pPr>
              <w:pStyle w:val="Compact"/>
              <w:jc w:val="center"/>
            </w:pPr>
            <w:r>
              <w:t xml:space="preserve">0.5935</w:t>
            </w:r>
          </w:p>
        </w:tc>
        <w:tc>
          <w:p>
            <w:pPr>
              <w:pStyle w:val="Compact"/>
              <w:jc w:val="center"/>
            </w:pPr>
            <w:r>
              <w:t xml:space="preserve">0.1941</w:t>
            </w:r>
          </w:p>
        </w:tc>
        <w:tc>
          <w:p>
            <w:pPr>
              <w:pStyle w:val="Compact"/>
              <w:jc w:val="center"/>
            </w:pPr>
            <w:r>
              <w:t xml:space="preserve">0.03844</w:t>
            </w:r>
          </w:p>
        </w:tc>
        <w:tc>
          <w:p>
            <w:pPr>
              <w:pStyle w:val="Compact"/>
              <w:jc w:val="center"/>
            </w:pPr>
            <w:r>
              <w:t xml:space="preserve">0.01108</w:t>
            </w:r>
          </w:p>
        </w:tc>
        <w:tc>
          <w:p>
            <w:pPr>
              <w:pStyle w:val="Compact"/>
              <w:jc w:val="center"/>
            </w:pPr>
            <w:r>
              <w:t xml:space="preserve">197.1</w:t>
            </w:r>
          </w:p>
        </w:tc>
      </w:tr>
      <w:tr>
        <w:tc>
          <w:p>
            <w:pPr>
              <w:pStyle w:val="Compact"/>
              <w:jc w:val="center"/>
            </w:pPr>
            <w:r>
              <w:t xml:space="preserve">3</w:t>
            </w:r>
          </w:p>
        </w:tc>
        <w:tc>
          <w:p>
            <w:pPr>
              <w:pStyle w:val="Compact"/>
              <w:jc w:val="center"/>
            </w:pPr>
            <w:r>
              <w:t xml:space="preserve">796.8</w:t>
            </w:r>
          </w:p>
        </w:tc>
        <w:tc>
          <w:p>
            <w:pPr>
              <w:pStyle w:val="Compact"/>
              <w:jc w:val="center"/>
            </w:pPr>
            <w:r>
              <w:t xml:space="preserve">1.477</w:t>
            </w:r>
          </w:p>
        </w:tc>
        <w:tc>
          <w:p>
            <w:pPr>
              <w:pStyle w:val="Compact"/>
              <w:jc w:val="center"/>
            </w:pPr>
            <w:r>
              <w:t xml:space="preserve">1.201</w:t>
            </w:r>
          </w:p>
        </w:tc>
        <w:tc>
          <w:p>
            <w:pPr>
              <w:pStyle w:val="Compact"/>
              <w:jc w:val="center"/>
            </w:pPr>
            <w:r>
              <w:t xml:space="preserve">0.3596</w:t>
            </w:r>
          </w:p>
        </w:tc>
        <w:tc>
          <w:p>
            <w:pPr>
              <w:pStyle w:val="Compact"/>
              <w:jc w:val="center"/>
            </w:pPr>
            <w:r>
              <w:t xml:space="preserve">0.09632</w:t>
            </w:r>
          </w:p>
        </w:tc>
        <w:tc>
          <w:p>
            <w:pPr>
              <w:pStyle w:val="Compact"/>
              <w:jc w:val="center"/>
            </w:pPr>
            <w:r>
              <w:t xml:space="preserve">0.04336</w:t>
            </w:r>
          </w:p>
        </w:tc>
        <w:tc>
          <w:p>
            <w:pPr>
              <w:pStyle w:val="Compact"/>
              <w:jc w:val="center"/>
            </w:pPr>
            <w:r>
              <w:t xml:space="preserve">196.3</w:t>
            </w:r>
          </w:p>
        </w:tc>
      </w:tr>
      <w:tr>
        <w:tc>
          <w:p>
            <w:pPr>
              <w:pStyle w:val="Compact"/>
              <w:jc w:val="center"/>
            </w:pPr>
            <w:r>
              <w:t xml:space="preserve">4</w:t>
            </w:r>
          </w:p>
        </w:tc>
        <w:tc>
          <w:p>
            <w:pPr>
              <w:pStyle w:val="Compact"/>
              <w:jc w:val="center"/>
            </w:pPr>
            <w:r>
              <w:t xml:space="preserve">795.1</w:t>
            </w:r>
          </w:p>
        </w:tc>
        <w:tc>
          <w:p>
            <w:pPr>
              <w:pStyle w:val="Compact"/>
              <w:jc w:val="center"/>
            </w:pPr>
            <w:r>
              <w:t xml:space="preserve">2.002</w:t>
            </w:r>
          </w:p>
        </w:tc>
        <w:tc>
          <w:p>
            <w:pPr>
              <w:pStyle w:val="Compact"/>
              <w:jc w:val="center"/>
            </w:pPr>
            <w:r>
              <w:t xml:space="preserve">2.027</w:t>
            </w:r>
          </w:p>
        </w:tc>
        <w:tc>
          <w:p>
            <w:pPr>
              <w:pStyle w:val="Compact"/>
              <w:jc w:val="center"/>
            </w:pPr>
            <w:r>
              <w:t xml:space="preserve">0.5632</w:t>
            </w:r>
          </w:p>
        </w:tc>
        <w:tc>
          <w:p>
            <w:pPr>
              <w:pStyle w:val="Compact"/>
              <w:jc w:val="center"/>
            </w:pPr>
            <w:r>
              <w:t xml:space="preserve">0.1794</w:t>
            </w:r>
          </w:p>
        </w:tc>
        <w:tc>
          <w:p>
            <w:pPr>
              <w:pStyle w:val="Compact"/>
              <w:jc w:val="center"/>
            </w:pPr>
            <w:r>
              <w:t xml:space="preserve">0.1102</w:t>
            </w:r>
          </w:p>
        </w:tc>
        <w:tc>
          <w:p>
            <w:pPr>
              <w:pStyle w:val="Compact"/>
              <w:jc w:val="center"/>
            </w:pPr>
            <w:r>
              <w:t xml:space="preserve">195.5</w:t>
            </w:r>
          </w:p>
        </w:tc>
      </w:tr>
      <w:tr>
        <w:tc>
          <w:p>
            <w:pPr>
              <w:pStyle w:val="Compact"/>
              <w:jc w:val="center"/>
            </w:pPr>
            <w:r>
              <w:t xml:space="preserve">5</w:t>
            </w:r>
          </w:p>
        </w:tc>
        <w:tc>
          <w:p>
            <w:pPr>
              <w:pStyle w:val="Compact"/>
              <w:jc w:val="center"/>
            </w:pPr>
            <w:r>
              <w:t xml:space="preserve">792.9</w:t>
            </w:r>
          </w:p>
        </w:tc>
        <w:tc>
          <w:p>
            <w:pPr>
              <w:pStyle w:val="Compact"/>
              <w:jc w:val="center"/>
            </w:pPr>
            <w:r>
              <w:t xml:space="preserve">2.658</w:t>
            </w:r>
          </w:p>
        </w:tc>
        <w:tc>
          <w:p>
            <w:pPr>
              <w:pStyle w:val="Compact"/>
              <w:jc w:val="center"/>
            </w:pPr>
            <w:r>
              <w:t xml:space="preserve">3.121</w:t>
            </w:r>
          </w:p>
        </w:tc>
        <w:tc>
          <w:p>
            <w:pPr>
              <w:pStyle w:val="Compact"/>
              <w:jc w:val="center"/>
            </w:pPr>
            <w:r>
              <w:t xml:space="preserve">0.8155</w:t>
            </w:r>
          </w:p>
        </w:tc>
        <w:tc>
          <w:p>
            <w:pPr>
              <w:pStyle w:val="Compact"/>
              <w:jc w:val="center"/>
            </w:pPr>
            <w:r>
              <w:t xml:space="preserve">0.2889</w:t>
            </w:r>
          </w:p>
        </w:tc>
        <w:tc>
          <w:p>
            <w:pPr>
              <w:pStyle w:val="Compact"/>
              <w:jc w:val="center"/>
            </w:pPr>
            <w:r>
              <w:t xml:space="preserve">0.2236</w:t>
            </w:r>
          </w:p>
        </w:tc>
        <w:tc>
          <w:p>
            <w:pPr>
              <w:pStyle w:val="Compact"/>
              <w:jc w:val="center"/>
            </w:pPr>
            <w:r>
              <w:t xml:space="preserve">194.6</w:t>
            </w:r>
          </w:p>
        </w:tc>
      </w:tr>
    </w:tbl>
    <w:tbl>
      <w:tblPr>
        <w:tblStyle w:val="TableNormal"/>
        <w:tblW w:type="pct" w:w="3125.0"/>
        <w:tblLook w:firstRow="1"/>
      </w:tblPr>
      <w:tblGrid>
        <w:gridCol w:w="990"/>
        <w:gridCol w:w="990"/>
        <w:gridCol w:w="990"/>
        <w:gridCol w:w="990"/>
        <w:gridCol w:w="990"/>
      </w:tblGrid>
      <w:tr>
        <w:trPr>
          <w:cnfStyle w:firstRow="1"/>
        </w:trPr>
        <w:tc>
          <w:tcPr>
            <w:tcBorders>
              <w:bottom w:val="single"/>
            </w:tcBorders>
            <w:vAlign w:val="bottom"/>
          </w:tcPr>
          <w:p>
            <w:pPr>
              <w:pStyle w:val="Compact"/>
              <w:jc w:val="center"/>
            </w:pPr>
            <w:r>
              <w:t xml:space="preserve">H_H</w:t>
            </w:r>
          </w:p>
        </w:tc>
        <w:tc>
          <w:tcPr>
            <w:tcBorders>
              <w:bottom w:val="single"/>
            </w:tcBorders>
            <w:vAlign w:val="bottom"/>
          </w:tcPr>
          <w:p>
            <w:pPr>
              <w:pStyle w:val="Compact"/>
              <w:jc w:val="center"/>
            </w:pPr>
            <w:r>
              <w:t xml:space="preserve">L_H</w:t>
            </w:r>
          </w:p>
        </w:tc>
        <w:tc>
          <w:tcPr>
            <w:tcBorders>
              <w:bottom w:val="single"/>
            </w:tcBorders>
            <w:vAlign w:val="bottom"/>
          </w:tcPr>
          <w:p>
            <w:pPr>
              <w:pStyle w:val="Compact"/>
              <w:jc w:val="center"/>
            </w:pPr>
            <w:r>
              <w:t xml:space="preserve">I_H</w:t>
            </w:r>
          </w:p>
        </w:tc>
        <w:tc>
          <w:tcPr>
            <w:tcBorders>
              <w:bottom w:val="single"/>
            </w:tcBorders>
            <w:vAlign w:val="bottom"/>
          </w:tcPr>
          <w:p>
            <w:pPr>
              <w:pStyle w:val="Compact"/>
              <w:jc w:val="center"/>
            </w:pPr>
            <w:r>
              <w:t xml:space="preserve">Tr_H</w:t>
            </w:r>
          </w:p>
        </w:tc>
        <w:tc>
          <w:tcPr>
            <w:tcBorders>
              <w:bottom w:val="single"/>
            </w:tcBorders>
            <w:vAlign w:val="bottom"/>
          </w:tcPr>
          <w:p>
            <w:pPr>
              <w:pStyle w:val="Compact"/>
              <w:jc w:val="center"/>
            </w:pPr>
            <w:r>
              <w:t xml:space="preserve">R_H</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0.7367</w:t>
            </w:r>
          </w:p>
        </w:tc>
        <w:tc>
          <w:p>
            <w:pPr>
              <w:pStyle w:val="Compact"/>
              <w:jc w:val="center"/>
            </w:pPr>
            <w:r>
              <w:t xml:space="preserve">0.2138</w:t>
            </w:r>
          </w:p>
        </w:tc>
        <w:tc>
          <w:p>
            <w:pPr>
              <w:pStyle w:val="Compact"/>
              <w:jc w:val="center"/>
            </w:pPr>
            <w:r>
              <w:t xml:space="preserve">0.785</w:t>
            </w:r>
          </w:p>
        </w:tc>
        <w:tc>
          <w:p>
            <w:pPr>
              <w:pStyle w:val="Compact"/>
              <w:jc w:val="center"/>
            </w:pPr>
            <w:r>
              <w:t xml:space="preserve">0.2257</w:t>
            </w:r>
          </w:p>
        </w:tc>
        <w:tc>
          <w:p>
            <w:pPr>
              <w:pStyle w:val="Compact"/>
              <w:jc w:val="center"/>
            </w:pPr>
            <w:r>
              <w:t xml:space="preserve">0.06372</w:t>
            </w:r>
          </w:p>
        </w:tc>
      </w:tr>
      <w:tr>
        <w:tc>
          <w:p>
            <w:pPr>
              <w:pStyle w:val="Compact"/>
              <w:jc w:val="center"/>
            </w:pPr>
            <w:r>
              <w:t xml:space="preserve">0.9991</w:t>
            </w:r>
          </w:p>
        </w:tc>
        <w:tc>
          <w:p>
            <w:pPr>
              <w:pStyle w:val="Compact"/>
              <w:jc w:val="center"/>
            </w:pPr>
            <w:r>
              <w:t xml:space="preserve">0.6472</w:t>
            </w:r>
          </w:p>
        </w:tc>
        <w:tc>
          <w:p>
            <w:pPr>
              <w:pStyle w:val="Compact"/>
              <w:jc w:val="center"/>
            </w:pPr>
            <w:r>
              <w:t xml:space="preserve">0.7108</w:t>
            </w:r>
          </w:p>
        </w:tc>
        <w:tc>
          <w:p>
            <w:pPr>
              <w:pStyle w:val="Compact"/>
              <w:jc w:val="center"/>
            </w:pPr>
            <w:r>
              <w:t xml:space="preserve">0.3277</w:t>
            </w:r>
          </w:p>
        </w:tc>
        <w:tc>
          <w:p>
            <w:pPr>
              <w:pStyle w:val="Compact"/>
              <w:jc w:val="center"/>
            </w:pPr>
            <w:r>
              <w:t xml:space="preserve">0.2031</w:t>
            </w:r>
          </w:p>
        </w:tc>
      </w:tr>
      <w:tr>
        <w:tc>
          <w:p>
            <w:pPr>
              <w:pStyle w:val="Compact"/>
              <w:jc w:val="center"/>
            </w:pPr>
            <w:r>
              <w:t xml:space="preserve">1.106</w:t>
            </w:r>
          </w:p>
        </w:tc>
        <w:tc>
          <w:p>
            <w:pPr>
              <w:pStyle w:val="Compact"/>
              <w:jc w:val="center"/>
            </w:pPr>
            <w:r>
              <w:t xml:space="preserve">1.153</w:t>
            </w:r>
          </w:p>
        </w:tc>
        <w:tc>
          <w:p>
            <w:pPr>
              <w:pStyle w:val="Compact"/>
              <w:jc w:val="center"/>
            </w:pPr>
            <w:r>
              <w:t xml:space="preserve">0.6904</w:t>
            </w:r>
          </w:p>
        </w:tc>
        <w:tc>
          <w:p>
            <w:pPr>
              <w:pStyle w:val="Compact"/>
              <w:jc w:val="center"/>
            </w:pPr>
            <w:r>
              <w:t xml:space="preserve">0.3781</w:t>
            </w:r>
          </w:p>
        </w:tc>
        <w:tc>
          <w:p>
            <w:pPr>
              <w:pStyle w:val="Compact"/>
              <w:jc w:val="center"/>
            </w:pPr>
            <w:r>
              <w:t xml:space="preserve">0.3761</w:t>
            </w:r>
          </w:p>
        </w:tc>
      </w:tr>
      <w:tr>
        <w:tc>
          <w:p>
            <w:pPr>
              <w:pStyle w:val="Compact"/>
              <w:jc w:val="center"/>
            </w:pPr>
            <w:r>
              <w:t xml:space="preserve">1.169</w:t>
            </w:r>
          </w:p>
        </w:tc>
        <w:tc>
          <w:p>
            <w:pPr>
              <w:pStyle w:val="Compact"/>
              <w:jc w:val="center"/>
            </w:pPr>
            <w:r>
              <w:t xml:space="preserve">1.684</w:t>
            </w:r>
          </w:p>
        </w:tc>
        <w:tc>
          <w:p>
            <w:pPr>
              <w:pStyle w:val="Compact"/>
              <w:jc w:val="center"/>
            </w:pPr>
            <w:r>
              <w:t xml:space="preserve">0.6935</w:t>
            </w:r>
          </w:p>
        </w:tc>
        <w:tc>
          <w:p>
            <w:pPr>
              <w:pStyle w:val="Compact"/>
              <w:jc w:val="center"/>
            </w:pPr>
            <w:r>
              <w:t xml:space="preserve">0.4067</w:t>
            </w:r>
          </w:p>
        </w:tc>
        <w:tc>
          <w:p>
            <w:pPr>
              <w:pStyle w:val="Compact"/>
              <w:jc w:val="center"/>
            </w:pPr>
            <w:r>
              <w:t xml:space="preserve">0.565</w:t>
            </w:r>
          </w:p>
        </w:tc>
      </w:tr>
      <w:tr>
        <w:tc>
          <w:p>
            <w:pPr>
              <w:pStyle w:val="Compact"/>
              <w:jc w:val="center"/>
            </w:pPr>
            <w:r>
              <w:t xml:space="preserve">1.228</w:t>
            </w:r>
          </w:p>
        </w:tc>
        <w:tc>
          <w:p>
            <w:pPr>
              <w:pStyle w:val="Compact"/>
              <w:jc w:val="center"/>
            </w:pPr>
            <w:r>
              <w:t xml:space="preserve">2.23</w:t>
            </w:r>
          </w:p>
        </w:tc>
        <w:tc>
          <w:p>
            <w:pPr>
              <w:pStyle w:val="Compact"/>
              <w:jc w:val="center"/>
            </w:pPr>
            <w:r>
              <w:t xml:space="preserve">0.7103</w:t>
            </w:r>
          </w:p>
        </w:tc>
        <w:tc>
          <w:p>
            <w:pPr>
              <w:pStyle w:val="Compact"/>
              <w:jc w:val="center"/>
            </w:pPr>
            <w:r>
              <w:t xml:space="preserve">0.4267</w:t>
            </w:r>
          </w:p>
        </w:tc>
        <w:tc>
          <w:p>
            <w:pPr>
              <w:pStyle w:val="Compact"/>
              <w:jc w:val="center"/>
            </w:pPr>
            <w:r>
              <w:t xml:space="preserve">0.7623</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8: Realistic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8: Realistic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Tr</w:t>
            </w:r>
          </w:p>
        </w:tc>
      </w:tr>
      <w:tr>
        <w:tc>
          <w:p>
            <w:pPr>
              <w:pStyle w:val="Compact"/>
              <w:jc w:val="center"/>
            </w:pPr>
            <w:r>
              <w:t xml:space="preserve">22</w:t>
            </w:r>
          </w:p>
        </w:tc>
        <w:tc>
          <w:p>
            <w:pPr>
              <w:pStyle w:val="Compact"/>
              <w:jc w:val="center"/>
            </w:pPr>
            <w:r>
              <w:t xml:space="preserve">218</w:t>
            </w:r>
          </w:p>
        </w:tc>
        <w:tc>
          <w:p>
            <w:pPr>
              <w:pStyle w:val="Compact"/>
              <w:jc w:val="center"/>
            </w:pPr>
            <w:r>
              <w:t xml:space="preserve">242</w:t>
            </w:r>
          </w:p>
        </w:tc>
        <w:tc>
          <w:p>
            <w:pPr>
              <w:pStyle w:val="Compact"/>
              <w:jc w:val="center"/>
            </w:pPr>
            <w:r>
              <w:t xml:space="preserve">133</w:t>
            </w:r>
          </w:p>
        </w:tc>
        <w:tc>
          <w:p>
            <w:pPr>
              <w:pStyle w:val="Compact"/>
              <w:jc w:val="center"/>
            </w:pPr>
            <w:r>
              <w:t xml:space="preserve">87</w:t>
            </w:r>
          </w:p>
        </w:tc>
      </w:tr>
    </w:tbl>
    <w:p>
      <w:pPr>
        <w:pStyle w:val="TableCaption"/>
      </w:pPr>
      <w:r>
        <w:t xml:space="preserve">Table continues below</w:t>
      </w:r>
    </w:p>
    <w:tbl>
      <w:tblPr>
        <w:tblStyle w:val="TableNormal"/>
        <w:tblW w:type="pct" w:w="4861.111111111111"/>
        <w:tblLook w:firstRow="1"/>
        <w:tblCaption w:val="Table continues below"/>
      </w:tblPr>
      <w:tblGrid>
        <w:gridCol w:w="1760"/>
        <w:gridCol w:w="1980"/>
        <w:gridCol w:w="1980"/>
        <w:gridCol w:w="1980"/>
      </w:tblGrid>
      <w:tr>
        <w:trPr>
          <w:cnfStyle w:firstRow="1"/>
        </w:trPr>
        <w:tc>
          <w:tcPr>
            <w:tcBorders>
              <w:bottom w:val="single"/>
            </w:tcBorders>
            <w:vAlign w:val="bottom"/>
          </w:tcPr>
          <w:p>
            <w:pPr>
              <w:pStyle w:val="Compact"/>
              <w:jc w:val="center"/>
            </w:pPr>
            <w:r>
              <w:t xml:space="preserve">Final size: R</w:t>
            </w:r>
          </w:p>
        </w:tc>
        <w:tc>
          <w:tcPr>
            <w:tcBorders>
              <w:bottom w:val="single"/>
            </w:tcBorders>
            <w:vAlign w:val="bottom"/>
          </w:tcPr>
          <w:p>
            <w:pPr>
              <w:pStyle w:val="Compact"/>
              <w:jc w:val="center"/>
            </w:pPr>
            <w:r>
              <w:t xml:space="preserve">Final size: S_H</w:t>
            </w:r>
          </w:p>
        </w:tc>
        <w:tc>
          <w:tcPr>
            <w:tcBorders>
              <w:bottom w:val="single"/>
            </w:tcBorders>
            <w:vAlign w:val="bottom"/>
          </w:tcPr>
          <w:p>
            <w:pPr>
              <w:pStyle w:val="Compact"/>
              <w:jc w:val="center"/>
            </w:pPr>
            <w:r>
              <w:t xml:space="preserve">Final size: H_H</w:t>
            </w:r>
          </w:p>
        </w:tc>
        <w:tc>
          <w:tcPr>
            <w:tcBorders>
              <w:bottom w:val="single"/>
            </w:tcBorders>
            <w:vAlign w:val="bottom"/>
          </w:tcPr>
          <w:p>
            <w:pPr>
              <w:pStyle w:val="Compact"/>
              <w:jc w:val="center"/>
            </w:pPr>
            <w:r>
              <w:t xml:space="preserve">Final size: L_H</w:t>
            </w:r>
          </w:p>
        </w:tc>
      </w:tr>
      <w:tr>
        <w:tc>
          <w:p>
            <w:pPr>
              <w:pStyle w:val="Compact"/>
              <w:jc w:val="center"/>
            </w:pPr>
            <w:r>
              <w:t xml:space="preserve">98</w:t>
            </w:r>
          </w:p>
        </w:tc>
        <w:tc>
          <w:p>
            <w:pPr>
              <w:pStyle w:val="Compact"/>
              <w:jc w:val="center"/>
            </w:pPr>
            <w:r>
              <w:t xml:space="preserve">10</w:t>
            </w:r>
          </w:p>
        </w:tc>
        <w:tc>
          <w:p>
            <w:pPr>
              <w:pStyle w:val="Compact"/>
              <w:jc w:val="center"/>
            </w:pPr>
            <w:r>
              <w:t xml:space="preserve">39</w:t>
            </w:r>
          </w:p>
        </w:tc>
        <w:tc>
          <w:p>
            <w:pPr>
              <w:pStyle w:val="Compact"/>
              <w:jc w:val="center"/>
            </w:pPr>
            <w:r>
              <w:t xml:space="preserve">77</w:t>
            </w:r>
          </w:p>
        </w:tc>
      </w:tr>
    </w:tbl>
    <w:p>
      <w:pPr>
        <w:pStyle w:val="TableCaption"/>
      </w:pPr>
      <w:r>
        <w:t xml:space="preserve">Table continues below</w:t>
      </w:r>
    </w:p>
    <w:tbl>
      <w:tblPr>
        <w:tblStyle w:val="TableNormal"/>
        <w:tblW w:type="pct" w:w="5000.0"/>
        <w:tblLook w:firstRow="1"/>
        <w:tblCaption w:val="Table continues below"/>
      </w:tblPr>
      <w:tblGrid>
        <w:gridCol w:w="1900"/>
        <w:gridCol w:w="2006"/>
        <w:gridCol w:w="1900"/>
        <w:gridCol w:w="2112"/>
      </w:tblGrid>
      <w:tr>
        <w:trPr>
          <w:cnfStyle w:firstRow="1"/>
        </w:trPr>
        <w:tc>
          <w:tcPr>
            <w:tcBorders>
              <w:bottom w:val="single"/>
            </w:tcBorders>
            <w:vAlign w:val="bottom"/>
          </w:tcPr>
          <w:p>
            <w:pPr>
              <w:pStyle w:val="Compact"/>
              <w:jc w:val="center"/>
            </w:pPr>
            <w:r>
              <w:t xml:space="preserve">Final size: I_H</w:t>
            </w:r>
          </w:p>
        </w:tc>
        <w:tc>
          <w:tcPr>
            <w:tcBorders>
              <w:bottom w:val="single"/>
            </w:tcBorders>
            <w:vAlign w:val="bottom"/>
          </w:tcPr>
          <w:p>
            <w:pPr>
              <w:pStyle w:val="Compact"/>
              <w:jc w:val="center"/>
            </w:pPr>
            <w:r>
              <w:t xml:space="preserve">Final size: Tr_H</w:t>
            </w:r>
          </w:p>
        </w:tc>
        <w:tc>
          <w:tcPr>
            <w:tcBorders>
              <w:bottom w:val="single"/>
            </w:tcBorders>
            <w:vAlign w:val="bottom"/>
          </w:tcPr>
          <w:p>
            <w:pPr>
              <w:pStyle w:val="Compact"/>
              <w:jc w:val="center"/>
            </w:pPr>
            <w:r>
              <w:t xml:space="preserve">Final size: R_H</w:t>
            </w:r>
          </w:p>
        </w:tc>
        <w:tc>
          <w:tcPr>
            <w:tcBorders>
              <w:bottom w:val="single"/>
            </w:tcBorders>
            <w:vAlign w:val="bottom"/>
          </w:tcPr>
          <w:p>
            <w:pPr>
              <w:pStyle w:val="Compact"/>
              <w:jc w:val="center"/>
            </w:pPr>
            <w:r>
              <w:t xml:space="preserve">Epidemic peak time</w:t>
            </w:r>
          </w:p>
        </w:tc>
      </w:tr>
      <w:tr>
        <w:tc>
          <w:p>
            <w:pPr>
              <w:pStyle w:val="Compact"/>
              <w:jc w:val="center"/>
            </w:pPr>
            <w:r>
              <w:t xml:space="preserve">25</w:t>
            </w:r>
          </w:p>
        </w:tc>
        <w:tc>
          <w:p>
            <w:pPr>
              <w:pStyle w:val="Compact"/>
              <w:jc w:val="center"/>
            </w:pPr>
            <w:r>
              <w:t xml:space="preserve">16</w:t>
            </w:r>
          </w:p>
        </w:tc>
        <w:tc>
          <w:p>
            <w:pPr>
              <w:pStyle w:val="Compact"/>
              <w:jc w:val="center"/>
            </w:pPr>
            <w:r>
              <w:t xml:space="preserve">33</w:t>
            </w:r>
          </w:p>
        </w:tc>
        <w:tc>
          <w:p>
            <w:pPr>
              <w:pStyle w:val="Compact"/>
              <w:jc w:val="center"/>
            </w:pPr>
            <w:r>
              <w:t xml:space="preserve">74</w:t>
            </w:r>
          </w:p>
        </w:tc>
      </w:tr>
    </w:tbl>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133</w:t>
            </w:r>
          </w:p>
        </w:tc>
        <w:tc>
          <w:p>
            <w:pPr>
              <w:pStyle w:val="Compact"/>
              <w:jc w:val="center"/>
            </w:pPr>
            <w:r>
              <w:t xml:space="preserve">0</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6: Plot of population over time in each realistic SHLIR model compartment" title="" id="1" name="Picture"/>
            <a:graphic>
              <a:graphicData uri="http://schemas.openxmlformats.org/drawingml/2006/picture">
                <pic:pic>
                  <pic:nvPicPr>
                    <pic:cNvPr descr="/home/biddmodellingcourse/biddmodellingcourse/vignettes/drafts/solutions/solutions-two/solutions-two_files/figure-docx/real-SHLIR-plot-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Plot of population over time in each realistic SHLIR model compartment</w:t>
      </w:r>
    </w:p>
    <w:p>
      <w:pPr>
        <w:pStyle w:val="Heading3"/>
      </w:pPr>
      <w:bookmarkStart w:id="55" w:name="explore-3"/>
      <w:bookmarkEnd w:id="55"/>
      <w:r>
        <w:t xml:space="preserve">Explore</w:t>
      </w:r>
    </w:p>
    <w:p>
      <w:pPr>
        <w:numPr>
          <w:numId w:val="1013"/>
          <w:ilvl w:val="0"/>
        </w:numPr>
      </w:pPr>
      <w:r>
        <w:t xml:space="preserve">Test your changes by setting all the parameters to be the same as in the SHLIR model.</w:t>
      </w:r>
    </w:p>
    <w:p>
      <w:pPr>
        <w:pStyle w:val="Compact"/>
        <w:numPr>
          <w:numId w:val="1014"/>
          <w:ilvl w:val="1"/>
        </w:numPr>
      </w:pPr>
      <w:r>
        <w:rPr>
          <w:b/>
        </w:rPr>
        <w:t xml:space="preserve">The models should give the same results.</w:t>
      </w:r>
    </w:p>
    <w:p>
      <w:pPr>
        <w:numPr>
          <w:numId w:val="1013"/>
          <w:ilvl w:val="0"/>
        </w:numPr>
      </w:pPr>
      <w:r>
        <w:t xml:space="preserve">What happens when one group has a much higher transmission probability (use the default settings for all other parameters), compared to when the transmission probability is the same for both groups?</w:t>
      </w:r>
    </w:p>
    <w:p>
      <w:pPr>
        <w:pStyle w:val="Compact"/>
        <w:numPr>
          <w:numId w:val="1015"/>
          <w:ilvl w:val="1"/>
        </w:numPr>
      </w:pPr>
      <w:r>
        <w:rPr>
          <w:b/>
        </w:rPr>
        <w:t xml:space="preserve">The proportion of cases that are in the high risk latent and infectious populations has increased.</w:t>
      </w:r>
    </w:p>
    <w:p>
      <w:pPr>
        <w:numPr>
          <w:numId w:val="1013"/>
          <w:ilvl w:val="0"/>
        </w:numPr>
      </w:pPr>
      <w:r>
        <w:t xml:space="preserve">What is the impact of varying the mixing between high and low risk groups for the above scenario?</w:t>
      </w:r>
    </w:p>
    <w:p>
      <w:pPr>
        <w:pStyle w:val="Compact"/>
        <w:numPr>
          <w:numId w:val="1016"/>
          <w:ilvl w:val="1"/>
        </w:numPr>
      </w:pPr>
      <w:r>
        <w:rPr>
          <w:b/>
        </w:rPr>
        <w:t xml:space="preserve">As mixing is reduced the proportion of the low risk population that are infected is reduced.</w:t>
      </w:r>
    </w:p>
    <w:p>
      <w:pPr>
        <w:pStyle w:val="Compact"/>
        <w:numPr>
          <w:numId w:val="1016"/>
          <w:ilvl w:val="1"/>
        </w:numPr>
      </w:pPr>
      <w:r>
        <w:rPr>
          <w:b/>
        </w:rPr>
        <w:t xml:space="preserve">As mixing is increased the disease dynamics become more homogeneous between groups.</w:t>
      </w:r>
    </w:p>
    <w:p>
      <w:pPr>
        <w:pStyle w:val="Heading1"/>
      </w:pPr>
      <w:bookmarkStart w:id="56" w:name="references"/>
      <w:bookmarkEnd w:id="56"/>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57">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26d2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80ef8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74480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hyperlink" Id="rId35" Target="http://seabbs.co.uk/shiny/exploreidmodels/" TargetMode="External" /><Relationship Type="http://schemas.openxmlformats.org/officeDocument/2006/relationships/hyperlink" Id="rId48" Target="https://bristolmathmodellers.github.io/biddmodellingcourse/articles/practical-one.html" TargetMode="External" /><Relationship Type="http://schemas.openxmlformats.org/officeDocument/2006/relationships/hyperlink" Id="rId38" Target="https://bristolmathmodellers.github.io/biddmodellingcourse/articles/practical_1.html" TargetMode="External" /><Relationship Type="http://schemas.openxmlformats.org/officeDocument/2006/relationships/hyperlink" Id="rId57" Target="https://doi.org/10.1371/journal.pone.0008479" TargetMode="External" /><Relationship Type="http://schemas.openxmlformats.org/officeDocument/2006/relationships/hyperlink" Id="rId47"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35" Target="http://seabbs.co.uk/shiny/exploreidmodels/" TargetMode="External" /><Relationship Type="http://schemas.openxmlformats.org/officeDocument/2006/relationships/hyperlink" Id="rId48" Target="https://bristolmathmodellers.github.io/biddmodellingcourse/articles/practical-one.html" TargetMode="External" /><Relationship Type="http://schemas.openxmlformats.org/officeDocument/2006/relationships/hyperlink" Id="rId38" Target="https://bristolmathmodellers.github.io/biddmodellingcourse/articles/practical_1.html" TargetMode="External" /><Relationship Type="http://schemas.openxmlformats.org/officeDocument/2006/relationships/hyperlink" Id="rId57" Target="https://doi.org/10.1371/journal.pone.0008479" TargetMode="External" /><Relationship Type="http://schemas.openxmlformats.org/officeDocument/2006/relationships/hyperlink" Id="rId47"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Compartmental Models to Equations</dc:title>
  <dc:creator>Sam Abbott</dc:creator>
  <dcterms:created xsi:type="dcterms:W3CDTF">2018-03-16T17:39:51Z</dcterms:created>
  <dcterms:modified xsi:type="dcterms:W3CDTF">2018-03-16T17:39:51Z</dcterms:modified>
</cp:coreProperties>
</file>